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color w:val="3E3935"/>
          <w:sz w:val="18"/>
        </w:rPr>
      </w:pPr>
      <w:bookmarkStart w:id="0" w:name="d648661ddefa14a.htm"/>
      <w:bookmarkStart w:id="1" w:name="ksd648661ddefa14a"/>
      <w:bookmarkEnd w:id="0"/>
      <w:bookmarkEnd w:id="1"/>
      <w:r>
        <w:rPr>
          <w:rFonts w:ascii="arial" w:hAnsi="arial"/>
          <w:b/>
          <w:color w:val="3E3935"/>
          <w:sz w:val="18"/>
        </w:rPr>
        <w:t xml:space="preserve">UNITED STATES </w:t>
      </w:r>
    </w:p>
    <w:p>
      <w:pPr>
        <w:pStyle w:val="TextBody"/>
        <w:bidi w:val="0"/>
        <w:spacing w:before="0" w:after="0"/>
        <w:jc w:val="center"/>
        <w:rPr>
          <w:rFonts w:ascii="arial" w:hAnsi="arial"/>
          <w:b/>
          <w:color w:val="3E3935"/>
          <w:sz w:val="18"/>
        </w:rPr>
      </w:pPr>
      <w:r>
        <w:rPr>
          <w:rFonts w:ascii="arial" w:hAnsi="arial"/>
          <w:b/>
          <w:color w:val="3E3935"/>
          <w:sz w:val="18"/>
        </w:rPr>
        <w:t xml:space="preserve">SECURITIES AND EXCHANGE COMMISSION </w:t>
      </w:r>
    </w:p>
    <w:p>
      <w:pPr>
        <w:pStyle w:val="TextBody"/>
        <w:bidi w:val="0"/>
        <w:spacing w:before="0" w:after="0"/>
        <w:jc w:val="center"/>
        <w:rPr>
          <w:rFonts w:ascii="arial" w:hAnsi="arial"/>
          <w:color w:val="3E3935"/>
          <w:sz w:val="18"/>
        </w:rPr>
      </w:pPr>
      <w:r>
        <w:rPr>
          <w:rFonts w:ascii="arial" w:hAnsi="arial"/>
          <w:color w:val="3E3935"/>
          <w:sz w:val="18"/>
        </w:rPr>
        <w:t xml:space="preserve">Washington, D.C. 20549 </w:t>
      </w:r>
    </w:p>
    <w:p>
      <w:pPr>
        <w:pStyle w:val="TextBody"/>
        <w:bidi w:val="0"/>
        <w:spacing w:before="240" w:after="0"/>
        <w:jc w:val="center"/>
        <w:rPr>
          <w:rFonts w:ascii="arial" w:hAnsi="arial"/>
          <w:b/>
          <w:color w:val="3E3935"/>
          <w:sz w:val="27"/>
        </w:rPr>
      </w:pPr>
      <w:r>
        <w:rPr>
          <w:rFonts w:ascii="arial" w:hAnsi="arial"/>
          <w:b/>
          <w:color w:val="3E3935"/>
          <w:sz w:val="27"/>
        </w:rPr>
        <w:t xml:space="preserve">SCHEDULE 14A </w:t>
      </w:r>
    </w:p>
    <w:p>
      <w:pPr>
        <w:pStyle w:val="TextBody"/>
        <w:bidi w:val="0"/>
        <w:spacing w:before="240" w:after="0"/>
        <w:jc w:val="center"/>
        <w:rPr>
          <w:rFonts w:ascii="arial" w:hAnsi="arial"/>
          <w:b/>
          <w:color w:val="3E3935"/>
          <w:sz w:val="18"/>
        </w:rPr>
      </w:pPr>
      <w:r>
        <w:rPr>
          <w:rFonts w:ascii="arial" w:hAnsi="arial"/>
          <w:b/>
          <w:color w:val="3E3935"/>
          <w:sz w:val="18"/>
        </w:rPr>
        <w:t xml:space="preserve">Proxy Statement Pursuant to Section 14(a) of the Securities </w:t>
      </w:r>
    </w:p>
    <w:p>
      <w:pPr>
        <w:pStyle w:val="TextBody"/>
        <w:bidi w:val="0"/>
        <w:spacing w:before="0" w:after="0"/>
        <w:jc w:val="center"/>
        <w:rPr>
          <w:rFonts w:ascii="arial" w:hAnsi="arial"/>
          <w:b/>
          <w:color w:val="3E3935"/>
          <w:sz w:val="18"/>
        </w:rPr>
      </w:pPr>
      <w:r>
        <w:rPr>
          <w:rFonts w:ascii="arial" w:hAnsi="arial"/>
          <w:b/>
          <w:color w:val="3E3935"/>
          <w:sz w:val="18"/>
        </w:rPr>
        <w:t xml:space="preserve">Exchange Act of 1934 </w:t>
      </w:r>
    </w:p>
    <w:p>
      <w:pPr>
        <w:pStyle w:val="TextBody"/>
        <w:bidi w:val="0"/>
        <w:spacing w:before="240" w:after="0"/>
        <w:jc w:val="center"/>
        <w:rPr>
          <w:color w:val="3E3935"/>
        </w:rPr>
      </w:pPr>
      <w:r>
        <w:rPr>
          <w:color w:val="3E3935"/>
        </w:rPr>
        <w:t xml:space="preserve">☑ </w:t>
      </w:r>
      <w:r>
        <w:rPr>
          <w:rFonts w:ascii="arial" w:hAnsi="arial"/>
          <w:color w:val="3E3935"/>
          <w:sz w:val="18"/>
        </w:rPr>
        <w:t xml:space="preserve">Filed by the Registrant                  ☐ Filed by a Party other than the Registrant </w:t>
      </w:r>
    </w:p>
    <w:p>
      <w:pPr>
        <w:pStyle w:val="TextBody"/>
        <w:bidi w:val="0"/>
        <w:spacing w:before="0" w:after="0"/>
        <w:jc w:val="left"/>
        <w:rPr/>
      </w:pPr>
      <w:r>
        <w:rPr/>
        <w:t> </w:t>
      </w:r>
    </w:p>
    <w:tbl>
      <w:tblPr>
        <w:tblW w:w="4950" w:type="pct"/>
        <w:jc w:val="center"/>
        <w:tblInd w:w="0" w:type="dxa"/>
        <w:tblLayout w:type="fixed"/>
        <w:tblCellMar>
          <w:top w:w="0" w:type="dxa"/>
          <w:left w:w="0" w:type="dxa"/>
          <w:bottom w:w="0" w:type="dxa"/>
          <w:right w:w="0" w:type="dxa"/>
        </w:tblCellMar>
      </w:tblPr>
      <w:tblGrid>
        <w:gridCol w:w="403"/>
        <w:gridCol w:w="101"/>
        <w:gridCol w:w="9598"/>
      </w:tblGrid>
      <w:tr>
        <w:trPr/>
        <w:tc>
          <w:tcPr>
            <w:tcW w:w="4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59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102" w:type="dxa"/>
            <w:gridSpan w:val="3"/>
            <w:tcBorders>
              <w:top w:val="single" w:sz="8" w:space="0" w:color="3E3935"/>
              <w:left w:val="single" w:sz="2" w:space="0" w:color="3E3935"/>
              <w:right w:val="single" w:sz="2" w:space="0" w:color="3E3935"/>
            </w:tcBorders>
            <w:shd w:fill="CCF2F8" w:val="clear"/>
            <w:tcMar>
              <w:top w:w="28" w:type="dxa"/>
              <w:left w:w="160" w:type="dxa"/>
              <w:right w:w="28" w:type="dxa"/>
            </w:tcMar>
            <w:vAlign w:val="center"/>
          </w:tcPr>
          <w:p>
            <w:pPr>
              <w:pStyle w:val="TableContents"/>
              <w:bidi w:val="0"/>
              <w:spacing w:before="0" w:after="283"/>
              <w:jc w:val="left"/>
              <w:rPr/>
            </w:pPr>
            <w:r>
              <w:rPr/>
              <w:t> </w:t>
            </w:r>
          </w:p>
        </w:tc>
      </w:tr>
      <w:tr>
        <w:trPr/>
        <w:tc>
          <w:tcPr>
            <w:tcW w:w="10102" w:type="dxa"/>
            <w:gridSpan w:val="3"/>
            <w:tcBorders>
              <w:left w:val="single" w:sz="2" w:space="0" w:color="3E3935"/>
              <w:bottom w:val="single" w:sz="2" w:space="0" w:color="3E3935"/>
              <w:right w:val="single" w:sz="2" w:space="0" w:color="3E3935"/>
            </w:tcBorders>
            <w:shd w:fill="CCF2F8" w:val="clear"/>
            <w:tcMar>
              <w:left w:w="160" w:type="dxa"/>
              <w:bottom w:w="28" w:type="dxa"/>
              <w:right w:w="40" w:type="dxa"/>
            </w:tcMar>
          </w:tcPr>
          <w:p>
            <w:pPr>
              <w:pStyle w:val="TableContents"/>
              <w:bidi w:val="0"/>
              <w:spacing w:lineRule="atLeast" w:line="260" w:before="0" w:after="0"/>
              <w:jc w:val="left"/>
              <w:rPr>
                <w:rFonts w:ascii="arial" w:hAnsi="arial"/>
                <w:b/>
                <w:color w:val="3E3935"/>
                <w:sz w:val="26"/>
              </w:rPr>
            </w:pPr>
            <w:r>
              <w:rPr>
                <w:rFonts w:ascii="arial" w:hAnsi="arial"/>
                <w:b/>
                <w:color w:val="3E3935"/>
                <w:sz w:val="26"/>
              </w:rPr>
              <w:t>Check the appropriate box:</w:t>
            </w:r>
          </w:p>
        </w:tc>
      </w:tr>
      <w:tr>
        <w:trPr/>
        <w:tc>
          <w:tcPr>
            <w:tcW w:w="403" w:type="dxa"/>
            <w:tcBorders>
              <w:left w:val="single" w:sz="2" w:space="0" w:color="3E3935"/>
              <w:bottom w:val="single" w:sz="2" w:space="0" w:color="3E3935"/>
              <w:right w:val="single" w:sz="2" w:space="0" w:color="3E3935"/>
            </w:tcBorders>
            <w:tcMar>
              <w:left w:w="160" w:type="dxa"/>
              <w:bottom w:w="28" w:type="dxa"/>
              <w:right w:w="28" w:type="dxa"/>
            </w:tcMar>
          </w:tcPr>
          <w:p>
            <w:pPr>
              <w:pStyle w:val="TableContents"/>
              <w:bidi w:val="0"/>
              <w:spacing w:lineRule="atLeast" w:line="280" w:before="0" w:after="0"/>
              <w:jc w:val="left"/>
              <w:rPr>
                <w:color w:val="3E3935"/>
              </w:rPr>
            </w:pPr>
            <w:r>
              <w:rPr>
                <w:color w:val="3E3935"/>
              </w:rPr>
              <w:t xml:space="preserve">☐  </w:t>
            </w:r>
          </w:p>
        </w:tc>
        <w:tc>
          <w:tcPr>
            <w:tcW w:w="101" w:type="dxa"/>
            <w:tcBorders>
              <w:bottom w:val="single" w:sz="2" w:space="0" w:color="3E3935"/>
            </w:tcBorders>
            <w:tcMar>
              <w:bottom w:w="28" w:type="dxa"/>
            </w:tcMar>
            <w:vAlign w:val="bottom"/>
          </w:tcPr>
          <w:p>
            <w:pPr>
              <w:pStyle w:val="TableContents"/>
              <w:bidi w:val="0"/>
              <w:spacing w:before="0" w:after="283"/>
              <w:jc w:val="left"/>
              <w:rPr/>
            </w:pPr>
            <w:r>
              <w:rPr/>
              <w:t> </w:t>
            </w:r>
          </w:p>
        </w:tc>
        <w:tc>
          <w:tcPr>
            <w:tcW w:w="9598" w:type="dxa"/>
            <w:tcBorders>
              <w:bottom w:val="single" w:sz="2" w:space="0" w:color="3E3935"/>
              <w:right w:val="single" w:sz="2" w:space="0" w:color="3E3935"/>
            </w:tcBorders>
            <w:tcMar>
              <w:bottom w:w="28" w:type="dxa"/>
              <w:right w:w="40" w:type="dxa"/>
            </w:tcMar>
            <w:vAlign w:val="bottom"/>
          </w:tcPr>
          <w:p>
            <w:pPr>
              <w:pStyle w:val="TableContents"/>
              <w:bidi w:val="0"/>
              <w:spacing w:lineRule="atLeast" w:line="280" w:before="0" w:after="0"/>
              <w:jc w:val="both"/>
              <w:rPr>
                <w:rFonts w:ascii="arial" w:hAnsi="arial"/>
                <w:color w:val="3E3935"/>
                <w:sz w:val="18"/>
              </w:rPr>
            </w:pPr>
            <w:r>
              <w:rPr>
                <w:rFonts w:ascii="arial" w:hAnsi="arial"/>
                <w:color w:val="3E3935"/>
                <w:sz w:val="18"/>
              </w:rPr>
              <w:t>Preliminary Proxy Statement</w:t>
            </w:r>
          </w:p>
        </w:tc>
      </w:tr>
      <w:tr>
        <w:trPr/>
        <w:tc>
          <w:tcPr>
            <w:tcW w:w="403" w:type="dxa"/>
            <w:tcBorders>
              <w:left w:val="single" w:sz="2" w:space="0" w:color="3E3935"/>
              <w:bottom w:val="single" w:sz="2" w:space="0" w:color="3E3935"/>
            </w:tcBorders>
            <w:tcMar>
              <w:left w:w="160" w:type="dxa"/>
              <w:bottom w:w="28" w:type="dxa"/>
            </w:tcMar>
          </w:tcPr>
          <w:p>
            <w:pPr>
              <w:pStyle w:val="TableContents"/>
              <w:bidi w:val="0"/>
              <w:spacing w:lineRule="atLeast" w:line="280" w:before="0" w:after="0"/>
              <w:jc w:val="left"/>
              <w:rPr>
                <w:color w:val="3E3935"/>
              </w:rPr>
            </w:pPr>
            <w:r>
              <w:rPr>
                <w:color w:val="3E3935"/>
              </w:rPr>
              <w:t xml:space="preserve">☐  </w:t>
            </w:r>
          </w:p>
        </w:tc>
        <w:tc>
          <w:tcPr>
            <w:tcW w:w="101" w:type="dxa"/>
            <w:tcBorders>
              <w:left w:val="single" w:sz="2" w:space="0" w:color="3E3935"/>
              <w:bottom w:val="single" w:sz="2" w:space="0" w:color="3E3935"/>
            </w:tcBorders>
            <w:tcMar>
              <w:left w:w="28" w:type="dxa"/>
              <w:bottom w:w="28" w:type="dxa"/>
            </w:tcMar>
            <w:vAlign w:val="bottom"/>
          </w:tcPr>
          <w:p>
            <w:pPr>
              <w:pStyle w:val="TableContents"/>
              <w:bidi w:val="0"/>
              <w:spacing w:before="0" w:after="283"/>
              <w:jc w:val="left"/>
              <w:rPr/>
            </w:pPr>
            <w:r>
              <w:rPr/>
              <w:t> </w:t>
            </w:r>
          </w:p>
        </w:tc>
        <w:tc>
          <w:tcPr>
            <w:tcW w:w="9598" w:type="dxa"/>
            <w:tcBorders>
              <w:bottom w:val="single" w:sz="2" w:space="0" w:color="3E3935"/>
              <w:right w:val="single" w:sz="2" w:space="0" w:color="3E3935"/>
            </w:tcBorders>
            <w:tcMar>
              <w:bottom w:w="28" w:type="dxa"/>
              <w:right w:w="40" w:type="dxa"/>
            </w:tcMar>
            <w:vAlign w:val="bottom"/>
          </w:tcPr>
          <w:p>
            <w:pPr>
              <w:pStyle w:val="TableContents"/>
              <w:bidi w:val="0"/>
              <w:spacing w:lineRule="atLeast" w:line="280" w:before="0" w:after="0"/>
              <w:jc w:val="both"/>
              <w:rPr>
                <w:rFonts w:ascii="arial" w:hAnsi="arial"/>
                <w:color w:val="3E3935"/>
                <w:sz w:val="18"/>
              </w:rPr>
            </w:pPr>
            <w:r>
              <w:rPr>
                <w:rFonts w:ascii="arial" w:hAnsi="arial"/>
                <w:color w:val="3E3935"/>
                <w:sz w:val="18"/>
              </w:rPr>
              <w:t>CONFIDENTIAL, FOR USE OF THE COMMISSION ONLY (AS PERMITTED BY RULE 14a-6(e)(2))</w:t>
            </w:r>
          </w:p>
        </w:tc>
      </w:tr>
      <w:tr>
        <w:trPr/>
        <w:tc>
          <w:tcPr>
            <w:tcW w:w="403" w:type="dxa"/>
            <w:tcBorders>
              <w:left w:val="single" w:sz="2" w:space="0" w:color="3E3935"/>
              <w:bottom w:val="single" w:sz="2" w:space="0" w:color="3E3935"/>
            </w:tcBorders>
            <w:tcMar>
              <w:left w:w="160" w:type="dxa"/>
              <w:bottom w:w="28" w:type="dxa"/>
            </w:tcMar>
          </w:tcPr>
          <w:p>
            <w:pPr>
              <w:pStyle w:val="TableContents"/>
              <w:bidi w:val="0"/>
              <w:spacing w:lineRule="atLeast" w:line="280" w:before="0" w:after="0"/>
              <w:jc w:val="left"/>
              <w:rPr>
                <w:color w:val="3E3935"/>
              </w:rPr>
            </w:pPr>
            <w:r>
              <w:rPr>
                <w:color w:val="3E3935"/>
              </w:rPr>
              <w:t xml:space="preserve">☐  </w:t>
            </w:r>
          </w:p>
        </w:tc>
        <w:tc>
          <w:tcPr>
            <w:tcW w:w="101" w:type="dxa"/>
            <w:tcBorders>
              <w:left w:val="single" w:sz="2" w:space="0" w:color="3E3935"/>
              <w:bottom w:val="single" w:sz="2" w:space="0" w:color="3E3935"/>
            </w:tcBorders>
            <w:tcMar>
              <w:left w:w="28" w:type="dxa"/>
              <w:bottom w:w="28" w:type="dxa"/>
            </w:tcMar>
            <w:vAlign w:val="bottom"/>
          </w:tcPr>
          <w:p>
            <w:pPr>
              <w:pStyle w:val="TableContents"/>
              <w:bidi w:val="0"/>
              <w:spacing w:before="0" w:after="283"/>
              <w:jc w:val="left"/>
              <w:rPr/>
            </w:pPr>
            <w:r>
              <w:rPr/>
              <w:t> </w:t>
            </w:r>
          </w:p>
        </w:tc>
        <w:tc>
          <w:tcPr>
            <w:tcW w:w="9598" w:type="dxa"/>
            <w:tcBorders>
              <w:bottom w:val="single" w:sz="2" w:space="0" w:color="3E3935"/>
              <w:right w:val="single" w:sz="2" w:space="0" w:color="3E3935"/>
            </w:tcBorders>
            <w:tcMar>
              <w:bottom w:w="28" w:type="dxa"/>
              <w:right w:w="40" w:type="dxa"/>
            </w:tcMar>
            <w:vAlign w:val="bottom"/>
          </w:tcPr>
          <w:p>
            <w:pPr>
              <w:pStyle w:val="TableContents"/>
              <w:bidi w:val="0"/>
              <w:spacing w:lineRule="atLeast" w:line="280" w:before="0" w:after="0"/>
              <w:jc w:val="both"/>
              <w:rPr>
                <w:rFonts w:ascii="arial" w:hAnsi="arial"/>
                <w:color w:val="3E3935"/>
                <w:sz w:val="18"/>
              </w:rPr>
            </w:pPr>
            <w:r>
              <w:rPr>
                <w:rFonts w:ascii="arial" w:hAnsi="arial"/>
                <w:color w:val="3E3935"/>
                <w:sz w:val="18"/>
              </w:rPr>
              <w:t>Definitive Proxy Statement</w:t>
            </w:r>
          </w:p>
        </w:tc>
      </w:tr>
      <w:tr>
        <w:trPr/>
        <w:tc>
          <w:tcPr>
            <w:tcW w:w="403" w:type="dxa"/>
            <w:tcBorders>
              <w:left w:val="single" w:sz="2" w:space="0" w:color="3E3935"/>
              <w:bottom w:val="single" w:sz="2" w:space="0" w:color="3E3935"/>
            </w:tcBorders>
            <w:tcMar>
              <w:left w:w="160" w:type="dxa"/>
              <w:bottom w:w="28" w:type="dxa"/>
            </w:tcMar>
          </w:tcPr>
          <w:p>
            <w:pPr>
              <w:pStyle w:val="TableContents"/>
              <w:bidi w:val="0"/>
              <w:spacing w:lineRule="atLeast" w:line="280" w:before="0" w:after="0"/>
              <w:jc w:val="left"/>
              <w:rPr>
                <w:color w:val="3E3935"/>
              </w:rPr>
            </w:pPr>
            <w:r>
              <w:rPr>
                <w:color w:val="3E3935"/>
              </w:rPr>
              <w:t xml:space="preserve">☑  </w:t>
            </w:r>
          </w:p>
        </w:tc>
        <w:tc>
          <w:tcPr>
            <w:tcW w:w="101" w:type="dxa"/>
            <w:tcBorders>
              <w:left w:val="single" w:sz="2" w:space="0" w:color="3E3935"/>
              <w:bottom w:val="single" w:sz="2" w:space="0" w:color="3E3935"/>
            </w:tcBorders>
            <w:tcMar>
              <w:left w:w="28" w:type="dxa"/>
              <w:bottom w:w="28" w:type="dxa"/>
            </w:tcMar>
            <w:vAlign w:val="bottom"/>
          </w:tcPr>
          <w:p>
            <w:pPr>
              <w:pStyle w:val="TableContents"/>
              <w:bidi w:val="0"/>
              <w:spacing w:before="0" w:after="283"/>
              <w:jc w:val="left"/>
              <w:rPr/>
            </w:pPr>
            <w:r>
              <w:rPr/>
              <w:t> </w:t>
            </w:r>
          </w:p>
        </w:tc>
        <w:tc>
          <w:tcPr>
            <w:tcW w:w="9598" w:type="dxa"/>
            <w:tcBorders>
              <w:bottom w:val="single" w:sz="2" w:space="0" w:color="3E3935"/>
              <w:right w:val="single" w:sz="2" w:space="0" w:color="3E3935"/>
            </w:tcBorders>
            <w:tcMar>
              <w:bottom w:w="28" w:type="dxa"/>
              <w:right w:w="40" w:type="dxa"/>
            </w:tcMar>
            <w:vAlign w:val="bottom"/>
          </w:tcPr>
          <w:p>
            <w:pPr>
              <w:pStyle w:val="TableContents"/>
              <w:bidi w:val="0"/>
              <w:spacing w:lineRule="atLeast" w:line="280" w:before="0" w:after="0"/>
              <w:jc w:val="both"/>
              <w:rPr>
                <w:rFonts w:ascii="arial" w:hAnsi="arial"/>
                <w:color w:val="3E3935"/>
                <w:sz w:val="18"/>
              </w:rPr>
            </w:pPr>
            <w:r>
              <w:rPr>
                <w:rFonts w:ascii="arial" w:hAnsi="arial"/>
                <w:color w:val="3E3935"/>
                <w:sz w:val="18"/>
              </w:rPr>
              <w:t>Definitive Additional Materials</w:t>
            </w:r>
          </w:p>
        </w:tc>
      </w:tr>
      <w:tr>
        <w:trPr/>
        <w:tc>
          <w:tcPr>
            <w:tcW w:w="403" w:type="dxa"/>
            <w:tcBorders>
              <w:left w:val="single" w:sz="2" w:space="0" w:color="3E3935"/>
              <w:bottom w:val="single" w:sz="2" w:space="0" w:color="3E3935"/>
            </w:tcBorders>
            <w:tcMar>
              <w:left w:w="160" w:type="dxa"/>
              <w:bottom w:w="28" w:type="dxa"/>
            </w:tcMar>
          </w:tcPr>
          <w:p>
            <w:pPr>
              <w:pStyle w:val="TableContents"/>
              <w:bidi w:val="0"/>
              <w:spacing w:lineRule="atLeast" w:line="280" w:before="0" w:after="0"/>
              <w:jc w:val="left"/>
              <w:rPr>
                <w:color w:val="3E3935"/>
              </w:rPr>
            </w:pPr>
            <w:r>
              <w:rPr>
                <w:color w:val="3E3935"/>
              </w:rPr>
              <w:t xml:space="preserve">☐  </w:t>
            </w:r>
          </w:p>
        </w:tc>
        <w:tc>
          <w:tcPr>
            <w:tcW w:w="101" w:type="dxa"/>
            <w:tcBorders>
              <w:left w:val="single" w:sz="2" w:space="0" w:color="3E3935"/>
              <w:bottom w:val="single" w:sz="2" w:space="0" w:color="3E3935"/>
            </w:tcBorders>
            <w:tcMar>
              <w:left w:w="28" w:type="dxa"/>
              <w:bottom w:w="28" w:type="dxa"/>
            </w:tcMar>
            <w:vAlign w:val="bottom"/>
          </w:tcPr>
          <w:p>
            <w:pPr>
              <w:pStyle w:val="TableContents"/>
              <w:bidi w:val="0"/>
              <w:spacing w:before="0" w:after="283"/>
              <w:jc w:val="left"/>
              <w:rPr/>
            </w:pPr>
            <w:r>
              <w:rPr/>
              <w:t> </w:t>
            </w:r>
          </w:p>
        </w:tc>
        <w:tc>
          <w:tcPr>
            <w:tcW w:w="9598" w:type="dxa"/>
            <w:tcBorders>
              <w:bottom w:val="single" w:sz="2" w:space="0" w:color="3E3935"/>
              <w:right w:val="single" w:sz="2" w:space="0" w:color="3E3935"/>
            </w:tcBorders>
            <w:tcMar>
              <w:bottom w:w="28" w:type="dxa"/>
              <w:right w:w="40" w:type="dxa"/>
            </w:tcMar>
            <w:vAlign w:val="bottom"/>
          </w:tcPr>
          <w:p>
            <w:pPr>
              <w:pStyle w:val="TableContents"/>
              <w:bidi w:val="0"/>
              <w:spacing w:lineRule="atLeast" w:line="280" w:before="0" w:after="0"/>
              <w:jc w:val="both"/>
              <w:rPr>
                <w:rFonts w:ascii="arial" w:hAnsi="arial"/>
                <w:color w:val="3E3935"/>
                <w:sz w:val="18"/>
              </w:rPr>
            </w:pPr>
            <w:r>
              <w:rPr>
                <w:rFonts w:ascii="arial" w:hAnsi="arial"/>
                <w:color w:val="3E3935"/>
                <w:sz w:val="18"/>
              </w:rPr>
              <w:t>Soliciting Material under ss.240.14a-12</w:t>
            </w:r>
          </w:p>
        </w:tc>
      </w:tr>
    </w:tbl>
    <w:p>
      <w:pPr>
        <w:pStyle w:val="TextBody"/>
        <w:bidi w:val="0"/>
        <w:spacing w:before="240" w:after="0"/>
        <w:jc w:val="center"/>
        <w:rPr>
          <w:rFonts w:ascii="arial" w:hAnsi="arial"/>
          <w:b/>
          <w:color w:val="0071CE"/>
          <w:sz w:val="36"/>
        </w:rPr>
      </w:pPr>
      <w:r>
        <w:rPr>
          <w:rFonts w:ascii="arial" w:hAnsi="arial"/>
          <w:b/>
          <w:color w:val="0071CE"/>
          <w:sz w:val="36"/>
        </w:rPr>
        <w:t xml:space="preserve">GENERAL MOTORS COMPANY </w:t>
      </w:r>
    </w:p>
    <w:p>
      <w:pPr>
        <w:pStyle w:val="TextBody"/>
        <w:bidi w:val="0"/>
        <w:spacing w:before="0" w:after="0"/>
        <w:jc w:val="center"/>
        <w:rPr>
          <w:rFonts w:ascii="arial" w:hAnsi="arial"/>
          <w:color w:val="3E3935"/>
          <w:sz w:val="24"/>
        </w:rPr>
      </w:pPr>
      <w:r>
        <w:rPr>
          <w:rFonts w:ascii="arial" w:hAnsi="arial"/>
          <w:color w:val="3E3935"/>
          <w:sz w:val="24"/>
        </w:rPr>
        <w:t xml:space="preserve">300 Renaissance Center, Detroit, Michigan 48265 </w:t>
      </w:r>
    </w:p>
    <w:p>
      <w:pPr>
        <w:pStyle w:val="TextBody"/>
        <w:bidi w:val="0"/>
        <w:spacing w:before="240" w:after="0"/>
        <w:jc w:val="center"/>
        <w:rPr>
          <w:rFonts w:ascii="arial" w:hAnsi="arial"/>
          <w:i/>
          <w:color w:val="3E3935"/>
          <w:sz w:val="18"/>
        </w:rPr>
      </w:pPr>
      <w:r>
        <w:rPr>
          <w:rFonts w:ascii="arial" w:hAnsi="arial"/>
          <w:i/>
          <w:color w:val="3E3935"/>
          <w:sz w:val="18"/>
        </w:rPr>
        <w:t xml:space="preserve">(Name of Registrant as Specified In Its Charter) </w:t>
      </w:r>
    </w:p>
    <w:p>
      <w:pPr>
        <w:pStyle w:val="TextBody"/>
        <w:bidi w:val="0"/>
        <w:spacing w:before="0" w:after="0"/>
        <w:jc w:val="center"/>
        <w:rPr>
          <w:rFonts w:ascii="arial" w:hAnsi="arial"/>
          <w:i/>
          <w:color w:val="3E3935"/>
          <w:sz w:val="18"/>
        </w:rPr>
      </w:pPr>
      <w:r>
        <w:rPr>
          <w:rFonts w:ascii="arial" w:hAnsi="arial"/>
          <w:i/>
          <w:color w:val="3E3935"/>
          <w:sz w:val="18"/>
        </w:rPr>
        <w:t xml:space="preserve">(Name of Person(s) Filing Proxy Statement, if other than the Registrant) </w:t>
      </w:r>
    </w:p>
    <w:p>
      <w:pPr>
        <w:pStyle w:val="TextBody"/>
        <w:bidi w:val="0"/>
        <w:spacing w:before="0" w:after="0"/>
        <w:jc w:val="left"/>
        <w:rPr/>
      </w:pPr>
      <w:r>
        <w:rPr/>
        <w:t> </w:t>
      </w:r>
    </w:p>
    <w:tbl>
      <w:tblPr>
        <w:tblW w:w="4950" w:type="pct"/>
        <w:jc w:val="center"/>
        <w:tblInd w:w="0" w:type="dxa"/>
        <w:tblLayout w:type="fixed"/>
        <w:tblCellMar>
          <w:top w:w="0" w:type="dxa"/>
          <w:left w:w="0" w:type="dxa"/>
          <w:bottom w:w="0" w:type="dxa"/>
          <w:right w:w="0" w:type="dxa"/>
        </w:tblCellMar>
      </w:tblPr>
      <w:tblGrid>
        <w:gridCol w:w="437"/>
        <w:gridCol w:w="121"/>
        <w:gridCol w:w="9544"/>
      </w:tblGrid>
      <w:tr>
        <w:trPr/>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544"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102" w:type="dxa"/>
            <w:gridSpan w:val="3"/>
            <w:tcBorders>
              <w:top w:val="single" w:sz="2" w:space="0" w:color="3E3935"/>
              <w:left w:val="single" w:sz="2" w:space="0" w:color="3E3935"/>
              <w:right w:val="single" w:sz="2" w:space="0" w:color="3E3935"/>
            </w:tcBorders>
            <w:shd w:fill="CCF2F8" w:val="clear"/>
            <w:tcMar>
              <w:top w:w="28" w:type="dxa"/>
              <w:left w:w="160" w:type="dxa"/>
              <w:right w:w="28" w:type="dxa"/>
            </w:tcMar>
            <w:vAlign w:val="center"/>
          </w:tcPr>
          <w:p>
            <w:pPr>
              <w:pStyle w:val="TableContents"/>
              <w:bidi w:val="0"/>
              <w:spacing w:before="0" w:after="283"/>
              <w:jc w:val="left"/>
              <w:rPr/>
            </w:pPr>
            <w:r>
              <w:rPr/>
              <w:t> </w:t>
            </w:r>
          </w:p>
        </w:tc>
      </w:tr>
      <w:tr>
        <w:trPr/>
        <w:tc>
          <w:tcPr>
            <w:tcW w:w="10102" w:type="dxa"/>
            <w:gridSpan w:val="3"/>
            <w:tcBorders>
              <w:left w:val="single" w:sz="2" w:space="0" w:color="3E3935"/>
              <w:bottom w:val="single" w:sz="2" w:space="0" w:color="3E3935"/>
              <w:right w:val="single" w:sz="2" w:space="0" w:color="3E3935"/>
            </w:tcBorders>
            <w:shd w:fill="CCF2F8" w:val="clear"/>
            <w:tcMar>
              <w:left w:w="160" w:type="dxa"/>
              <w:bottom w:w="28" w:type="dxa"/>
              <w:right w:w="40" w:type="dxa"/>
            </w:tcMar>
          </w:tcPr>
          <w:p>
            <w:pPr>
              <w:pStyle w:val="TableContents"/>
              <w:bidi w:val="0"/>
              <w:spacing w:lineRule="atLeast" w:line="280" w:before="0" w:after="0"/>
              <w:jc w:val="left"/>
              <w:rPr>
                <w:rFonts w:ascii="arial" w:hAnsi="arial"/>
                <w:b/>
                <w:color w:val="3E3935"/>
                <w:sz w:val="26"/>
              </w:rPr>
            </w:pPr>
            <w:r>
              <w:rPr>
                <w:rFonts w:ascii="arial" w:hAnsi="arial"/>
                <w:b/>
                <w:color w:val="3E3935"/>
                <w:sz w:val="26"/>
              </w:rPr>
              <w:t>Payment of Filing Fee (Check all boxes that apply):</w:t>
            </w:r>
          </w:p>
        </w:tc>
      </w:tr>
      <w:tr>
        <w:trPr/>
        <w:tc>
          <w:tcPr>
            <w:tcW w:w="437" w:type="dxa"/>
            <w:tcBorders>
              <w:left w:val="single" w:sz="2" w:space="0" w:color="3E3935"/>
              <w:bottom w:val="single" w:sz="2" w:space="0" w:color="3E3935"/>
            </w:tcBorders>
            <w:shd w:fill="CCF2F8" w:val="clear"/>
            <w:tcMar>
              <w:left w:w="160" w:type="dxa"/>
              <w:bottom w:w="28" w:type="dxa"/>
            </w:tcMar>
          </w:tcPr>
          <w:p>
            <w:pPr>
              <w:pStyle w:val="TableContents"/>
              <w:bidi w:val="0"/>
              <w:spacing w:lineRule="atLeast" w:line="280" w:before="0" w:after="0"/>
              <w:jc w:val="left"/>
              <w:rPr/>
            </w:pPr>
            <w:r>
              <w:rPr>
                <w:color w:val="3E3935"/>
              </w:rPr>
              <w:t> ☑</w:t>
            </w:r>
            <w:r>
              <w:rPr/>
              <w:t xml:space="preserve"> </w:t>
            </w:r>
          </w:p>
        </w:tc>
        <w:tc>
          <w:tcPr>
            <w:tcW w:w="121" w:type="dxa"/>
            <w:tcBorders>
              <w:left w:val="single" w:sz="2" w:space="0" w:color="3E3935"/>
              <w:bottom w:val="single" w:sz="2" w:space="0" w:color="3E3935"/>
            </w:tcBorders>
            <w:shd w:fill="CCF2F8" w:val="clear"/>
            <w:tcMar>
              <w:left w:w="28" w:type="dxa"/>
              <w:bottom w:w="28" w:type="dxa"/>
            </w:tcMar>
            <w:vAlign w:val="bottom"/>
          </w:tcPr>
          <w:p>
            <w:pPr>
              <w:pStyle w:val="TableContents"/>
              <w:bidi w:val="0"/>
              <w:spacing w:before="0" w:after="283"/>
              <w:jc w:val="left"/>
              <w:rPr/>
            </w:pPr>
            <w:r>
              <w:rPr/>
              <w:t>  </w:t>
            </w:r>
          </w:p>
        </w:tc>
        <w:tc>
          <w:tcPr>
            <w:tcW w:w="9544" w:type="dxa"/>
            <w:tcBorders>
              <w:bottom w:val="single" w:sz="2" w:space="0" w:color="3E3935"/>
              <w:right w:val="single" w:sz="2" w:space="0" w:color="3E3935"/>
            </w:tcBorders>
            <w:shd w:fill="CCF2F8" w:val="clear"/>
            <w:tcMar>
              <w:bottom w:w="28" w:type="dxa"/>
              <w:right w:w="40" w:type="dxa"/>
            </w:tcMar>
            <w:vAlign w:val="bottom"/>
          </w:tcPr>
          <w:p>
            <w:pPr>
              <w:pStyle w:val="TableContents"/>
              <w:bidi w:val="0"/>
              <w:spacing w:lineRule="atLeast" w:line="280" w:before="0" w:after="0"/>
              <w:jc w:val="left"/>
              <w:rPr>
                <w:rFonts w:ascii="arial" w:hAnsi="arial"/>
                <w:b/>
                <w:color w:val="3E3935"/>
                <w:sz w:val="18"/>
              </w:rPr>
            </w:pPr>
            <w:r>
              <w:rPr>
                <w:rFonts w:ascii="arial" w:hAnsi="arial"/>
                <w:b/>
                <w:color w:val="3E3935"/>
                <w:sz w:val="18"/>
              </w:rPr>
              <w:t>No fee required</w:t>
            </w:r>
          </w:p>
        </w:tc>
      </w:tr>
      <w:tr>
        <w:trPr/>
        <w:tc>
          <w:tcPr>
            <w:tcW w:w="437" w:type="dxa"/>
            <w:tcBorders>
              <w:left w:val="single" w:sz="2" w:space="0" w:color="3E3935"/>
              <w:bottom w:val="single" w:sz="2" w:space="0" w:color="3E3935"/>
            </w:tcBorders>
            <w:shd w:fill="CCF2F8" w:val="clear"/>
            <w:tcMar>
              <w:left w:w="160" w:type="dxa"/>
              <w:bottom w:w="28" w:type="dxa"/>
            </w:tcMar>
          </w:tcPr>
          <w:p>
            <w:pPr>
              <w:pStyle w:val="TableContents"/>
              <w:bidi w:val="0"/>
              <w:spacing w:lineRule="atLeast" w:line="280" w:before="0" w:after="0"/>
              <w:jc w:val="left"/>
              <w:rPr>
                <w:color w:val="3E3935"/>
              </w:rPr>
            </w:pPr>
            <w:r>
              <w:rPr>
                <w:color w:val="3E3935"/>
              </w:rPr>
              <w:t xml:space="preserve"> ☐  </w:t>
            </w:r>
          </w:p>
        </w:tc>
        <w:tc>
          <w:tcPr>
            <w:tcW w:w="121" w:type="dxa"/>
            <w:tcBorders>
              <w:left w:val="single" w:sz="2" w:space="0" w:color="3E3935"/>
              <w:bottom w:val="single" w:sz="2" w:space="0" w:color="3E3935"/>
            </w:tcBorders>
            <w:shd w:fill="CCF2F8" w:val="clear"/>
            <w:tcMar>
              <w:left w:w="28" w:type="dxa"/>
              <w:bottom w:w="28" w:type="dxa"/>
            </w:tcMar>
            <w:vAlign w:val="bottom"/>
          </w:tcPr>
          <w:p>
            <w:pPr>
              <w:pStyle w:val="TableContents"/>
              <w:bidi w:val="0"/>
              <w:spacing w:before="0" w:after="283"/>
              <w:jc w:val="left"/>
              <w:rPr/>
            </w:pPr>
            <w:r>
              <w:rPr/>
              <w:t>  </w:t>
            </w:r>
          </w:p>
        </w:tc>
        <w:tc>
          <w:tcPr>
            <w:tcW w:w="9544" w:type="dxa"/>
            <w:tcBorders>
              <w:bottom w:val="single" w:sz="2" w:space="0" w:color="3E3935"/>
              <w:right w:val="single" w:sz="2" w:space="0" w:color="3E3935"/>
            </w:tcBorders>
            <w:shd w:fill="CCF2F8" w:val="clear"/>
            <w:tcMar>
              <w:bottom w:w="28" w:type="dxa"/>
              <w:right w:w="40" w:type="dxa"/>
            </w:tcMar>
            <w:vAlign w:val="bottom"/>
          </w:tcPr>
          <w:p>
            <w:pPr>
              <w:pStyle w:val="TableContents"/>
              <w:bidi w:val="0"/>
              <w:spacing w:lineRule="atLeast" w:line="280" w:before="0" w:after="0"/>
              <w:jc w:val="left"/>
              <w:rPr>
                <w:rFonts w:ascii="arial" w:hAnsi="arial"/>
                <w:b/>
                <w:color w:val="3E3935"/>
                <w:sz w:val="18"/>
              </w:rPr>
            </w:pPr>
            <w:r>
              <w:rPr>
                <w:rFonts w:ascii="arial" w:hAnsi="arial"/>
                <w:b/>
                <w:color w:val="3E3935"/>
                <w:sz w:val="18"/>
              </w:rPr>
              <w:t>Fee paid previously with preliminary materials</w:t>
            </w:r>
          </w:p>
        </w:tc>
      </w:tr>
      <w:tr>
        <w:trPr/>
        <w:tc>
          <w:tcPr>
            <w:tcW w:w="437" w:type="dxa"/>
            <w:tcBorders>
              <w:left w:val="single" w:sz="2" w:space="0" w:color="3E3935"/>
              <w:bottom w:val="single" w:sz="2" w:space="0" w:color="3E3935"/>
            </w:tcBorders>
            <w:shd w:fill="CCF2F8" w:val="clear"/>
            <w:tcMar>
              <w:left w:w="160" w:type="dxa"/>
              <w:bottom w:w="28" w:type="dxa"/>
            </w:tcMar>
          </w:tcPr>
          <w:p>
            <w:pPr>
              <w:pStyle w:val="TableContents"/>
              <w:bidi w:val="0"/>
              <w:spacing w:lineRule="atLeast" w:line="280" w:before="0" w:after="0"/>
              <w:jc w:val="left"/>
              <w:rPr>
                <w:color w:val="3E3935"/>
              </w:rPr>
            </w:pPr>
            <w:r>
              <w:rPr>
                <w:color w:val="3E3935"/>
              </w:rPr>
              <w:t xml:space="preserve"> ☐  </w:t>
            </w:r>
          </w:p>
        </w:tc>
        <w:tc>
          <w:tcPr>
            <w:tcW w:w="121" w:type="dxa"/>
            <w:tcBorders>
              <w:left w:val="single" w:sz="2" w:space="0" w:color="3E3935"/>
              <w:bottom w:val="single" w:sz="2" w:space="0" w:color="3E3935"/>
            </w:tcBorders>
            <w:shd w:fill="CCF2F8" w:val="clear"/>
            <w:tcMar>
              <w:left w:w="28" w:type="dxa"/>
              <w:bottom w:w="28" w:type="dxa"/>
            </w:tcMar>
            <w:vAlign w:val="bottom"/>
          </w:tcPr>
          <w:p>
            <w:pPr>
              <w:pStyle w:val="TableContents"/>
              <w:bidi w:val="0"/>
              <w:spacing w:before="0" w:after="283"/>
              <w:jc w:val="left"/>
              <w:rPr/>
            </w:pPr>
            <w:r>
              <w:rPr/>
              <w:t>  </w:t>
            </w:r>
          </w:p>
        </w:tc>
        <w:tc>
          <w:tcPr>
            <w:tcW w:w="9544" w:type="dxa"/>
            <w:tcBorders>
              <w:bottom w:val="single" w:sz="2" w:space="0" w:color="3E3935"/>
              <w:right w:val="single" w:sz="2" w:space="0" w:color="3E3935"/>
            </w:tcBorders>
            <w:shd w:fill="CCF2F8" w:val="clear"/>
            <w:tcMar>
              <w:bottom w:w="28" w:type="dxa"/>
              <w:right w:w="40" w:type="dxa"/>
            </w:tcMar>
            <w:vAlign w:val="bottom"/>
          </w:tcPr>
          <w:p>
            <w:pPr>
              <w:pStyle w:val="TableContents"/>
              <w:bidi w:val="0"/>
              <w:spacing w:lineRule="atLeast" w:line="280" w:before="0" w:after="0"/>
              <w:jc w:val="left"/>
              <w:rPr>
                <w:rFonts w:ascii="arial" w:hAnsi="arial"/>
                <w:b/>
                <w:color w:val="3E3935"/>
                <w:sz w:val="18"/>
              </w:rPr>
            </w:pPr>
            <w:r>
              <w:rPr>
                <w:rFonts w:ascii="arial" w:hAnsi="arial"/>
                <w:b/>
                <w:color w:val="3E3935"/>
                <w:sz w:val="18"/>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810500" cy="10106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GENERAL MOTORS COMPANY GENERAL MOTORS GLOBAL HEADQUARTERS MAIL CODE 482-C24-A68 300 RENAISSANCE CENTER DETROIT, MI 48265 Your Vote Counts! GENERAL MOTORS COMPANY 2024 Annual Meeting Vote by June 3, 2024 11:59 PM ET V46923-P10415 You invested in GENERAL MOTORS COMPANY and its time to vote! You have the right to vote on proposals being presented at the Annual Meeting. This is an important notice regarding the availability of proxy materials for the shareholder meeting to be held on June 4, 2024. Get informed before you vote View the Proxy Statement, Notice of 2024 Annual Meeting of Shareholders and 2023 Annual Report online OR you can receive a free paper or email copy of the material(s) by requesting prior to May 21, 2024.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4, 2024 11:00 a.m. Eastern Time Virtually at: www.virtualshareholdermeeting.com/GM2024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10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both"/>
        <w:rPr>
          <w:rFonts w:ascii="arial" w:hAnsi="arial"/>
          <w:color w:val="FFFFFF"/>
          <w:sz w:val="2"/>
        </w:rPr>
      </w:pPr>
      <w:r>
        <w:rPr>
          <w:rFonts w:ascii="arial" w:hAnsi="arial"/>
          <w:color w:val="FFFFFF"/>
          <w:sz w:val="2"/>
        </w:rPr>
        <w:t xml:space="preserve">Vote at www.ProxyVote.com THIS IS NOT A VOTABLE BALLOT This is an overview of the proposals being presented at the upcoming shareholder meeting. Please follow the instructions on the reverse side to vote these important matters. Board Voting Items Recommends 1. Election of Directors Nominees: 1a. Mary T. Barra For 1b. Wesley G. Bush For 1c. Joanne C. Crevoiserat For 1d. Linda R. Gooden For 1e. Joseph Jimenez For 1f. Jonathan McNeill For 1g. Judith A. Miscik For 1h. Patricia F. Russo For 1i. Thomas M. Schoewe For 1j. Mark A. Tatum For 1k. Jan E. Tighe For 1l. Devin N. Wenig For 2. Ratification of the Selection of Ernst &amp; Young LLP as the Companys Independent Registered Public Accounting Firm for 2024 For 3. Advisory Approval of Named Executive Officer Compensation For 4. Shareholder Proposal Requesting a Report on the Use of Child Labor in Connection with the Companys EV Supply Against Chain 5. Shareholder Proposal to Eliminate EV Targets from Incentive Compensation Programs Against 6. Shareholder Proposal Requesting a Report on the Companys Use of Deep-Sea Mined Minerals in its Production and Against Supply Chains 7. Shareholder Proposal Requesting a Report on Sustainability Risk in the Companys Supply Chain Against Prefer to receive an email instead? While voting on www.ProxyVote.com, be sure to click Delivery Settings. V46924-P10415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601</Words>
  <Characters>3150</Characters>
  <CharactersWithSpaces>3772</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