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17, 2010</w:t>
      </w:r>
    </w:p>
    <w:p>
      <w:pPr>
        <w:spacing w:after="0" w:line="2" w:lineRule="exact"/>
        <w:rPr>
          <w:sz w:val="24"/>
          <w:szCs w:val="24"/>
          <w:color w:val="auto"/>
        </w:rPr>
      </w:pPr>
    </w:p>
    <w:p>
      <w:pPr>
        <w:ind w:left="10540"/>
        <w:spacing w:after="0"/>
        <w:rPr>
          <w:sz w:val="20"/>
          <w:szCs w:val="20"/>
          <w:color w:val="auto"/>
        </w:rPr>
      </w:pPr>
      <w:r>
        <w:rPr>
          <w:rFonts w:ascii="Arial" w:cs="Arial" w:eastAsia="Arial" w:hAnsi="Arial"/>
          <w:sz w:val="12"/>
          <w:szCs w:val="12"/>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-232410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-232410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5" w:right="239" w:bottom="1440" w:gutter="0" w:footer="0" w:header="0"/>
        </w:sect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5"/>
          <w:szCs w:val="15"/>
          <w:b w:val="1"/>
          <w:bCs w:val="1"/>
          <w:color w:val="auto"/>
        </w:rPr>
        <w:t>3711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27-0756180</w:t>
      </w:r>
    </w:p>
    <w:p>
      <w:pPr>
        <w:spacing w:after="0" w:line="56" w:lineRule="exact"/>
        <w:rPr>
          <w:sz w:val="24"/>
          <w:szCs w:val="24"/>
          <w:color w:val="auto"/>
        </w:rPr>
      </w:pPr>
    </w:p>
    <w:p>
      <w:pPr>
        <w:sectPr>
          <w:pgSz w:w="11900" w:h="16838" w:orient="portrait"/>
          <w:cols w:equalWidth="0" w:num="3">
            <w:col w:w="4960" w:space="720"/>
            <w:col w:w="2780" w:space="720"/>
            <w:col w:w="2240"/>
          </w:cols>
          <w:pgMar w:left="240" w:top="235" w:right="239" w:bottom="1440" w:gutter="0" w:footer="0" w:header="0"/>
          <w:type w:val="continuous"/>
        </w:sectPr>
      </w:pPr>
    </w:p>
    <w:p>
      <w:pPr>
        <w:ind w:left="1160"/>
        <w:spacing w:after="0"/>
        <w:rPr>
          <w:sz w:val="20"/>
          <w:szCs w:val="20"/>
          <w:color w:val="auto"/>
        </w:rPr>
      </w:pPr>
      <w:r>
        <w:rPr>
          <w:rFonts w:ascii="Arial" w:cs="Arial" w:eastAsia="Arial" w:hAnsi="Arial"/>
          <w:sz w:val="12"/>
          <w:szCs w:val="12"/>
          <w:color w:val="auto"/>
        </w:rPr>
        <w:t>(State or other jurisdiction of</w:t>
      </w:r>
    </w:p>
    <w:p>
      <w:pPr>
        <w:spacing w:after="0" w:line="14" w:lineRule="exact"/>
        <w:rPr>
          <w:sz w:val="24"/>
          <w:szCs w:val="24"/>
          <w:color w:val="auto"/>
        </w:rPr>
      </w:pPr>
    </w:p>
    <w:p>
      <w:pPr>
        <w:ind w:left="1140"/>
        <w:spacing w:after="0"/>
        <w:rPr>
          <w:sz w:val="20"/>
          <w:szCs w:val="20"/>
          <w:color w:val="auto"/>
        </w:rPr>
      </w:pPr>
      <w:r>
        <w:rPr>
          <w:rFonts w:ascii="Arial" w:cs="Arial" w:eastAsia="Arial" w:hAnsi="Arial"/>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(Primary Standard Industrial</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color w:val="auto"/>
        </w:rPr>
        <w:t>Identification No.)</w:t>
      </w:r>
    </w:p>
    <w:p>
      <w:pPr>
        <w:spacing w:after="0" w:line="35" w:lineRule="exact"/>
        <w:rPr>
          <w:sz w:val="24"/>
          <w:szCs w:val="24"/>
          <w:color w:val="auto"/>
        </w:rPr>
      </w:pPr>
    </w:p>
    <w:p>
      <w:pPr>
        <w:sectPr>
          <w:pgSz w:w="11900" w:h="16838" w:orient="portrait"/>
          <w:cols w:equalWidth="0" w:num="3">
            <w:col w:w="4340" w:space="720"/>
            <w:col w:w="3320" w:space="720"/>
            <w:col w:w="2320"/>
          </w:cols>
          <w:pgMar w:left="240" w:top="23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Detroit, Michigan 48265-3000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ectPr>
          <w:pgSz w:w="11900" w:h="16838" w:orient="portrait"/>
          <w:cols w:equalWidth="0" w:num="1">
            <w:col w:w="11420"/>
          </w:cols>
          <w:pgMar w:left="240" w:top="235" w:right="2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62230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Nick S. Cyprus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Controller and Chief Accounting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70485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of all communications, including communications sent to agent for service, should be sent to:</w:t>
      </w:r>
    </w:p>
    <w:p>
      <w:pPr>
        <w:spacing w:after="0" w:line="1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3080" w:type="dxa"/>
            <w:vAlign w:val="bottom"/>
          </w:tcPr>
          <w:p>
            <w:pPr>
              <w:jc w:val="center"/>
              <w:ind w:right="752"/>
              <w:spacing w:after="0"/>
              <w:rPr>
                <w:sz w:val="20"/>
                <w:szCs w:val="20"/>
                <w:color w:val="auto"/>
              </w:rPr>
            </w:pPr>
            <w:r>
              <w:rPr>
                <w:rFonts w:ascii="Arial" w:cs="Arial" w:eastAsia="Arial" w:hAnsi="Arial"/>
                <w:sz w:val="18"/>
                <w:szCs w:val="18"/>
                <w:b w:val="1"/>
                <w:bCs w:val="1"/>
                <w:color w:val="auto"/>
                <w:w w:val="87"/>
              </w:rPr>
              <w:t>Robert C. Shrosbree, Esq.</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6"/>
              </w:rPr>
              <w:t>Joseph P. Gromacki, Esq.</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Richard A. Drucker, Esq.</w:t>
            </w:r>
          </w:p>
        </w:tc>
      </w:tr>
      <w:tr>
        <w:trPr>
          <w:trHeight w:val="216"/>
        </w:trPr>
        <w:tc>
          <w:tcPr>
            <w:tcW w:w="3080" w:type="dxa"/>
            <w:vAlign w:val="bottom"/>
          </w:tcPr>
          <w:p>
            <w:pPr>
              <w:jc w:val="center"/>
              <w:ind w:right="772"/>
              <w:spacing w:after="0"/>
              <w:rPr>
                <w:sz w:val="20"/>
                <w:szCs w:val="20"/>
                <w:color w:val="auto"/>
              </w:rPr>
            </w:pPr>
            <w:r>
              <w:rPr>
                <w:rFonts w:ascii="Arial" w:cs="Arial" w:eastAsia="Arial" w:hAnsi="Arial"/>
                <w:sz w:val="18"/>
                <w:szCs w:val="18"/>
                <w:b w:val="1"/>
                <w:bCs w:val="1"/>
                <w:color w:val="auto"/>
                <w:w w:val="90"/>
              </w:rPr>
              <w:t>General Motors Company</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William L. Tolbert, Jr., Esq.</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Sarah E. Beshar, Esq.</w:t>
            </w:r>
          </w:p>
        </w:tc>
      </w:tr>
      <w:tr>
        <w:trPr>
          <w:trHeight w:val="216"/>
        </w:trPr>
        <w:tc>
          <w:tcPr>
            <w:tcW w:w="3080" w:type="dxa"/>
            <w:vAlign w:val="bottom"/>
          </w:tcPr>
          <w:p>
            <w:pPr>
              <w:jc w:val="center"/>
              <w:ind w:right="772"/>
              <w:spacing w:after="0"/>
              <w:rPr>
                <w:sz w:val="20"/>
                <w:szCs w:val="20"/>
                <w:color w:val="auto"/>
              </w:rPr>
            </w:pPr>
            <w:r>
              <w:rPr>
                <w:rFonts w:ascii="Arial" w:cs="Arial" w:eastAsia="Arial" w:hAnsi="Arial"/>
                <w:sz w:val="18"/>
                <w:szCs w:val="18"/>
                <w:b w:val="1"/>
                <w:bCs w:val="1"/>
                <w:color w:val="auto"/>
                <w:w w:val="85"/>
              </w:rPr>
              <w:t>300 Renaissance Center</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8"/>
              </w:rPr>
              <w:t>Brian R. Boch, Esq.</w:t>
            </w:r>
          </w:p>
        </w:tc>
        <w:tc>
          <w:tcPr>
            <w:tcW w:w="2980" w:type="dxa"/>
            <w:vAlign w:val="bottom"/>
          </w:tcPr>
          <w:p>
            <w:pPr>
              <w:jc w:val="center"/>
              <w:ind w:left="732"/>
              <w:spacing w:after="0"/>
              <w:rPr>
                <w:sz w:val="20"/>
                <w:szCs w:val="20"/>
                <w:color w:val="auto"/>
              </w:rPr>
            </w:pPr>
            <w:r>
              <w:rPr>
                <w:rFonts w:ascii="Arial" w:cs="Arial" w:eastAsia="Arial" w:hAnsi="Arial"/>
                <w:sz w:val="18"/>
                <w:szCs w:val="18"/>
                <w:b w:val="1"/>
                <w:bCs w:val="1"/>
                <w:color w:val="auto"/>
                <w:w w:val="93"/>
              </w:rPr>
              <w:t>Davis Polk &amp; Wardwell LLP</w:t>
            </w:r>
          </w:p>
        </w:tc>
      </w:tr>
      <w:tr>
        <w:trPr>
          <w:trHeight w:val="216"/>
        </w:trPr>
        <w:tc>
          <w:tcPr>
            <w:tcW w:w="3080" w:type="dxa"/>
            <w:vAlign w:val="bottom"/>
          </w:tcPr>
          <w:p>
            <w:pPr>
              <w:jc w:val="center"/>
              <w:ind w:right="772"/>
              <w:spacing w:after="0"/>
              <w:rPr>
                <w:sz w:val="20"/>
                <w:szCs w:val="20"/>
                <w:color w:val="auto"/>
              </w:rPr>
            </w:pPr>
            <w:r>
              <w:rPr>
                <w:rFonts w:ascii="Arial" w:cs="Arial" w:eastAsia="Arial" w:hAnsi="Arial"/>
                <w:sz w:val="18"/>
                <w:szCs w:val="18"/>
                <w:b w:val="1"/>
                <w:bCs w:val="1"/>
                <w:color w:val="auto"/>
                <w:w w:val="89"/>
              </w:rPr>
              <w:t>Detroit, Michigan 48265-3000</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Jenner &amp; Block LLP</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6"/>
              </w:rPr>
              <w:t>450 Lexington Avenue</w:t>
            </w:r>
          </w:p>
        </w:tc>
      </w:tr>
      <w:tr>
        <w:trPr>
          <w:trHeight w:val="216"/>
        </w:trPr>
        <w:tc>
          <w:tcPr>
            <w:tcW w:w="3080" w:type="dxa"/>
            <w:vAlign w:val="bottom"/>
          </w:tcPr>
          <w:p>
            <w:pPr>
              <w:jc w:val="center"/>
              <w:ind w:right="772"/>
              <w:spacing w:after="0"/>
              <w:rPr>
                <w:sz w:val="20"/>
                <w:szCs w:val="20"/>
                <w:color w:val="auto"/>
              </w:rPr>
            </w:pPr>
            <w:r>
              <w:rPr>
                <w:rFonts w:ascii="Arial" w:cs="Arial" w:eastAsia="Arial" w:hAnsi="Arial"/>
                <w:sz w:val="18"/>
                <w:szCs w:val="18"/>
                <w:b w:val="1"/>
                <w:bCs w:val="1"/>
                <w:color w:val="auto"/>
                <w:w w:val="89"/>
              </w:rPr>
              <w:t>(313) 556-5000</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0"/>
              </w:rPr>
              <w:t>353 N. Clark Street</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New York, New York 10017</w:t>
            </w:r>
          </w:p>
        </w:tc>
      </w:tr>
      <w:tr>
        <w:trPr>
          <w:trHeight w:val="216"/>
        </w:trPr>
        <w:tc>
          <w:tcPr>
            <w:tcW w:w="308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8"/>
              </w:rPr>
              <w:t>Chicago, Illinois 60654-3456</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(212) 450-4000</w:t>
            </w:r>
          </w:p>
        </w:tc>
      </w:tr>
      <w:tr>
        <w:trPr>
          <w:trHeight w:val="228"/>
        </w:trPr>
        <w:tc>
          <w:tcPr>
            <w:tcW w:w="308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(312) 222-9350</w:t>
            </w:r>
          </w:p>
        </w:tc>
        <w:tc>
          <w:tcPr>
            <w:tcW w:w="2980" w:type="dxa"/>
            <w:vAlign w:val="bottom"/>
          </w:tcPr>
          <w:p>
            <w:pPr>
              <w:spacing w:after="0"/>
              <w:rPr>
                <w:sz w:val="19"/>
                <w:szCs w:val="19"/>
                <w:color w:val="auto"/>
              </w:rPr>
            </w:pPr>
          </w:p>
        </w:tc>
      </w:tr>
    </w:tbl>
    <w:p>
      <w:pPr>
        <w:spacing w:after="0" w:line="30"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68580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93"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48" w:lineRule="exact"/>
        <w:rPr>
          <w:sz w:val="24"/>
          <w:szCs w:val="24"/>
          <w:color w:val="auto"/>
        </w:rPr>
      </w:pPr>
    </w:p>
    <w:p>
      <w:pPr>
        <w:ind w:right="60" w:firstLine="342"/>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Arial" w:cs="Arial" w:eastAsia="Arial" w:hAnsi="Arial"/>
          <w:sz w:val="14"/>
          <w:szCs w:val="14"/>
          <w:color w:val="auto"/>
        </w:rPr>
        <w:t xml:space="preserve"> 333-168919</w:t>
      </w:r>
    </w:p>
    <w:p>
      <w:pPr>
        <w:spacing w:after="0" w:line="1" w:lineRule="exact"/>
        <w:rPr>
          <w:sz w:val="24"/>
          <w:szCs w:val="24"/>
          <w:color w:val="auto"/>
        </w:rPr>
      </w:pPr>
    </w:p>
    <w:p>
      <w:pPr>
        <w:ind w:right="160" w:firstLine="342"/>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1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80" w:type="dxa"/>
            <w:vAlign w:val="bottom"/>
          </w:tcPr>
          <w:p>
            <w:pPr>
              <w:ind w:left="440"/>
              <w:spacing w:after="0" w:line="127"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160" w:type="dxa"/>
            <w:vAlign w:val="bottom"/>
            <w:gridSpan w:val="2"/>
          </w:tcPr>
          <w:p>
            <w:pPr>
              <w:ind w:left="1220"/>
              <w:spacing w:after="0" w:line="127" w:lineRule="exact"/>
              <w:rPr>
                <w:sz w:val="20"/>
                <w:szCs w:val="20"/>
                <w:color w:val="auto"/>
              </w:rPr>
            </w:pPr>
            <w:r>
              <w:rPr>
                <w:rFonts w:ascii="Arial" w:cs="Arial" w:eastAsia="Arial" w:hAnsi="Arial"/>
                <w:sz w:val="14"/>
                <w:szCs w:val="14"/>
                <w:color w:val="auto"/>
                <w:w w:val="91"/>
              </w:rPr>
              <w:t>Accelerated filer</w:t>
            </w:r>
          </w:p>
        </w:tc>
        <w:tc>
          <w:tcPr>
            <w:tcW w:w="1280" w:type="dxa"/>
            <w:vAlign w:val="bottom"/>
          </w:tcPr>
          <w:p>
            <w:pPr>
              <w:ind w:left="40"/>
              <w:spacing w:after="0" w:line="126" w:lineRule="exact"/>
              <w:rPr>
                <w:sz w:val="20"/>
                <w:szCs w:val="20"/>
                <w:color w:val="auto"/>
              </w:rPr>
            </w:pPr>
            <w:r>
              <w:rPr>
                <w:rFonts w:ascii="MS PGothic" w:cs="MS PGothic" w:eastAsia="MS PGothic" w:hAnsi="MS PGothic"/>
                <w:sz w:val="14"/>
                <w:szCs w:val="14"/>
                <w:color w:val="auto"/>
              </w:rPr>
              <w:t>☐</w:t>
            </w:r>
          </w:p>
        </w:tc>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90"/>
        </w:trPr>
        <w:tc>
          <w:tcPr>
            <w:tcW w:w="20" w:type="dxa"/>
            <w:vAlign w:val="bottom"/>
          </w:tcPr>
          <w:p>
            <w:pPr>
              <w:spacing w:after="0"/>
              <w:rPr>
                <w:sz w:val="16"/>
                <w:szCs w:val="16"/>
                <w:color w:val="auto"/>
              </w:rPr>
            </w:pPr>
          </w:p>
        </w:tc>
        <w:tc>
          <w:tcPr>
            <w:tcW w:w="4580" w:type="dxa"/>
            <w:vAlign w:val="bottom"/>
          </w:tcPr>
          <w:p>
            <w:pPr>
              <w:ind w:left="440"/>
              <w:spacing w:after="0" w:line="161" w:lineRule="exact"/>
              <w:rPr>
                <w:sz w:val="20"/>
                <w:szCs w:val="20"/>
                <w:color w:val="auto"/>
              </w:rPr>
            </w:pPr>
            <w:r>
              <w:rPr>
                <w:rFonts w:ascii="Arial" w:cs="Arial" w:eastAsia="Arial" w:hAnsi="Arial"/>
                <w:sz w:val="14"/>
                <w:szCs w:val="14"/>
                <w:color w:val="auto"/>
                <w:w w:val="93"/>
              </w:rPr>
              <w:t xml:space="preserve">Non-accelerated filer (Do not check if a smaller reporting company)  </w:t>
            </w:r>
            <w:r>
              <w:rPr>
                <w:rFonts w:ascii="MS PGothic" w:cs="MS PGothic" w:eastAsia="MS PGothic" w:hAnsi="MS PGothic"/>
                <w:sz w:val="14"/>
                <w:szCs w:val="14"/>
                <w:color w:val="auto"/>
                <w:w w:val="93"/>
              </w:rPr>
              <w:t>☒</w:t>
            </w:r>
          </w:p>
        </w:tc>
        <w:tc>
          <w:tcPr>
            <w:tcW w:w="3440" w:type="dxa"/>
            <w:vAlign w:val="bottom"/>
            <w:gridSpan w:val="3"/>
          </w:tcPr>
          <w:p>
            <w:pPr>
              <w:ind w:left="122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8020" w:type="dxa"/>
            <w:vAlign w:val="bottom"/>
            <w:gridSpan w:val="4"/>
          </w:tcPr>
          <w:p>
            <w:pPr>
              <w:ind w:left="4400"/>
              <w:spacing w:after="0"/>
              <w:rPr>
                <w:sz w:val="20"/>
                <w:szCs w:val="20"/>
                <w:color w:val="auto"/>
              </w:rPr>
            </w:pPr>
            <w:r>
              <w:rPr>
                <w:rFonts w:ascii="Arial" w:cs="Arial" w:eastAsia="Arial" w:hAnsi="Arial"/>
                <w:sz w:val="14"/>
                <w:szCs w:val="14"/>
                <w:b w:val="1"/>
                <w:bCs w:val="1"/>
                <w:color w:val="auto"/>
              </w:rPr>
              <w:t>CALCULATION OF REGISTRATION FEE</w:t>
            </w: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58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Borders>
              <w:right w:val="single" w:sz="8" w:color="auto"/>
            </w:tcBorders>
          </w:tcPr>
          <w:p>
            <w:pPr>
              <w:jc w:val="center"/>
              <w:ind w:right="293"/>
              <w:spacing w:after="0" w:line="117" w:lineRule="exact"/>
              <w:rPr>
                <w:sz w:val="20"/>
                <w:szCs w:val="20"/>
                <w:color w:val="auto"/>
              </w:rPr>
            </w:pPr>
            <w:r>
              <w:rPr>
                <w:rFonts w:ascii="Arial" w:cs="Arial" w:eastAsia="Arial" w:hAnsi="Arial"/>
                <w:sz w:val="12"/>
                <w:szCs w:val="12"/>
                <w:b w:val="1"/>
                <w:bCs w:val="1"/>
                <w:color w:val="auto"/>
                <w:w w:val="93"/>
              </w:rPr>
              <w:t>Proposed</w:t>
            </w:r>
          </w:p>
        </w:tc>
        <w:tc>
          <w:tcPr>
            <w:tcW w:w="580" w:type="dxa"/>
            <w:vAlign w:val="bottom"/>
          </w:tcPr>
          <w:p>
            <w:pPr>
              <w:spacing w:after="0"/>
              <w:rPr>
                <w:sz w:val="10"/>
                <w:szCs w:val="10"/>
                <w:color w:val="auto"/>
              </w:rPr>
            </w:pPr>
          </w:p>
        </w:tc>
        <w:tc>
          <w:tcPr>
            <w:tcW w:w="1120" w:type="dxa"/>
            <w:vAlign w:val="bottom"/>
            <w:tcBorders>
              <w:right w:val="single" w:sz="8" w:color="auto"/>
            </w:tcBorders>
          </w:tcPr>
          <w:p>
            <w:pPr>
              <w:jc w:val="center"/>
              <w:ind w:right="434"/>
              <w:spacing w:after="0" w:line="117" w:lineRule="exact"/>
              <w:rPr>
                <w:sz w:val="20"/>
                <w:szCs w:val="20"/>
                <w:color w:val="auto"/>
              </w:rPr>
            </w:pPr>
            <w:r>
              <w:rPr>
                <w:rFonts w:ascii="Arial" w:cs="Arial" w:eastAsia="Arial" w:hAnsi="Arial"/>
                <w:sz w:val="12"/>
                <w:szCs w:val="12"/>
                <w:b w:val="1"/>
                <w:bCs w:val="1"/>
                <w:color w:val="auto"/>
                <w:w w:val="97"/>
              </w:rPr>
              <w:t>Proposed</w:t>
            </w: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Borders>
              <w:right w:val="single" w:sz="8" w:color="auto"/>
            </w:tcBorders>
          </w:tcPr>
          <w:p>
            <w:pPr>
              <w:jc w:val="center"/>
              <w:ind w:right="293"/>
              <w:spacing w:after="0" w:line="149" w:lineRule="exact"/>
              <w:rPr>
                <w:sz w:val="20"/>
                <w:szCs w:val="20"/>
                <w:color w:val="auto"/>
              </w:rPr>
            </w:pPr>
            <w:r>
              <w:rPr>
                <w:rFonts w:ascii="Arial" w:cs="Arial" w:eastAsia="Arial" w:hAnsi="Arial"/>
                <w:sz w:val="14"/>
                <w:szCs w:val="14"/>
                <w:b w:val="1"/>
                <w:bCs w:val="1"/>
                <w:color w:val="auto"/>
                <w:w w:val="92"/>
              </w:rPr>
              <w:t>Maximum</w:t>
            </w:r>
          </w:p>
        </w:tc>
        <w:tc>
          <w:tcPr>
            <w:tcW w:w="17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7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420" w:type="dxa"/>
            <w:vAlign w:val="bottom"/>
          </w:tcPr>
          <w:p>
            <w:pPr>
              <w:spacing w:after="0"/>
              <w:rPr>
                <w:sz w:val="12"/>
                <w:szCs w:val="12"/>
                <w:color w:val="auto"/>
              </w:rPr>
            </w:pPr>
          </w:p>
        </w:tc>
        <w:tc>
          <w:tcPr>
            <w:tcW w:w="1280" w:type="dxa"/>
            <w:vAlign w:val="bottom"/>
            <w:tcBorders>
              <w:right w:val="single" w:sz="8" w:color="auto"/>
            </w:tcBorders>
          </w:tcPr>
          <w:p>
            <w:pPr>
              <w:jc w:val="center"/>
              <w:ind w:right="293"/>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580" w:type="dxa"/>
            <w:vAlign w:val="bottom"/>
          </w:tcPr>
          <w:p>
            <w:pPr>
              <w:spacing w:after="0"/>
              <w:rPr>
                <w:sz w:val="12"/>
                <w:szCs w:val="12"/>
                <w:color w:val="auto"/>
              </w:rPr>
            </w:pPr>
          </w:p>
        </w:tc>
        <w:tc>
          <w:tcPr>
            <w:tcW w:w="1120" w:type="dxa"/>
            <w:vAlign w:val="bottom"/>
            <w:tcBorders>
              <w:right w:val="single" w:sz="8" w:color="auto"/>
            </w:tcBorders>
          </w:tcPr>
          <w:p>
            <w:pPr>
              <w:jc w:val="center"/>
              <w:ind w:right="454"/>
              <w:spacing w:after="0" w:line="149" w:lineRule="exact"/>
              <w:rPr>
                <w:sz w:val="20"/>
                <w:szCs w:val="20"/>
                <w:color w:val="auto"/>
              </w:rPr>
            </w:pPr>
            <w:r>
              <w:rPr>
                <w:rFonts w:ascii="Arial" w:cs="Arial" w:eastAsia="Arial" w:hAnsi="Arial"/>
                <w:sz w:val="14"/>
                <w:szCs w:val="14"/>
                <w:b w:val="1"/>
                <w:bCs w:val="1"/>
                <w:color w:val="auto"/>
                <w:w w:val="86"/>
              </w:rPr>
              <w:t>Aggregate</w:t>
            </w:r>
          </w:p>
        </w:tc>
        <w:tc>
          <w:tcPr>
            <w:tcW w:w="1680" w:type="dxa"/>
            <w:vAlign w:val="bottom"/>
            <w:gridSpan w:val="2"/>
          </w:tcPr>
          <w:p>
            <w:pPr>
              <w:jc w:val="right"/>
              <w:ind w:right="432"/>
              <w:spacing w:after="0" w:line="149" w:lineRule="exact"/>
              <w:rPr>
                <w:sz w:val="20"/>
                <w:szCs w:val="20"/>
                <w:color w:val="auto"/>
              </w:rPr>
            </w:pPr>
            <w:r>
              <w:rPr>
                <w:rFonts w:ascii="Arial" w:cs="Arial" w:eastAsia="Arial" w:hAnsi="Arial"/>
                <w:sz w:val="14"/>
                <w:szCs w:val="14"/>
                <w:b w:val="1"/>
                <w:bCs w:val="1"/>
                <w:color w:val="auto"/>
              </w:rPr>
              <w:t>Amount of</w:t>
            </w:r>
          </w:p>
        </w:tc>
      </w:tr>
      <w:tr>
        <w:trPr>
          <w:trHeight w:val="175"/>
        </w:trPr>
        <w:tc>
          <w:tcPr>
            <w:tcW w:w="20" w:type="dxa"/>
            <w:vAlign w:val="bottom"/>
          </w:tcPr>
          <w:p>
            <w:pPr>
              <w:spacing w:after="0"/>
              <w:rPr>
                <w:sz w:val="15"/>
                <w:szCs w:val="15"/>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74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5"/>
              </w:rPr>
              <w:t>Registered</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5"/>
              </w:rPr>
              <w:t>Per Share</w:t>
            </w:r>
          </w:p>
        </w:tc>
        <w:tc>
          <w:tcPr>
            <w:tcW w:w="1700" w:type="dxa"/>
            <w:vAlign w:val="bottom"/>
            <w:tcBorders>
              <w:bottom w:val="single" w:sz="8" w:color="auto"/>
              <w:right w:val="single" w:sz="8" w:color="auto"/>
            </w:tcBorders>
            <w:gridSpan w:val="2"/>
          </w:tcPr>
          <w:p>
            <w:pPr>
              <w:jc w:val="center"/>
              <w:ind w:left="12"/>
              <w:spacing w:after="0"/>
              <w:rPr>
                <w:sz w:val="20"/>
                <w:szCs w:val="20"/>
                <w:color w:val="auto"/>
              </w:rPr>
            </w:pPr>
            <w:r>
              <w:rPr>
                <w:rFonts w:ascii="Arial" w:cs="Arial" w:eastAsia="Arial" w:hAnsi="Arial"/>
                <w:sz w:val="14"/>
                <w:szCs w:val="14"/>
                <w:b w:val="1"/>
                <w:bCs w:val="1"/>
                <w:color w:val="auto"/>
                <w:w w:val="89"/>
              </w:rPr>
              <w:t>Offering Price (1)</w:t>
            </w:r>
          </w:p>
        </w:tc>
        <w:tc>
          <w:tcPr>
            <w:tcW w:w="16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45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w w:val="87"/>
              </w:rPr>
              <w:t>Series B mandatory convertible junior preferred stock, par value $0.01 per share (2)</w:t>
            </w:r>
          </w:p>
        </w:tc>
        <w:tc>
          <w:tcPr>
            <w:tcW w:w="1740" w:type="dxa"/>
            <w:vAlign w:val="bottom"/>
            <w:tcBorders>
              <w:bottom w:val="single" w:sz="8" w:color="auto"/>
              <w:right w:val="single" w:sz="8" w:color="auto"/>
            </w:tcBorders>
          </w:tcPr>
          <w:p>
            <w:pPr>
              <w:jc w:val="right"/>
              <w:ind w:right="572"/>
              <w:spacing w:after="0" w:line="142" w:lineRule="exact"/>
              <w:rPr>
                <w:sz w:val="20"/>
                <w:szCs w:val="20"/>
                <w:color w:val="auto"/>
              </w:rPr>
            </w:pPr>
            <w:r>
              <w:rPr>
                <w:rFonts w:ascii="Arial" w:cs="Arial" w:eastAsia="Arial" w:hAnsi="Arial"/>
                <w:sz w:val="14"/>
                <w:szCs w:val="14"/>
                <w:color w:val="auto"/>
              </w:rPr>
              <w:t>8,000,000</w:t>
            </w: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jc w:val="center"/>
              <w:ind w:right="293"/>
              <w:spacing w:after="0" w:line="142" w:lineRule="exact"/>
              <w:rPr>
                <w:sz w:val="20"/>
                <w:szCs w:val="20"/>
                <w:color w:val="auto"/>
              </w:rPr>
            </w:pPr>
            <w:r>
              <w:rPr>
                <w:rFonts w:ascii="Arial" w:cs="Arial" w:eastAsia="Arial" w:hAnsi="Arial"/>
                <w:sz w:val="14"/>
                <w:szCs w:val="14"/>
                <w:color w:val="auto"/>
                <w:w w:val="85"/>
              </w:rPr>
              <w:t>$50</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w w:val="84"/>
              </w:rPr>
              <w:t>400,000,000</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color w:val="auto"/>
                <w:w w:val="79"/>
              </w:rPr>
              <w:t>28,520</w:t>
            </w:r>
          </w:p>
        </w:tc>
      </w:tr>
      <w:tr>
        <w:trPr>
          <w:trHeight w:val="142"/>
        </w:trPr>
        <w:tc>
          <w:tcPr>
            <w:tcW w:w="460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1740" w:type="dxa"/>
            <w:vAlign w:val="bottom"/>
            <w:tcBorders>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8"/>
              </w:rPr>
              <w:t>2,545,454 (3)</w:t>
            </w:r>
          </w:p>
        </w:tc>
        <w:tc>
          <w:tcPr>
            <w:tcW w:w="420" w:type="dxa"/>
            <w:vAlign w:val="bottom"/>
          </w:tcPr>
          <w:p>
            <w:pPr>
              <w:spacing w:after="0"/>
              <w:rPr>
                <w:sz w:val="12"/>
                <w:szCs w:val="12"/>
                <w:color w:val="auto"/>
              </w:rPr>
            </w:pPr>
          </w:p>
        </w:tc>
        <w:tc>
          <w:tcPr>
            <w:tcW w:w="1280" w:type="dxa"/>
            <w:vAlign w:val="bottom"/>
            <w:tcBorders>
              <w:right w:val="single" w:sz="8" w:color="auto"/>
            </w:tcBorders>
          </w:tcPr>
          <w:p>
            <w:pPr>
              <w:jc w:val="center"/>
              <w:ind w:right="293"/>
              <w:spacing w:after="0" w:line="142" w:lineRule="exact"/>
              <w:rPr>
                <w:sz w:val="20"/>
                <w:szCs w:val="20"/>
                <w:color w:val="auto"/>
              </w:rPr>
            </w:pPr>
            <w:r>
              <w:rPr>
                <w:rFonts w:ascii="Arial" w:cs="Arial" w:eastAsia="Arial" w:hAnsi="Arial"/>
                <w:sz w:val="14"/>
                <w:szCs w:val="14"/>
                <w:color w:val="auto"/>
                <w:w w:val="85"/>
              </w:rPr>
              <w:t>$33</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w w:val="94"/>
              </w:rPr>
              <w:t>84,000,000</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512"/>
              <w:spacing w:after="0" w:line="142" w:lineRule="exact"/>
              <w:rPr>
                <w:sz w:val="20"/>
                <w:szCs w:val="20"/>
                <w:color w:val="auto"/>
              </w:rPr>
            </w:pPr>
            <w:r>
              <w:rPr>
                <w:rFonts w:ascii="Arial" w:cs="Arial" w:eastAsia="Arial" w:hAnsi="Arial"/>
                <w:sz w:val="14"/>
                <w:szCs w:val="14"/>
                <w:color w:val="auto"/>
                <w:w w:val="96"/>
              </w:rPr>
              <w:t>5,990</w:t>
            </w: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jc w:val="both"/>
        <w:ind w:right="160" w:firstLine="8"/>
        <w:spacing w:after="0" w:line="258" w:lineRule="auto"/>
        <w:tabs>
          <w:tab w:leader="none" w:pos="191"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accordance with Rule 457(i) under the Securities Act, this registration statement also registers the shares of our common stock that are initially issuable upon conversion of the Series B preferred stock registered hereby. The number of shares of our common stock issuable upon such conversion is subject to adjustment upon the occurrence of certain events described herein and will vary based on the public offering price of the common stock registered hereby. Pursuant to Rule 416 under the Securities Act, the number of shares of our common stock to be registered includes an indeterminable number of shares of common stock that may become issuable upon conversion of the Series B preferred stock as a result of such adjustments.</w:t>
      </w: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common stock that may be issued as dividends on Series B preferred stock in accordance with the terms thereof.</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This Registration Statement shall become effective upon filing with the Commission in accordance with Rule 462(b)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5"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AND INCORPORATION BY REFERENCE</w:t>
      </w:r>
    </w:p>
    <w:p>
      <w:pPr>
        <w:spacing w:after="0" w:line="177" w:lineRule="exact"/>
        <w:rPr>
          <w:sz w:val="20"/>
          <w:szCs w:val="20"/>
          <w:color w:val="auto"/>
        </w:rPr>
      </w:pPr>
    </w:p>
    <w:p>
      <w:pPr>
        <w:ind w:right="400" w:firstLine="456"/>
        <w:spacing w:after="0" w:line="305" w:lineRule="auto"/>
        <w:rPr>
          <w:sz w:val="20"/>
          <w:szCs w:val="20"/>
          <w:color w:val="auto"/>
        </w:rPr>
      </w:pPr>
      <w:r>
        <w:rPr>
          <w:rFonts w:ascii="Arial" w:cs="Arial" w:eastAsia="Arial" w:hAnsi="Arial"/>
          <w:sz w:val="15"/>
          <w:szCs w:val="15"/>
          <w:color w:val="auto"/>
        </w:rPr>
        <w:t>This Registration Statement on Form S-1 is being filed by General Motors Company, a Delaware corporation (the Company), pursuant to Rule 462(b) under the Securities Act of 1933, as amended (the Securities Act). The contents of the Company’s Registration Statement on Form S-1, as amended (File</w:t>
      </w:r>
    </w:p>
    <w:p>
      <w:pPr>
        <w:jc w:val="both"/>
        <w:ind w:right="100"/>
        <w:spacing w:after="0" w:line="361" w:lineRule="auto"/>
        <w:rPr>
          <w:sz w:val="20"/>
          <w:szCs w:val="20"/>
          <w:color w:val="auto"/>
        </w:rPr>
      </w:pPr>
      <w:r>
        <w:rPr>
          <w:rFonts w:ascii="Arial" w:cs="Arial" w:eastAsia="Arial" w:hAnsi="Arial"/>
          <w:sz w:val="15"/>
          <w:szCs w:val="15"/>
          <w:color w:val="auto"/>
        </w:rPr>
        <w:t>No. 333-168919), initially filed by the Company on August 18, 2010 and declared effective by the Securities and Exchange Commission on November 17, 2010 and all exhibits thereto, are incorporated by reference into this Registration Statement in their entirety and are deemed to be a part of this Registration Statement.</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required opinions and consents are listed on an Exhibit Index attached hereto and filed herewith or incorporated herein by reference in accordance with Rule 439(b) of the Securities Act.</w:t>
      </w:r>
    </w:p>
    <w:p>
      <w:pPr>
        <w:sectPr>
          <w:pgSz w:w="11900" w:h="16838" w:orient="portrait"/>
          <w:cols w:equalWidth="0" w:num="1">
            <w:col w:w="11400"/>
          </w:cols>
          <w:pgMar w:left="240" w:top="34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Securities Act, General Motors Company has duly caused this registration statement on Form S-1 to be signed on its behalf by the undersigned, thereunto duly authorized, in the City of Detroit, State of Michigan, on November 17,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8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ANIEL</w:t>
      </w:r>
      <w:r>
        <w:rPr>
          <w:rFonts w:ascii="Arial" w:cs="Arial" w:eastAsia="Arial" w:hAnsi="Arial"/>
          <w:sz w:val="16"/>
          <w:szCs w:val="16"/>
          <w:color w:val="auto"/>
        </w:rPr>
        <w:t xml:space="preserve"> F. A</w:t>
      </w:r>
      <w:r>
        <w:rPr>
          <w:rFonts w:ascii="Arial" w:cs="Arial" w:eastAsia="Arial" w:hAnsi="Arial"/>
          <w:sz w:val="13"/>
          <w:szCs w:val="13"/>
          <w:color w:val="auto"/>
        </w:rPr>
        <w:t>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Name: Daniel F. Akerson</w:t>
      </w:r>
    </w:p>
    <w:p>
      <w:pPr>
        <w:jc w:val="center"/>
        <w:ind w:left="7240"/>
        <w:spacing w:after="0" w:line="223" w:lineRule="auto"/>
        <w:rPr>
          <w:sz w:val="20"/>
          <w:szCs w:val="20"/>
          <w:color w:val="auto"/>
        </w:rPr>
      </w:pPr>
      <w:r>
        <w:rPr>
          <w:rFonts w:ascii="Arial" w:cs="Arial" w:eastAsia="Arial" w:hAnsi="Arial"/>
          <w:sz w:val="14"/>
          <w:szCs w:val="14"/>
          <w:b w:val="1"/>
          <w:bCs w:val="1"/>
          <w:color w:val="auto"/>
        </w:rPr>
        <w:t>Title: Chief Executive Officer (Principal</w:t>
      </w:r>
    </w:p>
    <w:p>
      <w:pPr>
        <w:jc w:val="center"/>
        <w:ind w:left="7240"/>
        <w:spacing w:after="0"/>
        <w:rPr>
          <w:sz w:val="20"/>
          <w:szCs w:val="20"/>
          <w:color w:val="auto"/>
        </w:rPr>
      </w:pPr>
      <w:r>
        <w:rPr>
          <w:rFonts w:ascii="Arial" w:cs="Arial" w:eastAsia="Arial" w:hAnsi="Arial"/>
          <w:sz w:val="14"/>
          <w:szCs w:val="14"/>
          <w:b w:val="1"/>
          <w:bCs w:val="1"/>
          <w:color w:val="auto"/>
        </w:rPr>
        <w:t>Executive Officer)</w:t>
      </w:r>
    </w:p>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center"/>
              <w:ind w:right="1402"/>
              <w:spacing w:after="0"/>
              <w:rPr>
                <w:sz w:val="20"/>
                <w:szCs w:val="20"/>
                <w:color w:val="auto"/>
              </w:rPr>
            </w:pPr>
            <w:r>
              <w:rPr>
                <w:rFonts w:ascii="Arial" w:cs="Arial" w:eastAsia="Arial" w:hAnsi="Arial"/>
                <w:sz w:val="18"/>
                <w:szCs w:val="18"/>
                <w:b w:val="1"/>
                <w:bCs w:val="1"/>
                <w:color w:val="auto"/>
                <w:w w:val="86"/>
              </w:rPr>
              <w:t>Signature</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426"/>
        </w:trPr>
        <w:tc>
          <w:tcPr>
            <w:tcW w:w="15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60" w:type="dxa"/>
            <w:vAlign w:val="bottom"/>
            <w:tcBorders>
              <w:bottom w:val="single" w:sz="8" w:color="auto"/>
            </w:tcBorders>
          </w:tcPr>
          <w:p>
            <w:pPr>
              <w:jc w:val="center"/>
              <w:ind w:right="1362"/>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ANIEL</w:t>
            </w:r>
            <w:r>
              <w:rPr>
                <w:rFonts w:ascii="Arial" w:cs="Arial" w:eastAsia="Arial" w:hAnsi="Arial"/>
                <w:sz w:val="18"/>
                <w:szCs w:val="18"/>
                <w:color w:val="auto"/>
                <w:w w:val="98"/>
              </w:rPr>
              <w:t xml:space="preserve"> F. A</w:t>
            </w:r>
            <w:r>
              <w:rPr>
                <w:rFonts w:ascii="Arial" w:cs="Arial" w:eastAsia="Arial" w:hAnsi="Arial"/>
                <w:sz w:val="14"/>
                <w:szCs w:val="14"/>
                <w:color w:val="auto"/>
                <w:w w:val="98"/>
              </w:rPr>
              <w:t>KERSON</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Chief Executive Officer (Principal Executive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169"/>
        </w:trPr>
        <w:tc>
          <w:tcPr>
            <w:tcW w:w="1500" w:type="dxa"/>
            <w:vAlign w:val="bottom"/>
          </w:tcPr>
          <w:p>
            <w:pPr>
              <w:spacing w:after="0"/>
              <w:rPr>
                <w:sz w:val="14"/>
                <w:szCs w:val="14"/>
                <w:color w:val="auto"/>
              </w:rPr>
            </w:pPr>
          </w:p>
        </w:tc>
        <w:tc>
          <w:tcPr>
            <w:tcW w:w="2960" w:type="dxa"/>
            <w:vAlign w:val="bottom"/>
          </w:tcPr>
          <w:p>
            <w:pPr>
              <w:jc w:val="center"/>
              <w:ind w:right="1402"/>
              <w:spacing w:after="0"/>
              <w:rPr>
                <w:sz w:val="20"/>
                <w:szCs w:val="20"/>
                <w:color w:val="auto"/>
              </w:rPr>
            </w:pPr>
            <w:r>
              <w:rPr>
                <w:rFonts w:ascii="Arial" w:cs="Arial" w:eastAsia="Arial" w:hAnsi="Arial"/>
                <w:sz w:val="14"/>
                <w:szCs w:val="14"/>
                <w:b w:val="1"/>
                <w:bCs w:val="1"/>
                <w:color w:val="auto"/>
                <w:w w:val="87"/>
              </w:rPr>
              <w:t>Daniel F. Akerson</w:t>
            </w:r>
          </w:p>
        </w:tc>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18"/>
        </w:trPr>
        <w:tc>
          <w:tcPr>
            <w:tcW w:w="446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P. L</w:t>
            </w:r>
            <w:r>
              <w:rPr>
                <w:rFonts w:ascii="Arial" w:cs="Arial" w:eastAsia="Arial" w:hAnsi="Arial"/>
                <w:sz w:val="14"/>
                <w:szCs w:val="14"/>
                <w:color w:val="auto"/>
              </w:rPr>
              <w:t>IDDELL</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Vice Chairman and Chief Financial Officer (Principal</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202"/>
        </w:trPr>
        <w:tc>
          <w:tcPr>
            <w:tcW w:w="1500" w:type="dxa"/>
            <w:vAlign w:val="bottom"/>
          </w:tcPr>
          <w:p>
            <w:pPr>
              <w:spacing w:after="0"/>
              <w:rPr>
                <w:sz w:val="17"/>
                <w:szCs w:val="17"/>
                <w:color w:val="auto"/>
              </w:rPr>
            </w:pPr>
          </w:p>
        </w:tc>
        <w:tc>
          <w:tcPr>
            <w:tcW w:w="2960" w:type="dxa"/>
            <w:vAlign w:val="bottom"/>
          </w:tcPr>
          <w:p>
            <w:pPr>
              <w:jc w:val="center"/>
              <w:ind w:right="1402"/>
              <w:spacing w:after="0"/>
              <w:rPr>
                <w:sz w:val="20"/>
                <w:szCs w:val="20"/>
                <w:color w:val="auto"/>
              </w:rPr>
            </w:pPr>
            <w:r>
              <w:rPr>
                <w:rFonts w:ascii="Arial" w:cs="Arial" w:eastAsia="Arial" w:hAnsi="Arial"/>
                <w:sz w:val="14"/>
                <w:szCs w:val="14"/>
                <w:b w:val="1"/>
                <w:bCs w:val="1"/>
                <w:color w:val="auto"/>
                <w:w w:val="87"/>
              </w:rPr>
              <w:t>Christopher P. Liddell</w:t>
            </w:r>
          </w:p>
        </w:tc>
        <w:tc>
          <w:tcPr>
            <w:tcW w:w="4840" w:type="dxa"/>
            <w:vAlign w:val="bottom"/>
          </w:tcPr>
          <w:p>
            <w:pPr>
              <w:ind w:left="1940"/>
              <w:spacing w:after="0" w:line="202" w:lineRule="exact"/>
              <w:rPr>
                <w:sz w:val="20"/>
                <w:szCs w:val="20"/>
                <w:color w:val="auto"/>
              </w:rPr>
            </w:pPr>
            <w:r>
              <w:rPr>
                <w:rFonts w:ascii="Arial" w:cs="Arial" w:eastAsia="Arial" w:hAnsi="Arial"/>
                <w:sz w:val="18"/>
                <w:szCs w:val="18"/>
                <w:color w:val="auto"/>
              </w:rPr>
              <w:t>Financial Officer)</w:t>
            </w:r>
          </w:p>
        </w:tc>
        <w:tc>
          <w:tcPr>
            <w:tcW w:w="2120" w:type="dxa"/>
            <w:vAlign w:val="bottom"/>
          </w:tcPr>
          <w:p>
            <w:pPr>
              <w:spacing w:after="0"/>
              <w:rPr>
                <w:sz w:val="17"/>
                <w:szCs w:val="17"/>
                <w:color w:val="auto"/>
              </w:rPr>
            </w:pPr>
          </w:p>
        </w:tc>
      </w:tr>
      <w:tr>
        <w:trPr>
          <w:trHeight w:val="426"/>
        </w:trPr>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60" w:type="dxa"/>
            <w:vAlign w:val="bottom"/>
            <w:tcBorders>
              <w:bottom w:val="single" w:sz="8" w:color="auto"/>
            </w:tcBorders>
          </w:tcPr>
          <w:p>
            <w:pPr>
              <w:jc w:val="center"/>
              <w:ind w:right="1302"/>
              <w:spacing w:after="0"/>
              <w:rPr>
                <w:sz w:val="20"/>
                <w:szCs w:val="20"/>
                <w:color w:val="auto"/>
              </w:rPr>
            </w:pPr>
            <w:r>
              <w:rPr>
                <w:rFonts w:ascii="Arial" w:cs="Arial" w:eastAsia="Arial" w:hAnsi="Arial"/>
                <w:sz w:val="18"/>
                <w:szCs w:val="18"/>
                <w:color w:val="auto"/>
                <w:w w:val="94"/>
              </w:rPr>
              <w:t>N</w:t>
            </w:r>
            <w:r>
              <w:rPr>
                <w:rFonts w:ascii="Arial" w:cs="Arial" w:eastAsia="Arial" w:hAnsi="Arial"/>
                <w:sz w:val="14"/>
                <w:szCs w:val="14"/>
                <w:color w:val="auto"/>
                <w:w w:val="94"/>
              </w:rPr>
              <w:t>ICK</w:t>
            </w:r>
            <w:r>
              <w:rPr>
                <w:rFonts w:ascii="Arial" w:cs="Arial" w:eastAsia="Arial" w:hAnsi="Arial"/>
                <w:sz w:val="18"/>
                <w:szCs w:val="18"/>
                <w:color w:val="auto"/>
                <w:w w:val="94"/>
              </w:rPr>
              <w:t xml:space="preserve"> S. C</w:t>
            </w:r>
            <w:r>
              <w:rPr>
                <w:rFonts w:ascii="Arial" w:cs="Arial" w:eastAsia="Arial" w:hAnsi="Arial"/>
                <w:sz w:val="14"/>
                <w:szCs w:val="14"/>
                <w:color w:val="auto"/>
                <w:w w:val="94"/>
              </w:rPr>
              <w:t>YPRUS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Vice President, Controller and Chief Accounting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202"/>
        </w:trPr>
        <w:tc>
          <w:tcPr>
            <w:tcW w:w="1500" w:type="dxa"/>
            <w:vAlign w:val="bottom"/>
          </w:tcPr>
          <w:p>
            <w:pPr>
              <w:spacing w:after="0"/>
              <w:rPr>
                <w:sz w:val="17"/>
                <w:szCs w:val="17"/>
                <w:color w:val="auto"/>
              </w:rPr>
            </w:pPr>
          </w:p>
        </w:tc>
        <w:tc>
          <w:tcPr>
            <w:tcW w:w="2960" w:type="dxa"/>
            <w:vAlign w:val="bottom"/>
          </w:tcPr>
          <w:p>
            <w:pPr>
              <w:jc w:val="center"/>
              <w:ind w:right="1402"/>
              <w:spacing w:after="0"/>
              <w:rPr>
                <w:sz w:val="20"/>
                <w:szCs w:val="20"/>
                <w:color w:val="auto"/>
              </w:rPr>
            </w:pPr>
            <w:r>
              <w:rPr>
                <w:rFonts w:ascii="Arial" w:cs="Arial" w:eastAsia="Arial" w:hAnsi="Arial"/>
                <w:sz w:val="14"/>
                <w:szCs w:val="14"/>
                <w:b w:val="1"/>
                <w:bCs w:val="1"/>
                <w:color w:val="auto"/>
                <w:w w:val="89"/>
              </w:rPr>
              <w:t>Nick S. Cyprus</w:t>
            </w:r>
          </w:p>
        </w:tc>
        <w:tc>
          <w:tcPr>
            <w:tcW w:w="484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Accounting Officer)</w:t>
            </w:r>
          </w:p>
        </w:tc>
        <w:tc>
          <w:tcPr>
            <w:tcW w:w="2120" w:type="dxa"/>
            <w:vAlign w:val="bottom"/>
          </w:tcPr>
          <w:p>
            <w:pPr>
              <w:spacing w:after="0"/>
              <w:rPr>
                <w:sz w:val="17"/>
                <w:szCs w:val="17"/>
                <w:color w:val="auto"/>
              </w:rPr>
            </w:pPr>
          </w:p>
        </w:tc>
      </w:tr>
      <w:tr>
        <w:trPr>
          <w:trHeight w:val="440"/>
        </w:trPr>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402"/>
              <w:spacing w:after="0"/>
              <w:rPr>
                <w:sz w:val="20"/>
                <w:szCs w:val="20"/>
                <w:color w:val="auto"/>
              </w:rPr>
            </w:pPr>
            <w:r>
              <w:rPr>
                <w:rFonts w:ascii="Arial" w:cs="Arial" w:eastAsia="Arial" w:hAnsi="Arial"/>
                <w:sz w:val="18"/>
                <w:szCs w:val="18"/>
                <w:color w:val="auto"/>
              </w:rPr>
              <w:t>*</w:t>
            </w:r>
          </w:p>
        </w:tc>
        <w:tc>
          <w:tcPr>
            <w:tcW w:w="4840" w:type="dxa"/>
            <w:vAlign w:val="bottom"/>
          </w:tcPr>
          <w:p>
            <w:pPr>
              <w:jc w:val="center"/>
              <w:spacing w:after="0"/>
              <w:rPr>
                <w:sz w:val="20"/>
                <w:szCs w:val="20"/>
                <w:color w:val="auto"/>
              </w:rPr>
            </w:pPr>
            <w:r>
              <w:rPr>
                <w:rFonts w:ascii="Arial" w:cs="Arial" w:eastAsia="Arial" w:hAnsi="Arial"/>
                <w:sz w:val="18"/>
                <w:szCs w:val="18"/>
                <w:color w:val="auto"/>
                <w:w w:val="88"/>
              </w:rPr>
              <w:t>Chairman of the Board</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169"/>
        </w:trPr>
        <w:tc>
          <w:tcPr>
            <w:tcW w:w="1500" w:type="dxa"/>
            <w:vAlign w:val="bottom"/>
          </w:tcPr>
          <w:p>
            <w:pPr>
              <w:spacing w:after="0"/>
              <w:rPr>
                <w:sz w:val="14"/>
                <w:szCs w:val="14"/>
                <w:color w:val="auto"/>
              </w:rPr>
            </w:pPr>
          </w:p>
        </w:tc>
        <w:tc>
          <w:tcPr>
            <w:tcW w:w="2960" w:type="dxa"/>
            <w:vAlign w:val="bottom"/>
          </w:tcPr>
          <w:p>
            <w:pPr>
              <w:jc w:val="center"/>
              <w:ind w:right="1402"/>
              <w:spacing w:after="0"/>
              <w:rPr>
                <w:sz w:val="20"/>
                <w:szCs w:val="20"/>
                <w:color w:val="auto"/>
              </w:rPr>
            </w:pPr>
            <w:r>
              <w:rPr>
                <w:rFonts w:ascii="Arial" w:cs="Arial" w:eastAsia="Arial" w:hAnsi="Arial"/>
                <w:sz w:val="14"/>
                <w:szCs w:val="14"/>
                <w:b w:val="1"/>
                <w:bCs w:val="1"/>
                <w:color w:val="auto"/>
                <w:w w:val="89"/>
              </w:rPr>
              <w:t>Edward E. Whitacre, Jr.</w:t>
            </w:r>
          </w:p>
        </w:tc>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402"/>
              <w:spacing w:after="0"/>
              <w:rPr>
                <w:sz w:val="20"/>
                <w:szCs w:val="20"/>
                <w:color w:val="auto"/>
              </w:rPr>
            </w:pPr>
            <w:r>
              <w:rPr>
                <w:rFonts w:ascii="Arial" w:cs="Arial" w:eastAsia="Arial" w:hAnsi="Arial"/>
                <w:sz w:val="18"/>
                <w:szCs w:val="18"/>
                <w:color w:val="auto"/>
              </w:rPr>
              <w:t>*</w:t>
            </w:r>
          </w:p>
        </w:tc>
        <w:tc>
          <w:tcPr>
            <w:tcW w:w="4840" w:type="dxa"/>
            <w:vAlign w:val="bottom"/>
          </w:tcPr>
          <w:p>
            <w:pPr>
              <w:jc w:val="center"/>
              <w:ind w:left="12"/>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169"/>
        </w:trPr>
        <w:tc>
          <w:tcPr>
            <w:tcW w:w="1500" w:type="dxa"/>
            <w:vAlign w:val="bottom"/>
          </w:tcPr>
          <w:p>
            <w:pPr>
              <w:spacing w:after="0"/>
              <w:rPr>
                <w:sz w:val="14"/>
                <w:szCs w:val="14"/>
                <w:color w:val="auto"/>
              </w:rPr>
            </w:pPr>
          </w:p>
        </w:tc>
        <w:tc>
          <w:tcPr>
            <w:tcW w:w="2960" w:type="dxa"/>
            <w:vAlign w:val="bottom"/>
          </w:tcPr>
          <w:p>
            <w:pPr>
              <w:jc w:val="center"/>
              <w:ind w:right="1422"/>
              <w:spacing w:after="0"/>
              <w:rPr>
                <w:sz w:val="20"/>
                <w:szCs w:val="20"/>
                <w:color w:val="auto"/>
              </w:rPr>
            </w:pPr>
            <w:r>
              <w:rPr>
                <w:rFonts w:ascii="Arial" w:cs="Arial" w:eastAsia="Arial" w:hAnsi="Arial"/>
                <w:sz w:val="14"/>
                <w:szCs w:val="14"/>
                <w:b w:val="1"/>
                <w:bCs w:val="1"/>
                <w:color w:val="auto"/>
                <w:w w:val="88"/>
              </w:rPr>
              <w:t>David Bonderman</w:t>
            </w:r>
          </w:p>
        </w:tc>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402"/>
              <w:spacing w:after="0"/>
              <w:rPr>
                <w:sz w:val="20"/>
                <w:szCs w:val="20"/>
                <w:color w:val="auto"/>
              </w:rPr>
            </w:pPr>
            <w:r>
              <w:rPr>
                <w:rFonts w:ascii="Arial" w:cs="Arial" w:eastAsia="Arial" w:hAnsi="Arial"/>
                <w:sz w:val="18"/>
                <w:szCs w:val="18"/>
                <w:color w:val="auto"/>
              </w:rPr>
              <w:t>*</w:t>
            </w:r>
          </w:p>
        </w:tc>
        <w:tc>
          <w:tcPr>
            <w:tcW w:w="4840" w:type="dxa"/>
            <w:vAlign w:val="bottom"/>
          </w:tcPr>
          <w:p>
            <w:pPr>
              <w:jc w:val="center"/>
              <w:ind w:left="12"/>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169"/>
        </w:trPr>
        <w:tc>
          <w:tcPr>
            <w:tcW w:w="1500" w:type="dxa"/>
            <w:vAlign w:val="bottom"/>
          </w:tcPr>
          <w:p>
            <w:pPr>
              <w:spacing w:after="0"/>
              <w:rPr>
                <w:sz w:val="14"/>
                <w:szCs w:val="14"/>
                <w:color w:val="auto"/>
              </w:rPr>
            </w:pPr>
          </w:p>
        </w:tc>
        <w:tc>
          <w:tcPr>
            <w:tcW w:w="2960" w:type="dxa"/>
            <w:vAlign w:val="bottom"/>
          </w:tcPr>
          <w:p>
            <w:pPr>
              <w:jc w:val="center"/>
              <w:ind w:right="1402"/>
              <w:spacing w:after="0"/>
              <w:rPr>
                <w:sz w:val="20"/>
                <w:szCs w:val="20"/>
                <w:color w:val="auto"/>
              </w:rPr>
            </w:pPr>
            <w:r>
              <w:rPr>
                <w:rFonts w:ascii="Arial" w:cs="Arial" w:eastAsia="Arial" w:hAnsi="Arial"/>
                <w:sz w:val="14"/>
                <w:szCs w:val="14"/>
                <w:b w:val="1"/>
                <w:bCs w:val="1"/>
                <w:color w:val="auto"/>
                <w:w w:val="89"/>
              </w:rPr>
              <w:t>Erroll B. Davis, Jr.</w:t>
            </w:r>
          </w:p>
        </w:tc>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402"/>
              <w:spacing w:after="0"/>
              <w:rPr>
                <w:sz w:val="20"/>
                <w:szCs w:val="20"/>
                <w:color w:val="auto"/>
              </w:rPr>
            </w:pPr>
            <w:r>
              <w:rPr>
                <w:rFonts w:ascii="Arial" w:cs="Arial" w:eastAsia="Arial" w:hAnsi="Arial"/>
                <w:sz w:val="18"/>
                <w:szCs w:val="18"/>
                <w:color w:val="auto"/>
              </w:rPr>
              <w:t>*</w:t>
            </w:r>
          </w:p>
        </w:tc>
        <w:tc>
          <w:tcPr>
            <w:tcW w:w="4840" w:type="dxa"/>
            <w:vAlign w:val="bottom"/>
          </w:tcPr>
          <w:p>
            <w:pPr>
              <w:jc w:val="center"/>
              <w:ind w:left="12"/>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169"/>
        </w:trPr>
        <w:tc>
          <w:tcPr>
            <w:tcW w:w="1500" w:type="dxa"/>
            <w:vAlign w:val="bottom"/>
          </w:tcPr>
          <w:p>
            <w:pPr>
              <w:spacing w:after="0"/>
              <w:rPr>
                <w:sz w:val="14"/>
                <w:szCs w:val="14"/>
                <w:color w:val="auto"/>
              </w:rPr>
            </w:pPr>
          </w:p>
        </w:tc>
        <w:tc>
          <w:tcPr>
            <w:tcW w:w="2960" w:type="dxa"/>
            <w:vAlign w:val="bottom"/>
          </w:tcPr>
          <w:p>
            <w:pPr>
              <w:jc w:val="center"/>
              <w:ind w:right="1402"/>
              <w:spacing w:after="0"/>
              <w:rPr>
                <w:sz w:val="20"/>
                <w:szCs w:val="20"/>
                <w:color w:val="auto"/>
              </w:rPr>
            </w:pPr>
            <w:r>
              <w:rPr>
                <w:rFonts w:ascii="Arial" w:cs="Arial" w:eastAsia="Arial" w:hAnsi="Arial"/>
                <w:sz w:val="14"/>
                <w:szCs w:val="14"/>
                <w:b w:val="1"/>
                <w:bCs w:val="1"/>
                <w:color w:val="auto"/>
                <w:w w:val="87"/>
              </w:rPr>
              <w:t>Stephen J. Girsky</w:t>
            </w:r>
          </w:p>
        </w:tc>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402"/>
              <w:spacing w:after="0"/>
              <w:rPr>
                <w:sz w:val="20"/>
                <w:szCs w:val="20"/>
                <w:color w:val="auto"/>
              </w:rPr>
            </w:pPr>
            <w:r>
              <w:rPr>
                <w:rFonts w:ascii="Arial" w:cs="Arial" w:eastAsia="Arial" w:hAnsi="Arial"/>
                <w:sz w:val="18"/>
                <w:szCs w:val="18"/>
                <w:color w:val="auto"/>
              </w:rPr>
              <w:t>*</w:t>
            </w:r>
          </w:p>
        </w:tc>
        <w:tc>
          <w:tcPr>
            <w:tcW w:w="4840" w:type="dxa"/>
            <w:vAlign w:val="bottom"/>
          </w:tcPr>
          <w:p>
            <w:pPr>
              <w:jc w:val="center"/>
              <w:ind w:left="12"/>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169"/>
        </w:trPr>
        <w:tc>
          <w:tcPr>
            <w:tcW w:w="1500" w:type="dxa"/>
            <w:vAlign w:val="bottom"/>
          </w:tcPr>
          <w:p>
            <w:pPr>
              <w:spacing w:after="0"/>
              <w:rPr>
                <w:sz w:val="14"/>
                <w:szCs w:val="14"/>
                <w:color w:val="auto"/>
              </w:rPr>
            </w:pPr>
          </w:p>
        </w:tc>
        <w:tc>
          <w:tcPr>
            <w:tcW w:w="2960" w:type="dxa"/>
            <w:vAlign w:val="bottom"/>
          </w:tcPr>
          <w:p>
            <w:pPr>
              <w:jc w:val="center"/>
              <w:ind w:right="1422"/>
              <w:spacing w:after="0"/>
              <w:rPr>
                <w:sz w:val="20"/>
                <w:szCs w:val="20"/>
                <w:color w:val="auto"/>
              </w:rPr>
            </w:pPr>
            <w:r>
              <w:rPr>
                <w:rFonts w:ascii="Arial" w:cs="Arial" w:eastAsia="Arial" w:hAnsi="Arial"/>
                <w:sz w:val="14"/>
                <w:szCs w:val="14"/>
                <w:b w:val="1"/>
                <w:bCs w:val="1"/>
                <w:color w:val="auto"/>
                <w:w w:val="88"/>
              </w:rPr>
              <w:t>E. Neville Isdell</w:t>
            </w:r>
          </w:p>
        </w:tc>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402"/>
              <w:spacing w:after="0"/>
              <w:rPr>
                <w:sz w:val="20"/>
                <w:szCs w:val="20"/>
                <w:color w:val="auto"/>
              </w:rPr>
            </w:pPr>
            <w:r>
              <w:rPr>
                <w:rFonts w:ascii="Arial" w:cs="Arial" w:eastAsia="Arial" w:hAnsi="Arial"/>
                <w:sz w:val="18"/>
                <w:szCs w:val="18"/>
                <w:color w:val="auto"/>
              </w:rPr>
              <w:t>*</w:t>
            </w:r>
          </w:p>
        </w:tc>
        <w:tc>
          <w:tcPr>
            <w:tcW w:w="4840" w:type="dxa"/>
            <w:vAlign w:val="bottom"/>
          </w:tcPr>
          <w:p>
            <w:pPr>
              <w:jc w:val="center"/>
              <w:ind w:left="12"/>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169"/>
        </w:trPr>
        <w:tc>
          <w:tcPr>
            <w:tcW w:w="1500" w:type="dxa"/>
            <w:vAlign w:val="bottom"/>
          </w:tcPr>
          <w:p>
            <w:pPr>
              <w:spacing w:after="0"/>
              <w:rPr>
                <w:sz w:val="14"/>
                <w:szCs w:val="14"/>
                <w:color w:val="auto"/>
              </w:rPr>
            </w:pPr>
          </w:p>
        </w:tc>
        <w:tc>
          <w:tcPr>
            <w:tcW w:w="2960" w:type="dxa"/>
            <w:vAlign w:val="bottom"/>
          </w:tcPr>
          <w:p>
            <w:pPr>
              <w:jc w:val="center"/>
              <w:ind w:right="1402"/>
              <w:spacing w:after="0"/>
              <w:rPr>
                <w:sz w:val="20"/>
                <w:szCs w:val="20"/>
                <w:color w:val="auto"/>
              </w:rPr>
            </w:pPr>
            <w:r>
              <w:rPr>
                <w:rFonts w:ascii="Arial" w:cs="Arial" w:eastAsia="Arial" w:hAnsi="Arial"/>
                <w:sz w:val="14"/>
                <w:szCs w:val="14"/>
                <w:b w:val="1"/>
                <w:bCs w:val="1"/>
                <w:color w:val="auto"/>
                <w:w w:val="90"/>
              </w:rPr>
              <w:t>Robert D. Krebs</w:t>
            </w:r>
          </w:p>
        </w:tc>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402"/>
              <w:spacing w:after="0"/>
              <w:rPr>
                <w:sz w:val="20"/>
                <w:szCs w:val="20"/>
                <w:color w:val="auto"/>
              </w:rPr>
            </w:pPr>
            <w:r>
              <w:rPr>
                <w:rFonts w:ascii="Arial" w:cs="Arial" w:eastAsia="Arial" w:hAnsi="Arial"/>
                <w:sz w:val="18"/>
                <w:szCs w:val="18"/>
                <w:color w:val="auto"/>
              </w:rPr>
              <w:t>*</w:t>
            </w:r>
          </w:p>
        </w:tc>
        <w:tc>
          <w:tcPr>
            <w:tcW w:w="4840" w:type="dxa"/>
            <w:vAlign w:val="bottom"/>
          </w:tcPr>
          <w:p>
            <w:pPr>
              <w:jc w:val="center"/>
              <w:ind w:left="12"/>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November 17, 2010</w:t>
            </w:r>
          </w:p>
        </w:tc>
      </w:tr>
      <w:tr>
        <w:trPr>
          <w:trHeight w:val="169"/>
        </w:trPr>
        <w:tc>
          <w:tcPr>
            <w:tcW w:w="1500" w:type="dxa"/>
            <w:vAlign w:val="bottom"/>
          </w:tcPr>
          <w:p>
            <w:pPr>
              <w:spacing w:after="0"/>
              <w:rPr>
                <w:sz w:val="14"/>
                <w:szCs w:val="14"/>
                <w:color w:val="auto"/>
              </w:rPr>
            </w:pPr>
          </w:p>
        </w:tc>
        <w:tc>
          <w:tcPr>
            <w:tcW w:w="2960" w:type="dxa"/>
            <w:vAlign w:val="bottom"/>
          </w:tcPr>
          <w:p>
            <w:pPr>
              <w:jc w:val="center"/>
              <w:ind w:right="1422"/>
              <w:spacing w:after="0"/>
              <w:rPr>
                <w:sz w:val="20"/>
                <w:szCs w:val="20"/>
                <w:color w:val="auto"/>
              </w:rPr>
            </w:pPr>
            <w:r>
              <w:rPr>
                <w:rFonts w:ascii="Arial" w:cs="Arial" w:eastAsia="Arial" w:hAnsi="Arial"/>
                <w:sz w:val="14"/>
                <w:szCs w:val="14"/>
                <w:b w:val="1"/>
                <w:bCs w:val="1"/>
                <w:color w:val="auto"/>
                <w:w w:val="89"/>
              </w:rPr>
              <w:t>Philip A. Laskawy</w:t>
            </w:r>
          </w:p>
        </w:tc>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ectPr>
          <w:pgSz w:w="11900" w:h="16838" w:orient="portrait"/>
          <w:cols w:equalWidth="0" w:num="1">
            <w:col w:w="11420"/>
          </w:cols>
          <w:pgMar w:left="240" w:top="341"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400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b w:val="1"/>
                <w:bCs w:val="1"/>
                <w:color w:val="auto"/>
                <w:w w:val="97"/>
              </w:rPr>
              <w:t>Title</w:t>
            </w:r>
          </w:p>
        </w:tc>
        <w:tc>
          <w:tcPr>
            <w:tcW w:w="296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b w:val="1"/>
                <w:bCs w:val="1"/>
                <w:color w:val="auto"/>
                <w:w w:val="87"/>
              </w:rPr>
              <w:t>Date</w:t>
            </w:r>
          </w:p>
        </w:tc>
      </w:tr>
      <w:tr>
        <w:trPr>
          <w:trHeight w:val="426"/>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8"/>
              </w:rPr>
              <w:t>November 17, 2010</w:t>
            </w:r>
          </w:p>
        </w:tc>
      </w:tr>
      <w:tr>
        <w:trPr>
          <w:trHeight w:val="169"/>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1"/>
              </w:rPr>
              <w:t>Kathryn V. Marinello</w:t>
            </w:r>
          </w:p>
        </w:tc>
        <w:tc>
          <w:tcPr>
            <w:tcW w:w="40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19"/>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8"/>
              </w:rPr>
              <w:t>November 17, 2010</w:t>
            </w:r>
          </w:p>
        </w:tc>
      </w:tr>
      <w:tr>
        <w:trPr>
          <w:trHeight w:val="169"/>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6"/>
              </w:rPr>
              <w:t>Patricia F. Russo</w:t>
            </w:r>
          </w:p>
        </w:tc>
        <w:tc>
          <w:tcPr>
            <w:tcW w:w="40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19"/>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8"/>
              </w:rPr>
              <w:t>November 17, 2010</w:t>
            </w:r>
          </w:p>
        </w:tc>
      </w:tr>
      <w:tr>
        <w:trPr>
          <w:trHeight w:val="169"/>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7"/>
              </w:rPr>
              <w:t>Carol M. Stephenson</w:t>
            </w:r>
          </w:p>
        </w:tc>
        <w:tc>
          <w:tcPr>
            <w:tcW w:w="40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19"/>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8"/>
              </w:rPr>
              <w:t>November 17, 2010</w:t>
            </w:r>
          </w:p>
        </w:tc>
      </w:tr>
      <w:tr>
        <w:trPr>
          <w:trHeight w:val="169"/>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8"/>
              </w:rPr>
              <w:t>Cynthia A. Telles</w:t>
            </w:r>
          </w:p>
        </w:tc>
        <w:tc>
          <w:tcPr>
            <w:tcW w:w="4000" w:type="dxa"/>
            <w:vAlign w:val="bottom"/>
          </w:tcPr>
          <w:p>
            <w:pPr>
              <w:spacing w:after="0"/>
              <w:rPr>
                <w:sz w:val="14"/>
                <w:szCs w:val="14"/>
                <w:color w:val="auto"/>
              </w:rPr>
            </w:pPr>
          </w:p>
        </w:tc>
        <w:tc>
          <w:tcPr>
            <w:tcW w:w="2960" w:type="dxa"/>
            <w:vAlign w:val="bottom"/>
          </w:tcPr>
          <w:p>
            <w:pPr>
              <w:spacing w:after="0"/>
              <w:rPr>
                <w:sz w:val="14"/>
                <w:szCs w:val="14"/>
                <w:color w:val="auto"/>
              </w:rPr>
            </w:pPr>
          </w:p>
        </w:tc>
      </w:tr>
    </w:tbl>
    <w:p>
      <w:pPr>
        <w:spacing w:after="0" w:line="182" w:lineRule="exact"/>
        <w:rPr>
          <w:sz w:val="20"/>
          <w:szCs w:val="20"/>
          <w:color w:val="auto"/>
        </w:rPr>
      </w:pPr>
    </w:p>
    <w:p>
      <w:pPr>
        <w:ind w:left="460" w:right="3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by signing her name hereto, does execute this Registration Statement on behalf of the persons identified above pursuant to a power of attorney.</w:t>
      </w:r>
    </w:p>
    <w:p>
      <w:pPr>
        <w:spacing w:after="0" w:line="389" w:lineRule="exact"/>
        <w:rPr>
          <w:sz w:val="20"/>
          <w:szCs w:val="20"/>
          <w:color w:val="auto"/>
        </w:rPr>
      </w:pPr>
    </w:p>
    <w:p>
      <w:pPr>
        <w:ind w:left="6860"/>
        <w:spacing w:after="0"/>
        <w:tabs>
          <w:tab w:leader="none" w:pos="842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NNE</w:t>
      </w:r>
      <w:r>
        <w:rPr>
          <w:rFonts w:ascii="Arial" w:cs="Arial" w:eastAsia="Arial" w:hAnsi="Arial"/>
          <w:sz w:val="18"/>
          <w:szCs w:val="18"/>
          <w:color w:val="auto"/>
        </w:rPr>
        <w:t xml:space="preserve"> T. L</w:t>
      </w:r>
      <w:r>
        <w:rPr>
          <w:rFonts w:ascii="Arial" w:cs="Arial" w:eastAsia="Arial" w:hAnsi="Arial"/>
          <w:sz w:val="14"/>
          <w:szCs w:val="14"/>
          <w:color w:val="auto"/>
        </w:rPr>
        <w:t>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Anne T. Larin</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Attorney-in-Fact</w:t>
      </w:r>
    </w:p>
    <w:p>
      <w:pPr>
        <w:sectPr>
          <w:pgSz w:w="11900" w:h="16838" w:orient="portrait"/>
          <w:cols w:equalWidth="0" w:num="1">
            <w:col w:w="11420"/>
          </w:cols>
          <w:pgMar w:left="240" w:top="27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0" w:type="dxa"/>
            <w:vAlign w:val="bottom"/>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Exhibit</w:t>
            </w:r>
          </w:p>
        </w:tc>
        <w:tc>
          <w:tcPr>
            <w:tcW w:w="10000" w:type="dxa"/>
            <w:vAlign w:val="bottom"/>
          </w:tcPr>
          <w:p>
            <w:pPr>
              <w:spacing w:after="0"/>
              <w:rPr>
                <w:sz w:val="24"/>
                <w:szCs w:val="24"/>
                <w:color w:val="auto"/>
              </w:rPr>
            </w:pPr>
          </w:p>
        </w:tc>
      </w:tr>
      <w:tr>
        <w:trPr>
          <w:trHeight w:val="181"/>
        </w:trPr>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spacing w:after="0"/>
              <w:rPr>
                <w:sz w:val="20"/>
                <w:szCs w:val="20"/>
                <w:color w:val="auto"/>
              </w:rPr>
            </w:pPr>
            <w:r>
              <w:rPr>
                <w:rFonts w:ascii="Arial" w:cs="Arial" w:eastAsia="Arial" w:hAnsi="Arial"/>
                <w:sz w:val="14"/>
                <w:szCs w:val="14"/>
                <w:b w:val="1"/>
                <w:bCs w:val="1"/>
                <w:color w:val="auto"/>
              </w:rPr>
              <w:t>Description of Documents</w:t>
            </w:r>
          </w:p>
        </w:tc>
      </w:tr>
      <w:tr>
        <w:trPr>
          <w:trHeight w:val="195"/>
        </w:trPr>
        <w:tc>
          <w:tcPr>
            <w:tcW w:w="520" w:type="dxa"/>
            <w:vAlign w:val="bottom"/>
            <w:tcBorders>
              <w:top w:val="single" w:sz="8" w:color="auto"/>
            </w:tcBorders>
          </w:tcPr>
          <w:p>
            <w:pPr>
              <w:jc w:val="right"/>
              <w:ind w:right="118"/>
              <w:spacing w:after="0" w:line="195" w:lineRule="exact"/>
              <w:rPr>
                <w:sz w:val="20"/>
                <w:szCs w:val="20"/>
                <w:color w:val="auto"/>
              </w:rPr>
            </w:pPr>
            <w:r>
              <w:rPr>
                <w:rFonts w:ascii="Arial" w:cs="Arial" w:eastAsia="Arial" w:hAnsi="Arial"/>
                <w:sz w:val="18"/>
                <w:szCs w:val="18"/>
                <w:color w:val="auto"/>
              </w:rPr>
              <w:t>5.1</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Opinion of Robert C. Shrosbree, incorporated herein by reference to Exhibit 5.1 to Amendment No. 9 to the Registration Statement on Form</w:t>
            </w:r>
          </w:p>
        </w:tc>
      </w:tr>
      <w:tr>
        <w:trPr>
          <w:trHeight w:val="222"/>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S-1 (File No. 333-168919) of General Motors Company filed November 17, 2010</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w w:val="85"/>
              </w:rPr>
              <w:t>23.1</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Consent of Deloitte &amp; Touche LLP (General Motors Company)*</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w w:val="85"/>
              </w:rPr>
              <w:t>23.2</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Consent of Deloitte &amp; Touche LLP (Ally Financial Inc. fka GMAC Inc.)*</w:t>
            </w:r>
          </w:p>
        </w:tc>
      </w:tr>
      <w:tr>
        <w:trPr>
          <w:trHeight w:val="324"/>
        </w:trPr>
        <w:tc>
          <w:tcPr>
            <w:tcW w:w="520" w:type="dxa"/>
            <w:vAlign w:val="bottom"/>
          </w:tcPr>
          <w:p>
            <w:pPr>
              <w:jc w:val="right"/>
              <w:ind w:right="118"/>
              <w:spacing w:after="0"/>
              <w:rPr>
                <w:sz w:val="20"/>
                <w:szCs w:val="20"/>
                <w:color w:val="auto"/>
              </w:rPr>
            </w:pPr>
            <w:r>
              <w:rPr>
                <w:rFonts w:ascii="Arial" w:cs="Arial" w:eastAsia="Arial" w:hAnsi="Arial"/>
                <w:sz w:val="18"/>
                <w:szCs w:val="18"/>
                <w:color w:val="auto"/>
                <w:w w:val="85"/>
              </w:rPr>
              <w:t>23.3</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Consent of Robert C. Shrosbree (included in Exhibit 5.1)</w:t>
            </w:r>
          </w:p>
        </w:tc>
      </w:tr>
      <w:tr>
        <w:trPr>
          <w:trHeight w:val="110"/>
        </w:trPr>
        <w:tc>
          <w:tcPr>
            <w:tcW w:w="116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10000" w:type="dxa"/>
            <w:vAlign w:val="bottom"/>
          </w:tcPr>
          <w:p>
            <w:pPr>
              <w:spacing w:after="0"/>
              <w:rPr>
                <w:sz w:val="9"/>
                <w:szCs w:val="9"/>
                <w:color w:val="auto"/>
              </w:rPr>
            </w:pPr>
          </w:p>
        </w:tc>
      </w:tr>
      <w:tr>
        <w:trPr>
          <w:trHeight w:val="235"/>
        </w:trPr>
        <w:tc>
          <w:tcPr>
            <w:tcW w:w="142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100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341"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REPORT ON SCHEDULE</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consent to the incorporation by reference in this Registration Statement on Form S-1 of our report dated April 7, 2010 (August 18, 2010 as to the effects of the retrospective adjustment of reportable segments described in Notes 3 and 33 and November 1, 2010 as to the effects of the stock split described in Note 3) relating to the consolidated financial statements of General Motors Company as of December 31, 2009 (Successor) and for the period July 10, 2009 through December 31, 2009 (Successor), and of General Motors Corporation as of December 31, 2008 (Predecessor), the period January 1, 2009 through July 9, 2009 (Predecessor) and each of the two years in the period ended December 31, 2008 (Predecessor) (Successor and Predecessor collectively, the Company) (which report expresses an unqualified opinion on the financial statements and includes explanatory paragraphs relating to: (a) the Successor’s acquisition of substantially all of the assets and assumption of certain of the liabilities of the Predecessor in accordance with the Amended and Restated Master Sale and Purchase Agreement pursuant to Section 363(b) of the Bankruptcy Code and the Bankruptcy Court sale order dated July 5, 2009 and the resulting application of fresh-start reporting, which resulted in a lack of comparability between the financial statements of the Successor and the Predecessor; (b) the Predecessor’s adoption of new or revised accounting standards and (c) a retrospective change in the Successor’s reportable segments) and of our report dated April 7, 2010 relating to internal control over financial reporting (which report expresses an adverse opinion on the effectiveness of General Motors Company’s internal control over financial reporting because of a material weakness), such audit reports appearing in each respective prospectus included in Registration Statement No. 333-168919 on Form S-1, which is incorporated by reference into this Registration Statement.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audits of the consolidated financial statements referred to in our aforementioned report also included the financial statement schedule of the Company listed in Item 16(b) of Registration Statement No. 333-168919, which is incorporated by reference into this Registration Statement.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2010</w:t>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consent to the incorporation by reference in this Registration Statement on Form S-1 of General Motors Company of our report dated February 26, 2010 (August 6, 2010 as to Note 2, </w:t>
      </w:r>
      <w:r>
        <w:rPr>
          <w:rFonts w:ascii="Arial" w:cs="Arial" w:eastAsia="Arial" w:hAnsi="Arial"/>
          <w:sz w:val="18"/>
          <w:szCs w:val="18"/>
          <w:i w:val="1"/>
          <w:iCs w:val="1"/>
          <w:color w:val="auto"/>
        </w:rPr>
        <w:t>Discontinued and Held-for-sale Operations</w:t>
      </w:r>
      <w:r>
        <w:rPr>
          <w:rFonts w:ascii="Arial" w:cs="Arial" w:eastAsia="Arial" w:hAnsi="Arial"/>
          <w:sz w:val="18"/>
          <w:szCs w:val="18"/>
          <w:color w:val="auto"/>
        </w:rPr>
        <w:t xml:space="preserve"> and Note 32,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October 12, 2010 as to Note 33, </w:t>
      </w:r>
      <w:r>
        <w:rPr>
          <w:rFonts w:ascii="Arial" w:cs="Arial" w:eastAsia="Arial" w:hAnsi="Arial"/>
          <w:sz w:val="18"/>
          <w:szCs w:val="18"/>
          <w:i w:val="1"/>
          <w:iCs w:val="1"/>
          <w:color w:val="auto"/>
        </w:rPr>
        <w:t>Supplemental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 relating to the consolidated financial statements of Ally Financial Inc. (formerly GMAC Inc.) as of December 31, 2009 and 2008,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three years ended December 31, 2009, appearing in Exhibit 99.1 to Registration Statement No. 333-168919 on Form S-1, which is incorporated by reference into this Registration Statement.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2010</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2019-12-11T07:42:33Z</dcterms:created>
  <dcterms:modified xsi:type="dcterms:W3CDTF">2019-12-11T07:42:33Z</dcterms:modified>
</cp:coreProperties>
</file>