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21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2122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37"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02/15/2018</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31"/>
        <w:spacing w:after="0"/>
        <w:rPr>
          <w:sz w:val="20"/>
          <w:szCs w:val="20"/>
          <w:color w:val="auto"/>
        </w:rPr>
      </w:pPr>
      <w:r>
        <w:rPr>
          <w:rFonts w:ascii="Arial" w:cs="Arial" w:eastAsia="Arial" w:hAnsi="Arial"/>
          <w:sz w:val="17"/>
          <w:szCs w:val="17"/>
          <w:color w:val="0000FF"/>
        </w:rPr>
        <w:t>Chairman &amp; CEO</w:t>
      </w:r>
    </w:p>
    <w:p>
      <w:pPr>
        <w:spacing w:after="0" w:line="420"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5"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40" w:type="dxa"/>
            <w:vAlign w:val="bottom"/>
          </w:tcPr>
          <w:p>
            <w:pPr>
              <w:spacing w:after="0"/>
              <w:rPr>
                <w:sz w:val="11"/>
                <w:szCs w:val="11"/>
                <w:color w:val="auto"/>
              </w:rPr>
            </w:pP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520,608</w:t>
            </w:r>
          </w:p>
        </w:tc>
        <w:tc>
          <w:tcPr>
            <w:tcW w:w="700" w:type="dxa"/>
            <w:vAlign w:val="bottom"/>
          </w:tcPr>
          <w:p>
            <w:pPr>
              <w:spacing w:after="0"/>
              <w:rPr>
                <w:sz w:val="12"/>
                <w:szCs w:val="12"/>
                <w:color w:val="auto"/>
              </w:rPr>
            </w:pPr>
          </w:p>
        </w:tc>
        <w:tc>
          <w:tcPr>
            <w:tcW w:w="960" w:type="dxa"/>
            <w:vAlign w:val="bottom"/>
            <w:vMerge w:val="restart"/>
          </w:tcPr>
          <w:p>
            <w:pPr>
              <w:ind w:left="160"/>
              <w:spacing w:after="0"/>
              <w:rPr>
                <w:sz w:val="20"/>
                <w:szCs w:val="20"/>
                <w:color w:val="auto"/>
              </w:rPr>
            </w:pPr>
            <w:r>
              <w:rPr>
                <w:rFonts w:ascii="Arial" w:cs="Arial" w:eastAsia="Arial" w:hAnsi="Arial"/>
                <w:sz w:val="13"/>
                <w:szCs w:val="13"/>
                <w:color w:val="0000FF"/>
              </w:rPr>
              <w:t>1,561,823</w:t>
            </w:r>
            <w:r>
              <w:rPr>
                <w:rFonts w:ascii="Arial" w:cs="Arial" w:eastAsia="Arial" w:hAnsi="Arial"/>
                <w:sz w:val="22"/>
                <w:szCs w:val="22"/>
                <w:color w:val="008000"/>
                <w:vertAlign w:val="superscript"/>
              </w:rPr>
              <w:t>(2)</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120" w:type="dxa"/>
            <w:vAlign w:val="bottom"/>
          </w:tcPr>
          <w:p>
            <w:pPr>
              <w:jc w:val="right"/>
              <w:ind w:right="199"/>
              <w:spacing w:after="0"/>
              <w:rPr>
                <w:sz w:val="20"/>
                <w:szCs w:val="20"/>
                <w:color w:val="auto"/>
              </w:rPr>
            </w:pPr>
            <w:r>
              <w:rPr>
                <w:rFonts w:ascii="Arial" w:cs="Arial" w:eastAsia="Arial" w:hAnsi="Arial"/>
                <w:sz w:val="13"/>
                <w:szCs w:val="13"/>
                <w:color w:val="0000FF"/>
              </w:rPr>
              <w:t>02/15/2018</w:t>
            </w:r>
          </w:p>
        </w:tc>
        <w:tc>
          <w:tcPr>
            <w:tcW w:w="1100" w:type="dxa"/>
            <w:vAlign w:val="bottom"/>
          </w:tcPr>
          <w:p>
            <w:pPr>
              <w:spacing w:after="0"/>
              <w:rPr>
                <w:sz w:val="13"/>
                <w:szCs w:val="1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520,608</w:t>
            </w:r>
          </w:p>
        </w:tc>
        <w:tc>
          <w:tcPr>
            <w:tcW w:w="24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3"/>
                <w:szCs w:val="13"/>
                <w:color w:val="0000FF"/>
              </w:rPr>
              <w:t>02/15/2018</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07/28/2025</w:t>
            </w:r>
          </w:p>
        </w:tc>
        <w:tc>
          <w:tcPr>
            <w:tcW w:w="7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ind w:left="180"/>
              <w:spacing w:after="0" w:line="11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700" w:type="dxa"/>
            <w:vAlign w:val="bottom"/>
            <w:vMerge w:val="continu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6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February 15, 2018, 20% of the July 28, 2015 Driving Stockholder Value Stock Option Grant vested upon meeting or exceeding the median Total Shareholder Return ("TSR") of the peer group for the period July 28, 2015 through December 31, 2017.</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the vested and unexercised portion of the 2015 Driving Shareholder Value Stock Option Grant, 40% of which vested on February 15, 2017 and 20% of which vested on February 15, 2018.</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60" w:type="dxa"/>
            <w:vAlign w:val="bottom"/>
            <w:gridSpan w:val="2"/>
            <w:vMerge w:val="restart"/>
          </w:tcPr>
          <w:p>
            <w:pPr>
              <w:ind w:left="160"/>
              <w:spacing w:after="0"/>
              <w:rPr>
                <w:sz w:val="20"/>
                <w:szCs w:val="20"/>
                <w:color w:val="auto"/>
              </w:rPr>
            </w:pPr>
            <w:r>
              <w:rPr>
                <w:rFonts w:ascii="Arial" w:cs="Arial" w:eastAsia="Arial" w:hAnsi="Arial"/>
                <w:sz w:val="17"/>
                <w:szCs w:val="17"/>
                <w:color w:val="0000FF"/>
                <w:w w:val="91"/>
              </w:rPr>
              <w:t>02/20/2018</w:t>
            </w: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 for Ms. Barra</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94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2019-12-07T16:31:09Z</dcterms:created>
  <dcterms:modified xsi:type="dcterms:W3CDTF">2019-12-07T16:31:09Z</dcterms:modified>
</cp:coreProperties>
</file>