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jc w:val="center"/>
              <w:ind w:left="608"/>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8"/>
                <w:szCs w:val="18"/>
                <w:color w:val="0000FF"/>
                <w:w w:val="88"/>
              </w:rPr>
              <w:t>03/31/2016</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110"/>
              <w:spacing w:after="0"/>
              <w:rPr>
                <w:sz w:val="20"/>
                <w:szCs w:val="20"/>
                <w:color w:val="auto"/>
              </w:rPr>
            </w:pPr>
            <w:r>
              <w:rPr>
                <w:rFonts w:ascii="Arial" w:cs="Arial" w:eastAsia="Arial" w:hAnsi="Arial"/>
                <w:sz w:val="18"/>
                <w:szCs w:val="18"/>
                <w:color w:val="0000FF"/>
                <w:w w:val="84"/>
              </w:rPr>
              <w:t>2,104</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29,807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03/31/2016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center"/>
              <w:ind w:left="110"/>
              <w:spacing w:after="0"/>
              <w:rPr>
                <w:sz w:val="20"/>
                <w:szCs w:val="20"/>
                <w:color w:val="auto"/>
              </w:rPr>
            </w:pPr>
            <w:r>
              <w:rPr>
                <w:rFonts w:ascii="Arial" w:cs="Arial" w:eastAsia="Arial" w:hAnsi="Arial"/>
                <w:sz w:val="18"/>
                <w:szCs w:val="18"/>
                <w:color w:val="0000FF"/>
                <w:w w:val="84"/>
              </w:rPr>
              <w:t>1,106</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31.3</w:t>
            </w: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28,701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03/31/2016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jc w:val="center"/>
              <w:ind w:left="110"/>
              <w:spacing w:after="0"/>
              <w:rPr>
                <w:sz w:val="20"/>
                <w:szCs w:val="20"/>
                <w:color w:val="auto"/>
              </w:rPr>
            </w:pPr>
            <w:r>
              <w:rPr>
                <w:rFonts w:ascii="Arial" w:cs="Arial" w:eastAsia="Arial" w:hAnsi="Arial"/>
                <w:sz w:val="18"/>
                <w:szCs w:val="18"/>
                <w:color w:val="0000FF"/>
                <w:w w:val="86"/>
              </w:rPr>
              <w:t>998</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31.3</w:t>
            </w: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27,703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1"/>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8"/>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2,104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03/31/2016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line="146" w:lineRule="exact"/>
              <w:rPr>
                <w:sz w:val="20"/>
                <w:szCs w:val="20"/>
                <w:color w:val="auto"/>
              </w:rPr>
            </w:pPr>
            <w:r>
              <w:rPr>
                <w:rFonts w:ascii="Arial" w:cs="Arial" w:eastAsia="Arial" w:hAnsi="Arial"/>
                <w:sz w:val="14"/>
                <w:szCs w:val="14"/>
                <w:color w:val="0000FF"/>
              </w:rPr>
              <w:t>2,104</w:t>
            </w: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in 2013 pursuant to the Company's Salary Stock Plan (the "GMSSP") and vested upon grant. The portion of this award currently payable was settled on March 31, 2016 in cash, less a portion withheld for taxes.</w:t>
      </w:r>
    </w:p>
    <w:p>
      <w:pPr>
        <w:spacing w:after="0" w:line="30" w:lineRule="exact"/>
        <w:rPr>
          <w:rFonts w:ascii="Arial" w:cs="Arial" w:eastAsia="Arial" w:hAnsi="Arial"/>
          <w:sz w:val="14"/>
          <w:szCs w:val="14"/>
          <w:color w:val="008000"/>
        </w:rPr>
      </w:pPr>
    </w:p>
    <w:p>
      <w:pPr>
        <w:ind w:left="40" w:right="3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Common Stock. Grants of SSUs are fully vested when made and were settled in three equal, annual installments.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$31.30.</w:t>
      </w:r>
    </w:p>
    <w:p>
      <w:pPr>
        <w:sectPr>
          <w:pgSz w:w="11900" w:h="16838" w:orient="portrait"/>
          <w:cols w:equalWidth="0" w:num="1">
            <w:col w:w="11520"/>
          </w:cols>
          <w:pgMar w:left="240" w:top="226" w:right="13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Mr. Batey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5"/>
          <w:szCs w:val="15"/>
          <w:color w:val="0000FF"/>
        </w:rPr>
        <w:t>04/04/2016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2019-12-08T19:05:08Z</dcterms:created>
  <dcterms:modified xsi:type="dcterms:W3CDTF">2019-12-08T19:05:08Z</dcterms:modified>
</cp:coreProperties>
</file>