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0757748.xml.htm"/>
      <w:bookmarkStart w:id="1" w:name="kswkform4_177075774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Reuss Mark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1240 WOODWARD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M/C: 482-22381-1003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DETROIT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48265-3000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General Motors Co</w:t>
              </w:r>
            </w:hyperlink>
            <w:r>
              <w:rPr/>
              <w:t xml:space="preserve"> [ </w:t>
            </w:r>
            <w:r>
              <w:rPr>
                <w:rFonts w:ascii="Times;serif" w:hAnsi="Times;serif"/>
                <w:color w:val="0000FF"/>
                <w:sz w:val="24"/>
                <w:shd w:fill="FFFFFF" w:val="clear"/>
              </w:rPr>
              <w:t>GM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1012"/>
        <w:gridCol w:w="448"/>
        <w:gridCol w:w="751"/>
        <w:gridCol w:w="1152"/>
        <w:gridCol w:w="989"/>
        <w:gridCol w:w="9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30,596</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144,914</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12,621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84.24</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132,293</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373,607</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505,900</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162,941</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84.24</w:t>
            </w:r>
            <w:r>
              <w:rPr/>
              <w:t xml:space="preserve"> </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342,959</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71"/>
        <w:gridCol w:w="906"/>
        <w:gridCol w:w="801"/>
        <w:gridCol w:w="891"/>
        <w:gridCol w:w="80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30,596</w:t>
            </w:r>
            <w:r>
              <w:rPr>
                <w:rFonts w:ascii="Times;serif" w:hAnsi="Times;serif"/>
                <w:color w:val="008000"/>
                <w:position w:val="7"/>
                <w:sz w:val="16"/>
                <w:sz w:val="20"/>
                <w:shd w:fill="FFFFFF" w:val="clear"/>
              </w:rPr>
              <w:t>(4)</w:t>
            </w:r>
            <w:r>
              <w:rPr/>
              <w:t xml:space="preserve"> </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30,596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30,595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converts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February 7, 2023, the Reporting Person received a grant of Performance Stock Units ("PSUs"). Under the grant, the PSUs could be earned based on the achievement of certain financial targets. The PSUs vested on February 7, 2026, and were awarded in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do not have a conversion or exercise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were awarded on February 6, 2024. Two-thirds of the RSUs vested on February 6, 2025 and on February 6, 2026, respectively. The remaining one-third will vest on February 6, 2027. Each RSU represents a right to receive one share of the Company's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RSUs do not have a date on which they become exercisable or expire.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Tia Y. Turk, Attorney-In-Fact for Mr. Reuss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92362" TargetMode="External"/><Relationship Id="rId5" Type="http://schemas.openxmlformats.org/officeDocument/2006/relationships/hyperlink" Target="http://www.sec.gov/cgi-bin/browse-edgar?action=getcompany&amp;CIK=00014678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742</Words>
  <Characters>3920</Characters>
  <CharactersWithSpaces>4567</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