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205740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231140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20549-1004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Date of Report (Date of earliest event reported) September 14,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135890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GENERAL MOTORS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230" w:right="8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001-34960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jc w:val="center"/>
        <w:ind w:right="2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27-0756180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3680" w:space="720"/>
            <w:col w:w="1120"/>
          </w:cols>
          <w:pgMar w:left="240" w:top="230" w:right="899" w:bottom="1440" w:gutter="0" w:footer="0" w:header="0"/>
          <w:type w:val="continuous"/>
        </w:sect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 of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(I.R.S. Employer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160" w:space="720"/>
            <w:col w:w="3920" w:space="720"/>
            <w:col w:w="1240"/>
          </w:cols>
          <w:pgMar w:left="240" w:top="230" w:right="899" w:bottom="1440" w:gutter="0" w:footer="0" w:header="0"/>
          <w:type w:val="continuous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300 Renaissance Center, Detroit, Michigan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48265-3000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40" w:space="720"/>
            <w:col w:w="2600"/>
          </w:cols>
          <w:pgMar w:left="240" w:top="230" w:right="899" w:bottom="1440" w:gutter="0" w:footer="0" w:header="0"/>
          <w:type w:val="continuous"/>
        </w:sect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500"/>
          </w:cols>
          <w:pgMar w:left="240" w:top="230" w:right="899" w:bottom="1440" w:gutter="0" w:footer="0" w:header="0"/>
          <w:type w:val="continuous"/>
        </w:sect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(313) 556-5000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96520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(17-CFR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230" w:right="8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right"/>
        <w:ind w:right="3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TABLE OF CONTENTS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ITEM 8.01</w:t>
        </w:r>
      </w:hyperlink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tab/>
      </w:r>
      <w:hyperlink w:anchor="page3">
        <w:r>
          <w:rPr>
            <w:rFonts w:ascii="Arial" w:cs="Arial" w:eastAsia="Arial" w:hAnsi="Arial"/>
            <w:sz w:val="16"/>
            <w:szCs w:val="16"/>
            <w:b w:val="1"/>
            <w:bCs w:val="1"/>
            <w:u w:val="single" w:color="auto"/>
            <w:color w:val="0000EE"/>
          </w:rPr>
          <w:t>Other Events</w:t>
        </w:r>
      </w:hyperlink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4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Signature</w:t>
        </w:r>
      </w:hyperlink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Index to Exhibits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Presentation Webcast Charts Dated September 14, 2011</w:t>
      </w:r>
    </w:p>
    <w:p>
      <w:pPr>
        <w:sectPr>
          <w:pgSz w:w="11900" w:h="16838" w:orient="portrait"/>
          <w:cols w:equalWidth="0" w:num="1">
            <w:col w:w="10219"/>
          </w:cols>
          <w:pgMar w:left="240" w:top="459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14, 2011, Mr. Nick Reilly, President GM Europe, conducted a webcast presentation hosted by UBS to provide an update on General Motors Company European financial and operating strategy. The presentation related thereto is attached as Exhibit 99.1.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EXHIBITS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Exhibit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gridSpan w:val="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Method of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right"/>
              <w:ind w:right="1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Charts</w:t>
            </w: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Exhibit</w:t>
            </w: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75"/>
              </w:rPr>
              <w:t>Presentation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Attached as Exhibit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5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 September 14, 2011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880"/>
          </w:cols>
          <w:pgMar w:left="240" w:top="459" w:right="779" w:bottom="1440" w:gutter="0" w:footer="0" w:header="0"/>
        </w:sectPr>
      </w:pPr>
    </w:p>
    <w:bookmarkStart w:id="3" w:name="page4"/>
    <w:bookmarkEnd w:id="3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4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GENERAL MOTORS COMPANY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(Registrant)</w:t>
            </w:r>
          </w:p>
        </w:tc>
      </w:tr>
      <w:tr>
        <w:trPr>
          <w:trHeight w:val="447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September 20, 2011</w:t>
            </w:r>
          </w:p>
        </w:tc>
        <w:tc>
          <w:tcPr>
            <w:tcW w:w="7660" w:type="dxa"/>
            <w:vAlign w:val="bottom"/>
            <w:gridSpan w:val="4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Nick S. Cyprus</w:t>
            </w:r>
          </w:p>
        </w:tc>
      </w:tr>
      <w:tr>
        <w:trPr>
          <w:trHeight w:val="202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Nick S. Cyprus</w:t>
            </w:r>
          </w:p>
        </w:tc>
      </w:tr>
      <w:tr>
        <w:trPr>
          <w:trHeight w:val="222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President, Controller and Chief Accounting Officer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459" w:right="239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716915</wp:posOffset>
            </wp:positionH>
            <wp:positionV relativeFrom="paragraph">
              <wp:posOffset>118110</wp:posOffset>
            </wp:positionV>
            <wp:extent cx="5831840" cy="43738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437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DESIGN, BUILD and SELL THE WORLD’S BEST VEHICLES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Nick Reilly President, General Motors Europe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6" w:name="page7"/>
    <w:bookmarkEnd w:id="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  <w:w w:val="91"/>
              </w:rPr>
              <w:t>Forward Looking Statements In words this presentation “expect,” and in related “anticipate,” comments by our management, “possible,” our use of the “intend,” “continue,” “may,” “would,” “positioned”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statements</w:t>
            </w:r>
          </w:p>
        </w:tc>
        <w:tc>
          <w:tcPr>
            <w:tcW w:w="2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th t represent our or current similar judgment</w:t>
            </w:r>
          </w:p>
        </w:tc>
        <w:tc>
          <w:tcPr>
            <w:tcW w:w="8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expressions possible future events is . We any believe events these or judgments financial results, are reasonable, and our actual but these results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differ are materially not guarantees due toaboutof variety ability to of realize important production factors. efficiencies Among other and items, to achieve such factors reductions might in include: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12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sts as ourmayquality result of our restructuring control initiatives over and labor our modifications; vehicles our ability and to maintain ab lity production to deliver schedules; parts, systems our ability and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components maintain adequate at such liquidity times</w:t>
            </w:r>
          </w:p>
        </w:tc>
        <w:tc>
          <w:tcPr>
            <w:tcW w:w="8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and allow financing us to meet sources significant and investment an appropriate in new level technology; of debt, including our ability as to required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80" w:type="dxa"/>
            <w:vAlign w:val="bottom"/>
            <w:gridSpan w:val="2"/>
          </w:tcPr>
          <w:p>
            <w:pPr>
              <w:spacing w:after="0" w:line="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FFFFFF"/>
              </w:rPr>
              <w:t>annual about report these on and Form other 10 -factors,</w:t>
            </w:r>
          </w:p>
        </w:tc>
        <w:tc>
          <w:tcPr>
            <w:tcW w:w="8200" w:type="dxa"/>
            <w:vAlign w:val="bottom"/>
            <w:gridSpan w:val="2"/>
          </w:tcPr>
          <w:p>
            <w:pPr>
              <w:spacing w:after="0" w:line="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FFFFFF"/>
              </w:rPr>
              <w:t>K and quarterly which we reports may revise on Form or 10-Q supplementcontinuefuture reports to the SEC.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  <w:w w:val="92"/>
              </w:rPr>
              <w:t>realize successful to fund our vehicle planned parti ularly applications for of our new new technology; products and . our ability to</w:t>
            </w:r>
          </w:p>
        </w:tc>
        <w:tc>
          <w:tcPr>
            <w:tcW w:w="3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  <w:w w:val="91"/>
              </w:rPr>
              <w:t>to attract new customers, GM’s provides most information recent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240" w:top="1440" w:right="379" w:bottom="1440" w:gutter="0" w:footer="0" w:header="0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FFFFFF"/>
        </w:rPr>
        <w:t>General Motors Europe •GM represented in Europe with 2 main brands – Opel</w:t>
      </w:r>
      <w:r>
        <w:rPr>
          <w:rFonts w:ascii="Arial" w:cs="Arial" w:eastAsia="Arial" w:hAnsi="Arial"/>
          <w:sz w:val="21"/>
          <w:szCs w:val="21"/>
          <w:color w:val="FFFFFF"/>
          <w:vertAlign w:val="subscript"/>
        </w:rPr>
        <w:t>Central/Eastern</w:t>
      </w:r>
      <w:r>
        <w:rPr>
          <w:rFonts w:ascii="Arial" w:cs="Arial" w:eastAsia="Arial" w:hAnsi="Arial"/>
          <w:sz w:val="11"/>
          <w:szCs w:val="11"/>
          <w:color w:val="FFFFFF"/>
        </w:rPr>
        <w:t xml:space="preserve">Vauxhall(UK) over 100 years – Chevrolet Europe also 100 years – even more active in Europe since 2005 •European </w:t>
      </w:r>
      <w:r>
        <w:rPr>
          <w:rFonts w:ascii="Arial" w:cs="Arial" w:eastAsia="Arial" w:hAnsi="Arial"/>
          <w:sz w:val="21"/>
          <w:szCs w:val="21"/>
          <w:color w:val="FFFFFF"/>
          <w:vertAlign w:val="subscript"/>
        </w:rPr>
        <w:t>market</w:t>
      </w:r>
      <w:r>
        <w:rPr>
          <w:rFonts w:ascii="Arial" w:cs="Arial" w:eastAsia="Arial" w:hAnsi="Arial"/>
          <w:sz w:val="11"/>
          <w:szCs w:val="11"/>
          <w:color w:val="FFFFFF"/>
        </w:rPr>
        <w:t xml:space="preserve"> is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FFFFFF"/>
        </w:rPr>
        <w:t>split – Western Europe Mature, sophisticated, with slow growth potential – Europe Emerging, good growth potential, price sensitive •Overcapacity in Europe, most volume OEMs are ginally profitable in Europe •Market trends – Urbanization – Aging customer base – CO2 reduction – Electrification and Alternative Propulsion •Tough regulatory environment &amp; difficult environmental targets</w:t>
      </w:r>
    </w:p>
    <w:p>
      <w:pPr>
        <w:sectPr>
          <w:pgSz w:w="11900" w:h="16838" w:orient="portrait"/>
          <w:cols w:equalWidth="0" w:num="1">
            <w:col w:w="11360"/>
          </w:cols>
          <w:pgMar w:left="240" w:top="1440" w:right="299" w:bottom="1440" w:gutter="0" w:footer="0" w:header="0"/>
        </w:sectPr>
      </w:pPr>
    </w:p>
    <w:bookmarkStart w:id="8" w:name="page9"/>
    <w:bookmarkEnd w:id="8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Automobiles: Tradition and Innovation 1899 Opel Patent-Motorcar System Lutzmann 1928 Opel RAK 2 1935 Opel Olympia 1924 Opel Laubfrosch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9" w:name="page10"/>
    <w:bookmarkEnd w:id="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/ Vauxhall in Europe • Headquartered in Rüsselsheim, Germany • 41,000 employees in Europe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10" w:name="page11"/>
    <w:bookmarkEnd w:id="1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The Brand Opel German Engineering Passion for Innovations Affordable Dream Cars Sustainable Mobility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11" w:name="page12"/>
    <w:bookmarkEnd w:id="1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/ Vauxhall Award-Winning Products •Over 40 prizes for Insignia •Over 25 prizes for Astra •Over 10 prizes for Ampera •Over 20 prizes for Meriva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12" w:name="page13"/>
    <w:bookmarkEnd w:id="1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7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  <w:w w:val="96"/>
              </w:rPr>
              <w:t>GM Europe Sales Jan –Aug 2011 TOTAL EUROPE TOTAL VEHICLE MARKET Total Vehicle Market Preliminary Top 10—Jan-Aug</w:t>
            </w:r>
          </w:p>
        </w:tc>
        <w:tc>
          <w:tcPr>
            <w:tcW w:w="35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  <w:w w:val="91"/>
              </w:rPr>
              <w:t>1 % of Market 1. VW Cum 10 Cum 11 Max10.02 1. VW % of</w:t>
            </w:r>
          </w:p>
        </w:tc>
      </w:tr>
      <w:tr>
        <w:trPr>
          <w:trHeight w:val="41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Market 3.56 3.68 4.23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10.65 4.07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3.75  .68 2.</w:t>
            </w:r>
          </w:p>
        </w:tc>
        <w:tc>
          <w:tcPr>
            <w:tcW w:w="1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Ford 4.27 4.28 8.12 4.92</w:t>
            </w:r>
          </w:p>
        </w:tc>
        <w:tc>
          <w:tcPr>
            <w:tcW w:w="7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2. Ford % of Market 5.82 5.30 7.83 6.70 6.42 5.49 7.38 3. Renault2010/2016.6.22 8.19 7.16 3. Renault % of Market 6.84 6.23 7.50 7.86 8.19</w:t>
            </w:r>
          </w:p>
        </w:tc>
      </w:tr>
      <w:tr>
        <w:trPr>
          <w:trHeight w:val="4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7 50</w:t>
            </w:r>
          </w:p>
        </w:tc>
        <w:tc>
          <w:tcPr>
            <w:tcW w:w="3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9 42 4. Peugeot 8.12 7.83 6.84 9.34 4. Peugeot % of Market 10.02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106.65 .23 12.24 5. Opel/Vxh 6.11 5. Opel % of Market 6.22 6. Fiat 6.42</w:t>
            </w:r>
          </w:p>
        </w:tc>
        <w:tc>
          <w:tcPr>
            <w:tcW w:w="3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. Fiat % of Market 5.49 7. Citroen 5.82 7. Citroen % of Market</w:t>
            </w:r>
          </w:p>
        </w:tc>
      </w:tr>
      <w:tr>
        <w:trPr>
          <w:trHeight w:val="4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5 30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8. Mercedes 4.27</w:t>
            </w: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8. Mercedes % of Market 4.28 9. Toyota 4.07 9.</w:t>
            </w:r>
          </w:p>
        </w:tc>
        <w:tc>
          <w:tcPr>
            <w:tcW w:w="7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oyota % of Market 3.75 10. Audi 3.56 Cum 10 10. Audi % of Market 3.68 Cum 11   . 16. Chevrolet 2.47 % of Market 2.53 45. Cadillac</w:t>
            </w:r>
          </w:p>
        </w:tc>
      </w:tr>
      <w:tr>
        <w:trPr>
          <w:trHeight w:val="4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0.01</w:t>
            </w:r>
          </w:p>
        </w:tc>
        <w:tc>
          <w:tcPr>
            <w:tcW w:w="1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45. Cadillac % of Market 0.02 GERMANY TOTAL VEHICLE MARKET Total Vehicle Market Preliminary Top 10—Jan-Aug 2010/2011 % of Market16. VW Cum 10 Cum 11 Max 21.41  . VW % of</w:t>
            </w:r>
          </w:p>
        </w:tc>
      </w:tr>
      <w:tr>
        <w:trPr>
          <w:trHeight w:val="41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Market 3.10 2.81 3.56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21.27 3.15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3.05 3.62 2.</w:t>
            </w:r>
          </w:p>
        </w:tc>
        <w:tc>
          <w:tcPr>
            <w:tcW w:w="88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FFFFFF"/>
              </w:rPr>
              <w:t>Mercedes 4.30 10.4 75 .00  .94 2. Mercedes % of Market 4.14 10.26 4.10 4.76 6.95 7.08 8.15 3. Opel 7.735 .38 7.28 8.45 3. Opel % of Market 6.91 7.70 7.36 8.46</w:t>
            </w:r>
          </w:p>
        </w:tc>
      </w:tr>
      <w:tr>
        <w:trPr>
          <w:trHeight w:val="0"/>
        </w:trPr>
        <w:tc>
          <w:tcPr>
            <w:tcW w:w="2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7 38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7 70 8.86 4. Ford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10 6.75 91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10.26 12.36</w:t>
            </w:r>
          </w:p>
        </w:tc>
        <w:tc>
          <w:tcPr>
            <w:tcW w:w="8860" w:type="dxa"/>
            <w:vAlign w:val="bottom"/>
            <w:gridSpan w:val="3"/>
          </w:tcPr>
          <w:p>
            <w:pPr>
              <w:jc w:val="right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4. Ford % of Market 217 .41 .36 21.27 24.62 5. BMW 7.35 5. BMW % of Market 7.28 6. Audi 6.95 6. Audi % of Market 7.   7. Skoda 4.14 7. Skoda % of Market</w:t>
            </w:r>
          </w:p>
        </w:tc>
      </w:tr>
    </w:tbl>
    <w:p>
      <w:pPr>
        <w:ind w:left="80"/>
        <w:spacing w:after="0" w:line="25" w:lineRule="auto"/>
        <w:tabs>
          <w:tab w:leader="none" w:pos="320" w:val="left"/>
          <w:tab w:leader="none" w:pos="940" w:val="left"/>
          <w:tab w:leader="none" w:pos="9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"/>
          <w:szCs w:val="1"/>
          <w:color w:val="FFFFFF"/>
          <w:vertAlign w:val="superscript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"/>
          <w:szCs w:val="1"/>
          <w:color w:val="FFFFFF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"/>
          <w:szCs w:val="1"/>
          <w:color w:val="FFFFFF"/>
          <w:vertAlign w:val="superscript"/>
        </w:rPr>
        <w:t>30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"/>
          <w:szCs w:val="1"/>
          <w:color w:val="FFFFFF"/>
        </w:rPr>
        <w:t>08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FFFFFF"/>
        </w:rPr>
        <w:t>04 0110 %8 RenaultofMarket4.  .018. Renault % of Market 4.00 9. Fiat 3.15 9. Fiat % of Market 3.05 10. 10 Peugeot . Peugeot 3.10 Cum 10 % of Market 2.81 Cum 11 24.24 Chevrolet .  .69 % of Market 0.86 44.44 Cadillac .</w:t>
      </w:r>
    </w:p>
    <w:p>
      <w:pPr>
        <w:sectPr>
          <w:pgSz w:w="11900" w:h="16838" w:orient="portrait"/>
          <w:cols w:equalWidth="0" w:num="1">
            <w:col w:w="11360"/>
          </w:cols>
          <w:pgMar w:left="240" w:top="1440" w:right="299" w:bottom="1440" w:gutter="0" w:footer="0" w:header="0"/>
        </w:sectPr>
      </w:pPr>
    </w:p>
    <w:bookmarkStart w:id="13" w:name="page14"/>
    <w:bookmarkEnd w:id="1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FFFFFF"/>
        </w:rPr>
        <w:t>Opel / Vauxhall Corporate Status •Serious financial state in 2009 at same time as GM filed bankruptcy in US •GM decision to maintain Opel / Vauxhall •Regeneration through major restructuring plan designed to: — Reduce capacity / headcount by ~20% — Increase productivity — Contribution of Euro 265 M /annum by workforce — Significantly reduce breakeven — Restructuring financed by parent company •Product launch attack: Euro 11 B for over 30 new models through 2014</w:t>
      </w:r>
    </w:p>
    <w:p>
      <w:pPr>
        <w:sectPr>
          <w:pgSz w:w="11900" w:h="16838" w:orient="portrait"/>
          <w:cols w:equalWidth="0" w:num="1">
            <w:col w:w="11300"/>
          </w:cols>
          <w:pgMar w:left="240" w:top="1440" w:right="359" w:bottom="1440" w:gutter="0" w:footer="0" w:header="0"/>
        </w:sectPr>
      </w:pPr>
    </w:p>
    <w:bookmarkStart w:id="14" w:name="page15"/>
    <w:bookmarkEnd w:id="1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European Industry Growth Projection • Not expected that peak volume, before crisis, will be reached again within FC period • Slow recuperation of Western European industry • Faster decline during crisis but faster recuperation and growth in Central and Western Europe after crisis [Units Million] Today Source: Global Insight</w:t>
      </w:r>
    </w:p>
    <w:p>
      <w:pPr>
        <w:sectPr>
          <w:pgSz w:w="11900" w:h="16838" w:orient="portrait"/>
          <w:cols w:equalWidth="0" w:num="1">
            <w:col w:w="11280"/>
          </w:cols>
          <w:pgMar w:left="240" w:top="1440" w:right="379" w:bottom="1440" w:gutter="0" w:footer="0" w:header="0"/>
        </w:sectPr>
      </w:pPr>
    </w:p>
    <w:bookmarkStart w:id="15" w:name="page16"/>
    <w:bookmarkEnd w:id="1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/ Vauxhall Market Share &amp; Financials • YTD Aug 2011 we are up on volume in 15 markets and up on market share in 20 markets out of 27 markets vs YTD Aug 2010 — Opel / Vauxhall YTD August market share is 6.22% (+0.11 pp vs. YTD August 2010) — Opel / Vauxhall among top 3 winners</w:t>
      </w:r>
      <w:r>
        <w:rPr>
          <w:rFonts w:ascii="Arial" w:cs="Arial" w:eastAsia="Arial" w:hAnsi="Arial"/>
          <w:sz w:val="22"/>
          <w:szCs w:val="22"/>
          <w:color w:val="FFFFFF"/>
          <w:vertAlign w:val="subscript"/>
        </w:rPr>
        <w:t>funding</w:t>
      </w:r>
      <w:r>
        <w:rPr>
          <w:rFonts w:ascii="Arial" w:cs="Arial" w:eastAsia="Arial" w:hAnsi="Arial"/>
          <w:sz w:val="12"/>
          <w:szCs w:val="12"/>
          <w:color w:val="FFFFFF"/>
        </w:rPr>
        <w:t>European market • 2nd Quarter 2011 — Profit of $102 M USD (EBIT) (restructuring cost included) • Target</w:t>
      </w:r>
    </w:p>
    <w:p>
      <w:pPr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FFFFFF"/>
        </w:rPr>
        <w:t>for 2011 — EBIT-Adj breakeven (without considering restructuring cost) • Original required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FFFFFF"/>
        </w:rPr>
        <w:t>by GM of $4.4 B USD — Substantially lower funding utilized</w:t>
      </w:r>
    </w:p>
    <w:p>
      <w:pPr>
        <w:sectPr>
          <w:pgSz w:w="11900" w:h="16838" w:orient="portrait"/>
          <w:cols w:equalWidth="0" w:num="1">
            <w:col w:w="11280"/>
          </w:cols>
          <w:pgMar w:left="240" w:top="1440" w:right="379" w:bottom="1440" w:gutter="0" w:footer="0" w:header="0"/>
        </w:sectPr>
      </w:pPr>
    </w:p>
    <w:bookmarkStart w:id="16" w:name="page17"/>
    <w:bookmarkEnd w:id="1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Restructuring Status Action Progress • Antwerp plant closure • Restructuring of Bochum plant All activities in plan Nearly completed • F13 being replaced by F17 transmissions built at Aspern All activities in plan • Run out of L850 engine at Kaiserslautern • Headcount restructuring and structural cost All activities in plan improvement 2011- 2014 as planned</w:t>
      </w:r>
    </w:p>
    <w:p>
      <w:pPr>
        <w:sectPr>
          <w:pgSz w:w="11900" w:h="16838" w:orient="portrait"/>
          <w:cols w:equalWidth="0" w:num="1">
            <w:col w:w="11280"/>
          </w:cols>
          <w:pgMar w:left="240" w:top="1440" w:right="379" w:bottom="1440" w:gutter="0" w:footer="0" w:header="0"/>
        </w:sectPr>
      </w:pPr>
    </w:p>
    <w:bookmarkStart w:id="17" w:name="page18"/>
    <w:bookmarkEnd w:id="1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/ Vauxhall Media Reputation Opel / Vauxhall in Europe | Corporate vs. Product Coverage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18" w:name="page19"/>
    <w:bookmarkEnd w:id="18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/ Vauxhall Media Reputation Trend | Opel in Germany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19" w:name="page20"/>
    <w:bookmarkEnd w:id="1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Opel / Vauxhall Product Launches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20" w:name="page21"/>
    <w:bookmarkEnd w:id="2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Mobility for the Future: Opel Ampera •E-Car with range extender •40 to 80 km electric driving •Onboard-electricity generator •Total range &gt; 500 km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21" w:name="page22"/>
    <w:bookmarkEnd w:id="2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Chevrolet Status • Fast growing brand • European “Total Vehicle” market • YTD 2011 volume growth in 24 markets &amp; increase market share in 17 markets • 2010 World Touring Car Championship with Cruze • 7 new model launches in 2011 Orlando, Aveo 4, Aveo 5dr, Cruze HB, Camaro Coupé/Convertible, Volt • Soon to be launched Malibu</w:t>
      </w:r>
    </w:p>
    <w:p>
      <w:pPr>
        <w:sectPr>
          <w:pgSz w:w="11900" w:h="16838" w:orient="portrait"/>
          <w:cols w:equalWidth="0" w:num="1">
            <w:col w:w="11380"/>
          </w:cols>
          <w:pgMar w:left="240" w:top="1440" w:right="279" w:bottom="1440" w:gutter="0" w:footer="0" w:header="0"/>
        </w:sectPr>
      </w:pPr>
    </w:p>
    <w:bookmarkStart w:id="22" w:name="page23"/>
    <w:bookmarkEnd w:id="2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Chevrolet Growth in Europe Faster growth than any competitor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23" w:name="page24"/>
    <w:bookmarkEnd w:id="2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Chevrolet Product Launches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24" w:name="page25"/>
    <w:bookmarkEnd w:id="2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Chevrolet Product Launches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25" w:name="page26"/>
    <w:bookmarkEnd w:id="2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GM European Brands</w:t>
      </w:r>
    </w:p>
    <w:p>
      <w:pPr>
        <w:sectPr>
          <w:pgSz w:w="11900" w:h="16838" w:orient="portrait"/>
          <w:cols w:equalWidth="0" w:num="1">
            <w:col w:w="10219"/>
          </w:cols>
          <w:pgMar w:left="240" w:top="1440" w:right="1440" w:bottom="1440" w:gutter="0" w:footer="0" w:header="0"/>
        </w:sectPr>
      </w:pPr>
    </w:p>
    <w:bookmarkStart w:id="26" w:name="page27"/>
    <w:bookmarkEnd w:id="2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446786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FFFFFF"/>
        </w:rPr>
        <w:t>DESIGN, BUILD and SELL THE WORLD’S BEST VEHICLES</w:t>
      </w:r>
    </w:p>
    <w:sectPr>
      <w:pgSz w:w="11900" w:h="16838" w:orient="portrait"/>
      <w:cols w:equalWidth="0" w:num="1">
        <w:col w:w="10219"/>
      </w:cols>
      <w:pgMar w:left="2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2019-12-11T08:13:18Z</dcterms:created>
  <dcterms:modified xsi:type="dcterms:W3CDTF">2019-12-11T08:13:18Z</dcterms:modified>
</cp:coreProperties>
</file>