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20549-1004</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July 29, 2020</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246" w:right="559" w:bottom="1440" w:gutter="0" w:footer="0" w:header="0"/>
        </w:sectPr>
      </w:pPr>
    </w:p>
    <w:p>
      <w:pPr>
        <w:spacing w:after="0" w:line="109" w:lineRule="exact"/>
        <w:rPr>
          <w:sz w:val="24"/>
          <w:szCs w:val="24"/>
          <w:color w:val="auto"/>
        </w:rPr>
      </w:pPr>
    </w:p>
    <w:p>
      <w:pPr>
        <w:ind w:left="178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27-0756180</w:t>
      </w:r>
    </w:p>
    <w:p>
      <w:pPr>
        <w:spacing w:after="0" w:line="78" w:lineRule="exact"/>
        <w:rPr>
          <w:sz w:val="24"/>
          <w:szCs w:val="24"/>
          <w:color w:val="auto"/>
        </w:rPr>
      </w:pPr>
    </w:p>
    <w:p>
      <w:pPr>
        <w:sectPr>
          <w:pgSz w:w="11900" w:h="16838" w:orient="portrait"/>
          <w:cols w:equalWidth="0" w:num="3">
            <w:col w:w="4800" w:space="720"/>
            <w:col w:w="2820" w:space="720"/>
            <w:col w:w="1980"/>
          </w:cols>
          <w:pgMar w:left="300" w:top="1246" w:right="55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4" w:lineRule="exact"/>
        <w:rPr>
          <w:sz w:val="24"/>
          <w:szCs w:val="24"/>
          <w:color w:val="auto"/>
        </w:rPr>
      </w:pPr>
    </w:p>
    <w:p>
      <w:pPr>
        <w:sectPr>
          <w:pgSz w:w="11900" w:h="16838" w:orient="portrait"/>
          <w:cols w:equalWidth="0" w:num="3">
            <w:col w:w="4320" w:space="720"/>
            <w:col w:w="2620" w:space="720"/>
            <w:col w:w="2660"/>
          </w:cols>
          <w:pgMar w:left="300" w:top="1246" w:right="559" w:bottom="1440" w:gutter="0" w:footer="0" w:header="0"/>
          <w:type w:val="continuous"/>
        </w:sectPr>
      </w:pPr>
    </w:p>
    <w:p>
      <w:pPr>
        <w:ind w:left="132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48265 -3000</w:t>
      </w:r>
    </w:p>
    <w:p>
      <w:pPr>
        <w:spacing w:after="0" w:line="78" w:lineRule="exact"/>
        <w:rPr>
          <w:sz w:val="24"/>
          <w:szCs w:val="24"/>
          <w:color w:val="auto"/>
        </w:rPr>
      </w:pPr>
    </w:p>
    <w:p>
      <w:pPr>
        <w:sectPr>
          <w:pgSz w:w="11900" w:h="16838" w:orient="portrait"/>
          <w:cols w:equalWidth="0" w:num="4">
            <w:col w:w="2780" w:space="260"/>
            <w:col w:w="460" w:space="240"/>
            <w:col w:w="3940" w:space="720"/>
            <w:col w:w="2640"/>
          </w:cols>
          <w:pgMar w:left="300" w:top="1246" w:right="559" w:bottom="1440" w:gutter="0" w:footer="0" w:header="0"/>
          <w:type w:val="continuous"/>
        </w:sectPr>
      </w:pPr>
    </w:p>
    <w:p>
      <w:pPr>
        <w:ind w:left="20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740" w:space="720"/>
            <w:col w:w="2580"/>
          </w:cols>
          <w:pgMar w:left="300" w:top="1246" w:right="559" w:bottom="1440" w:gutter="0" w:footer="0" w:header="0"/>
          <w:type w:val="continuous"/>
        </w:sectPr>
      </w:pPr>
    </w:p>
    <w:p>
      <w:pPr>
        <w:spacing w:after="0" w:line="9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74"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74"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105"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gridSpan w:val="3"/>
          </w:tcPr>
          <w:p>
            <w:pPr>
              <w:jc w:val="center"/>
              <w:ind w:right="180"/>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4080" w:type="dxa"/>
            <w:vAlign w:val="bottom"/>
            <w:gridSpan w:val="3"/>
          </w:tcPr>
          <w:p>
            <w:pPr>
              <w:jc w:val="center"/>
              <w:ind w:right="160"/>
              <w:spacing w:after="0"/>
              <w:rPr>
                <w:sz w:val="20"/>
                <w:szCs w:val="20"/>
                <w:color w:val="auto"/>
              </w:rPr>
            </w:pPr>
            <w:r>
              <w:rPr>
                <w:rFonts w:ascii="Arial" w:cs="Arial" w:eastAsia="Arial" w:hAnsi="Arial"/>
                <w:sz w:val="13"/>
                <w:szCs w:val="13"/>
                <w:color w:val="auto"/>
                <w:w w:val="90"/>
              </w:rPr>
              <w:t>Trading Symbol(s)</w:t>
            </w:r>
          </w:p>
        </w:tc>
        <w:tc>
          <w:tcPr>
            <w:tcW w:w="226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09"/>
        </w:trPr>
        <w:tc>
          <w:tcPr>
            <w:tcW w:w="2140" w:type="dxa"/>
            <w:vAlign w:val="bottom"/>
            <w:gridSpan w:val="3"/>
          </w:tcPr>
          <w:p>
            <w:pPr>
              <w:jc w:val="center"/>
              <w:ind w:right="480"/>
              <w:spacing w:after="0"/>
              <w:rPr>
                <w:sz w:val="20"/>
                <w:szCs w:val="20"/>
                <w:color w:val="auto"/>
              </w:rPr>
            </w:pPr>
            <w:r>
              <w:rPr>
                <w:rFonts w:ascii="Arial" w:cs="Arial" w:eastAsia="Arial" w:hAnsi="Arial"/>
                <w:sz w:val="13"/>
                <w:szCs w:val="13"/>
                <w:color w:val="auto"/>
                <w:w w:val="89"/>
              </w:rPr>
              <w:t>Common Stock, $0.01 par value</w:t>
            </w:r>
          </w:p>
        </w:tc>
        <w:tc>
          <w:tcPr>
            <w:tcW w:w="1480" w:type="dxa"/>
            <w:vAlign w:val="bottom"/>
          </w:tcPr>
          <w:p>
            <w:pPr>
              <w:spacing w:after="0"/>
              <w:rPr>
                <w:sz w:val="18"/>
                <w:szCs w:val="18"/>
                <w:color w:val="auto"/>
              </w:rPr>
            </w:pPr>
          </w:p>
        </w:tc>
        <w:tc>
          <w:tcPr>
            <w:tcW w:w="2600" w:type="dxa"/>
            <w:vAlign w:val="bottom"/>
            <w:gridSpan w:val="2"/>
          </w:tcPr>
          <w:p>
            <w:pPr>
              <w:jc w:val="center"/>
              <w:ind w:right="1640"/>
              <w:spacing w:after="0"/>
              <w:rPr>
                <w:sz w:val="20"/>
                <w:szCs w:val="20"/>
                <w:color w:val="auto"/>
              </w:rPr>
            </w:pPr>
            <w:r>
              <w:rPr>
                <w:rFonts w:ascii="Arial" w:cs="Arial" w:eastAsia="Arial" w:hAnsi="Arial"/>
                <w:sz w:val="13"/>
                <w:szCs w:val="13"/>
                <w:color w:val="auto"/>
                <w:w w:val="95"/>
              </w:rPr>
              <w:t>GM</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89"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246"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July 29, 2020 General Motors Company (GM) issued a news release and supplemental materials on the subject of its 2020 second quarter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Charts furnished to securities analysts in connection with GM's 2020 second quarter earnings release are available on GM's website at www.gm.com/investors/earnings-releases.html.</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66"/>
        </w:trPr>
        <w:tc>
          <w:tcPr>
            <w:tcW w:w="20" w:type="dxa"/>
            <w:vAlign w:val="bottom"/>
          </w:tcPr>
          <w:p>
            <w:pPr>
              <w:spacing w:after="0"/>
              <w:rPr>
                <w:sz w:val="23"/>
                <w:szCs w:val="23"/>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3540" w:type="dxa"/>
            <w:vAlign w:val="bottom"/>
            <w:gridSpan w:val="3"/>
          </w:tcPr>
          <w:p>
            <w:pPr>
              <w:ind w:left="1060"/>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23"/>
                <w:szCs w:val="23"/>
                <w:color w:val="auto"/>
              </w:rPr>
            </w:pPr>
          </w:p>
        </w:tc>
        <w:tc>
          <w:tcPr>
            <w:tcW w:w="534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9480" w:type="dxa"/>
            <w:vAlign w:val="bottom"/>
            <w:gridSpan w:val="5"/>
          </w:tcPr>
          <w:p>
            <w:pPr>
              <w:ind w:left="106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News Release Dated July 29, 2020</w:t>
              </w:r>
            </w:hyperlink>
          </w:p>
        </w:tc>
      </w:tr>
      <w:tr>
        <w:trPr>
          <w:trHeight w:val="212"/>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9480" w:type="dxa"/>
            <w:vAlign w:val="bottom"/>
            <w:gridSpan w:val="5"/>
          </w:tcPr>
          <w:p>
            <w:pPr>
              <w:ind w:left="1060"/>
              <w:spacing w:after="0"/>
              <w:rPr>
                <w:rFonts w:ascii="Arial" w:cs="Arial" w:eastAsia="Arial" w:hAnsi="Arial"/>
                <w:sz w:val="14"/>
                <w:szCs w:val="14"/>
                <w:color w:val="0000FF"/>
              </w:rPr>
            </w:pPr>
            <w:hyperlink w:anchor="page8">
              <w:r>
                <w:rPr>
                  <w:rFonts w:ascii="Arial" w:cs="Arial" w:eastAsia="Arial" w:hAnsi="Arial"/>
                  <w:sz w:val="14"/>
                  <w:szCs w:val="14"/>
                  <w:u w:val="single" w:color="auto"/>
                  <w:color w:val="0000FF"/>
                </w:rPr>
                <w:t>Financial Highlights Dated July</w:t>
              </w:r>
              <w:r>
                <w:rPr>
                  <w:rFonts w:ascii="Arial" w:cs="Arial" w:eastAsia="Arial" w:hAnsi="Arial"/>
                  <w:sz w:val="14"/>
                  <w:szCs w:val="14"/>
                  <w:color w:val="0000FF"/>
                </w:rPr>
                <w:t xml:space="preserve"> 29, </w:t>
              </w:r>
              <w:r>
                <w:rPr>
                  <w:rFonts w:ascii="Arial" w:cs="Arial" w:eastAsia="Arial" w:hAnsi="Arial"/>
                  <w:sz w:val="14"/>
                  <w:szCs w:val="14"/>
                  <w:u w:val="single" w:color="auto"/>
                  <w:color w:val="0000FF"/>
                </w:rPr>
                <w:t>2020</w:t>
              </w:r>
            </w:hyperlink>
          </w:p>
        </w:tc>
      </w:tr>
      <w:tr>
        <w:trPr>
          <w:trHeight w:val="212"/>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9480" w:type="dxa"/>
            <w:vAlign w:val="bottom"/>
            <w:gridSpan w:val="5"/>
          </w:tcPr>
          <w:p>
            <w:pPr>
              <w:ind w:left="1060"/>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6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c>
          <w:tcPr>
            <w:tcW w:w="0" w:type="dxa"/>
            <w:vAlign w:val="bottom"/>
          </w:tcPr>
          <w:p>
            <w:pPr>
              <w:spacing w:after="0"/>
              <w:rPr>
                <w:sz w:val="1"/>
                <w:szCs w:val="1"/>
                <w:color w:val="auto"/>
              </w:rPr>
            </w:pPr>
          </w:p>
        </w:tc>
      </w:tr>
      <w:tr>
        <w:trPr>
          <w:trHeight w:val="594"/>
        </w:trPr>
        <w:tc>
          <w:tcPr>
            <w:tcW w:w="6100" w:type="dxa"/>
            <w:vAlign w:val="bottom"/>
          </w:tcPr>
          <w:p>
            <w:pPr>
              <w:ind w:left="5440"/>
              <w:spacing w:after="0"/>
              <w:rPr>
                <w:sz w:val="20"/>
                <w:szCs w:val="20"/>
                <w:color w:val="auto"/>
              </w:rPr>
            </w:pPr>
            <w:r>
              <w:rPr>
                <w:rFonts w:ascii="Arial" w:cs="Arial" w:eastAsia="Arial" w:hAnsi="Arial"/>
                <w:sz w:val="14"/>
                <w:szCs w:val="14"/>
                <w:color w:val="auto"/>
              </w:rPr>
              <w:t>By:</w:t>
            </w:r>
          </w:p>
        </w:tc>
        <w:tc>
          <w:tcPr>
            <w:tcW w:w="5120" w:type="dxa"/>
            <w:vAlign w:val="bottom"/>
          </w:tcPr>
          <w:p>
            <w:pPr>
              <w:ind w:left="20"/>
              <w:spacing w:after="0"/>
              <w:rPr>
                <w:sz w:val="20"/>
                <w:szCs w:val="20"/>
                <w:color w:val="auto"/>
              </w:rPr>
            </w:pPr>
            <w:r>
              <w:rPr>
                <w:rFonts w:ascii="Arial" w:cs="Arial" w:eastAsia="Arial" w:hAnsi="Arial"/>
                <w:sz w:val="14"/>
                <w:szCs w:val="14"/>
                <w:color w:val="auto"/>
              </w:rPr>
              <w:t>/s/ CHRISTOPHER T. HATTO</w:t>
            </w:r>
          </w:p>
        </w:tc>
        <w:tc>
          <w:tcPr>
            <w:tcW w:w="0" w:type="dxa"/>
            <w:vAlign w:val="bottom"/>
          </w:tcPr>
          <w:p>
            <w:pPr>
              <w:spacing w:after="0"/>
              <w:rPr>
                <w:sz w:val="1"/>
                <w:szCs w:val="1"/>
                <w:color w:val="auto"/>
              </w:rPr>
            </w:pPr>
          </w:p>
        </w:tc>
      </w:tr>
      <w:tr>
        <w:trPr>
          <w:trHeight w:val="22"/>
        </w:trPr>
        <w:tc>
          <w:tcPr>
            <w:tcW w:w="6100" w:type="dxa"/>
            <w:vAlign w:val="bottom"/>
            <w:vMerge w:val="restart"/>
          </w:tcPr>
          <w:p>
            <w:pPr>
              <w:spacing w:after="0"/>
              <w:rPr>
                <w:sz w:val="20"/>
                <w:szCs w:val="20"/>
                <w:color w:val="auto"/>
              </w:rPr>
            </w:pPr>
            <w:r>
              <w:rPr>
                <w:rFonts w:ascii="Arial" w:cs="Arial" w:eastAsia="Arial" w:hAnsi="Arial"/>
                <w:sz w:val="14"/>
                <w:szCs w:val="14"/>
                <w:color w:val="auto"/>
              </w:rPr>
              <w:t>Date: July 29, 2020</w:t>
            </w:r>
          </w:p>
        </w:tc>
        <w:tc>
          <w:tcPr>
            <w:tcW w:w="5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100" w:type="dxa"/>
            <w:vAlign w:val="bottom"/>
            <w:vMerge w:val="continue"/>
          </w:tcPr>
          <w:p>
            <w:pPr>
              <w:spacing w:after="0"/>
              <w:rPr>
                <w:sz w:val="14"/>
                <w:szCs w:val="14"/>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w w:val="95"/>
              </w:rPr>
              <w:t>Christopher T. Hatto, Vice President, Global Business Solutions and Chief Accounting</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478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(loss) attributable to stockholders under U.S. GAAP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40" w:type="dxa"/>
            <w:vAlign w:val="bottom"/>
            <w:tcBorders>
              <w:bottom w:val="single" w:sz="8" w:color="auto"/>
            </w:tcBorders>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2020</w:t>
            </w:r>
          </w:p>
        </w:tc>
        <w:tc>
          <w:tcPr>
            <w:tcW w:w="46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b w:val="1"/>
                <w:bCs w:val="1"/>
                <w:color w:val="auto"/>
              </w:rPr>
              <w:t>June 30, 2019</w:t>
            </w:r>
          </w:p>
        </w:tc>
        <w:tc>
          <w:tcPr>
            <w:tcW w:w="24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2020</w:t>
            </w:r>
          </w:p>
        </w:tc>
        <w:tc>
          <w:tcPr>
            <w:tcW w:w="400" w:type="dxa"/>
            <w:vAlign w:val="bottom"/>
          </w:tcPr>
          <w:p>
            <w:pPr>
              <w:spacing w:after="0"/>
              <w:rPr>
                <w:sz w:val="11"/>
                <w:szCs w:val="11"/>
                <w:color w:val="auto"/>
              </w:rPr>
            </w:pPr>
          </w:p>
        </w:tc>
        <w:tc>
          <w:tcPr>
            <w:tcW w:w="1040" w:type="dxa"/>
            <w:vAlign w:val="bottom"/>
          </w:tcPr>
          <w:p>
            <w:pPr>
              <w:jc w:val="right"/>
              <w:ind w:right="337"/>
              <w:spacing w:after="0"/>
              <w:rPr>
                <w:sz w:val="20"/>
                <w:szCs w:val="20"/>
                <w:color w:val="auto"/>
              </w:rPr>
            </w:pPr>
            <w:r>
              <w:rPr>
                <w:rFonts w:ascii="Arial" w:cs="Arial" w:eastAsia="Arial" w:hAnsi="Arial"/>
                <w:sz w:val="10"/>
                <w:szCs w:val="10"/>
                <w:b w:val="1"/>
                <w:bCs w:val="1"/>
                <w:color w:val="auto"/>
                <w:w w:val="95"/>
              </w:rPr>
              <w:t>June 30, 2019</w:t>
            </w:r>
          </w:p>
        </w:tc>
      </w:tr>
      <w:tr>
        <w:trPr>
          <w:trHeight w:val="173"/>
        </w:trPr>
        <w:tc>
          <w:tcPr>
            <w:tcW w:w="486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99"/>
        </w:trPr>
        <w:tc>
          <w:tcPr>
            <w:tcW w:w="4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North America (GMNA)</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4,918</w:t>
            </w:r>
          </w:p>
        </w:tc>
      </w:tr>
      <w:tr>
        <w:trPr>
          <w:trHeight w:val="183"/>
        </w:trPr>
        <w:tc>
          <w:tcPr>
            <w:tcW w:w="4860" w:type="dxa"/>
            <w:vAlign w:val="bottom"/>
          </w:tcPr>
          <w:p>
            <w:pPr>
              <w:ind w:left="100"/>
              <w:spacing w:after="0"/>
              <w:rPr>
                <w:sz w:val="20"/>
                <w:szCs w:val="20"/>
                <w:color w:val="auto"/>
              </w:rPr>
            </w:pPr>
            <w:r>
              <w:rPr>
                <w:rFonts w:ascii="Arial" w:cs="Arial" w:eastAsia="Arial" w:hAnsi="Arial"/>
                <w:sz w:val="13"/>
                <w:szCs w:val="13"/>
                <w:color w:val="auto"/>
              </w:rPr>
              <w:t>GM International (GMI)</w:t>
            </w:r>
          </w:p>
        </w:tc>
        <w:tc>
          <w:tcPr>
            <w:tcW w:w="300" w:type="dxa"/>
            <w:vAlign w:val="bottom"/>
          </w:tcPr>
          <w:p>
            <w:pPr>
              <w:spacing w:after="0"/>
              <w:rPr>
                <w:sz w:val="15"/>
                <w:szCs w:val="15"/>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(17)</w:t>
            </w:r>
          </w:p>
        </w:tc>
      </w:tr>
      <w:tr>
        <w:trPr>
          <w:trHeight w:val="199"/>
        </w:trPr>
        <w:tc>
          <w:tcPr>
            <w:tcW w:w="4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Cruise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(448)</w:t>
            </w:r>
          </w:p>
        </w:tc>
      </w:tr>
      <w:tr>
        <w:trPr>
          <w:trHeight w:val="189"/>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 Financial(a)</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456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895</w:t>
            </w:r>
          </w:p>
        </w:tc>
      </w:tr>
      <w:tr>
        <w:trPr>
          <w:trHeight w:val="184"/>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5,348</w:t>
            </w:r>
          </w:p>
        </w:tc>
      </w:tr>
      <w:tr>
        <w:trPr>
          <w:trHeight w:val="18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(591)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r>
      <w:tr>
        <w:trPr>
          <w:trHeight w:val="189"/>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5,322</w:t>
            </w:r>
          </w:p>
        </w:tc>
      </w:tr>
      <w:tr>
        <w:trPr>
          <w:trHeight w:val="183"/>
        </w:trPr>
        <w:tc>
          <w:tcPr>
            <w:tcW w:w="486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9"/>
        </w:trPr>
        <w:tc>
          <w:tcPr>
            <w:tcW w:w="4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GMI restructuring(c)</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4860" w:type="dxa"/>
            <w:vAlign w:val="bottom"/>
          </w:tcPr>
          <w:p>
            <w:pPr>
              <w:ind w:left="100"/>
              <w:spacing w:after="0"/>
              <w:rPr>
                <w:sz w:val="20"/>
                <w:szCs w:val="20"/>
                <w:color w:val="auto"/>
              </w:rPr>
            </w:pPr>
            <w:r>
              <w:rPr>
                <w:rFonts w:ascii="Arial" w:cs="Arial" w:eastAsia="Arial" w:hAnsi="Arial"/>
                <w:sz w:val="13"/>
                <w:szCs w:val="13"/>
                <w:color w:val="auto"/>
              </w:rPr>
              <w:t>Transformation activities(d)</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(1,151)</w:t>
            </w:r>
          </w:p>
        </w:tc>
      </w:tr>
      <w:tr>
        <w:trPr>
          <w:trHeight w:val="191"/>
        </w:trPr>
        <w:tc>
          <w:tcPr>
            <w:tcW w:w="4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Brazil indirect tax recoveries(e)</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1,237</w:t>
            </w:r>
          </w:p>
        </w:tc>
      </w:tr>
      <w:tr>
        <w:trPr>
          <w:trHeight w:val="182"/>
        </w:trPr>
        <w:tc>
          <w:tcPr>
            <w:tcW w:w="48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86</w:t>
            </w:r>
          </w:p>
        </w:tc>
      </w:tr>
      <w:tr>
        <w:trPr>
          <w:trHeight w:val="199"/>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204</w:t>
            </w:r>
          </w:p>
        </w:tc>
      </w:tr>
      <w:tr>
        <w:trPr>
          <w:trHeight w:val="183"/>
        </w:trPr>
        <w:tc>
          <w:tcPr>
            <w:tcW w:w="486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300" w:type="dxa"/>
            <w:vAlign w:val="bottom"/>
          </w:tcPr>
          <w:p>
            <w:pPr>
              <w:spacing w:after="0"/>
              <w:rPr>
                <w:sz w:val="15"/>
                <w:szCs w:val="15"/>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(376)</w:t>
            </w:r>
          </w:p>
        </w:tc>
      </w:tr>
      <w:tr>
        <w:trPr>
          <w:trHeight w:val="19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(661)</w:t>
            </w:r>
          </w:p>
        </w:tc>
      </w:tr>
      <w:tr>
        <w:trPr>
          <w:trHeight w:val="184"/>
        </w:trPr>
        <w:tc>
          <w:tcPr>
            <w:tcW w:w="4860" w:type="dxa"/>
            <w:vAlign w:val="bottom"/>
          </w:tcPr>
          <w:p>
            <w:pPr>
              <w:ind w:left="20"/>
              <w:spacing w:after="0"/>
              <w:rPr>
                <w:sz w:val="20"/>
                <w:szCs w:val="20"/>
                <w:color w:val="auto"/>
              </w:rPr>
            </w:pPr>
            <w:r>
              <w:rPr>
                <w:rFonts w:ascii="Arial" w:cs="Arial" w:eastAsia="Arial" w:hAnsi="Arial"/>
                <w:sz w:val="13"/>
                <w:szCs w:val="13"/>
                <w:color w:val="auto"/>
              </w:rPr>
              <w:t>Net income (loss) attributable to stockholders(f)</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(758)</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4,575</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jc w:val="both"/>
        <w:ind w:left="260" w:hanging="255"/>
        <w:spacing w:after="0" w:line="241" w:lineRule="auto"/>
        <w:tabs>
          <w:tab w:leader="none" w:pos="254"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inventory provisions in the three months ended June 30, 2020 and dealer restructurings, asset impairments, inventory provisions, sales allowances and employee separation charges in the six months ended June 30, 2020.</w:t>
      </w:r>
    </w:p>
    <w:p>
      <w:pPr>
        <w:jc w:val="both"/>
        <w:ind w:left="260" w:hanging="255"/>
        <w:spacing w:after="0" w:line="241" w:lineRule="auto"/>
        <w:tabs>
          <w:tab w:leader="none" w:pos="249"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and accelerated depreciation and supplier-related charges in the six months ended June 30, 2019.</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Three Months Ended</w:t>
            </w: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39"/>
        </w:trPr>
        <w:tc>
          <w:tcPr>
            <w:tcW w:w="4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0"/>
                <w:szCs w:val="10"/>
                <w:b w:val="1"/>
                <w:bCs w:val="1"/>
                <w:color w:val="auto"/>
              </w:rPr>
              <w:t>September 30,</w:t>
            </w:r>
          </w:p>
        </w:tc>
      </w:tr>
      <w:tr>
        <w:trPr>
          <w:trHeight w:val="139"/>
        </w:trPr>
        <w:tc>
          <w:tcPr>
            <w:tcW w:w="4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2018</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2,534</w:t>
            </w:r>
          </w:p>
        </w:tc>
      </w:tr>
      <w:tr>
        <w:trPr>
          <w:trHeight w:val="189"/>
        </w:trPr>
        <w:tc>
          <w:tcPr>
            <w:tcW w:w="43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38"/>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Arial" w:cs="Arial" w:eastAsia="Arial" w:hAnsi="Arial"/>
                <w:sz w:val="13"/>
                <w:szCs w:val="13"/>
                <w:color w:val="auto"/>
              </w:rPr>
              <w:t>100</w:t>
            </w:r>
          </w:p>
        </w:tc>
      </w:tr>
      <w:tr>
        <w:trPr>
          <w:trHeight w:val="19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161</w:t>
            </w:r>
          </w:p>
        </w:tc>
      </w:tr>
      <w:tr>
        <w:trPr>
          <w:trHeight w:val="189"/>
        </w:trPr>
        <w:tc>
          <w:tcPr>
            <w:tcW w:w="43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38"/>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(82)</w:t>
            </w:r>
          </w:p>
        </w:tc>
      </w:tr>
      <w:tr>
        <w:trPr>
          <w:trHeight w:val="19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9"/>
        </w:trPr>
        <w:tc>
          <w:tcPr>
            <w:tcW w:w="4340" w:type="dxa"/>
            <w:vAlign w:val="bottom"/>
          </w:tcPr>
          <w:p>
            <w:pPr>
              <w:ind w:left="140"/>
              <w:spacing w:after="0"/>
              <w:rPr>
                <w:sz w:val="20"/>
                <w:szCs w:val="20"/>
                <w:color w:val="auto"/>
              </w:rPr>
            </w:pPr>
            <w:r>
              <w:rPr>
                <w:rFonts w:ascii="Arial" w:cs="Arial" w:eastAsia="Arial" w:hAnsi="Arial"/>
                <w:sz w:val="13"/>
                <w:szCs w:val="13"/>
                <w:color w:val="auto"/>
              </w:rPr>
              <w:t>GMI restructuring(a)</w:t>
            </w:r>
          </w:p>
        </w:tc>
        <w:tc>
          <w:tcPr>
            <w:tcW w:w="1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193"/>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Transformation activities(b)</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r>
      <w:tr>
        <w:trPr>
          <w:trHeight w:val="189"/>
        </w:trPr>
        <w:tc>
          <w:tcPr>
            <w:tcW w:w="4340" w:type="dxa"/>
            <w:vAlign w:val="bottom"/>
          </w:tcPr>
          <w:p>
            <w:pPr>
              <w:ind w:left="140"/>
              <w:spacing w:after="0"/>
              <w:rPr>
                <w:sz w:val="20"/>
                <w:szCs w:val="20"/>
                <w:color w:val="auto"/>
              </w:rPr>
            </w:pPr>
            <w:r>
              <w:rPr>
                <w:rFonts w:ascii="Arial" w:cs="Arial" w:eastAsia="Arial" w:hAnsi="Arial"/>
                <w:sz w:val="13"/>
                <w:szCs w:val="13"/>
                <w:color w:val="auto"/>
              </w:rPr>
              <w:t>GM Brazil indirect tax recoveries(c)</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193"/>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FAW-GM divestiture(d)</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r>
      <w:tr>
        <w:trPr>
          <w:trHeight w:val="189"/>
        </w:trPr>
        <w:tc>
          <w:tcPr>
            <w:tcW w:w="4340" w:type="dxa"/>
            <w:vAlign w:val="bottom"/>
          </w:tcPr>
          <w:p>
            <w:pPr>
              <w:ind w:left="140"/>
              <w:spacing w:after="0"/>
              <w:rPr>
                <w:sz w:val="20"/>
                <w:szCs w:val="20"/>
                <w:color w:val="auto"/>
              </w:rPr>
            </w:pPr>
            <w:r>
              <w:rPr>
                <w:rFonts w:ascii="Arial" w:cs="Arial" w:eastAsia="Arial" w:hAnsi="Arial"/>
                <w:sz w:val="13"/>
                <w:szCs w:val="13"/>
                <w:color w:val="auto"/>
              </w:rPr>
              <w:t>Ignition switch recall and related legal matters(e)</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Arial" w:cs="Arial" w:eastAsia="Arial" w:hAnsi="Arial"/>
                <w:sz w:val="13"/>
                <w:szCs w:val="13"/>
                <w:color w:val="auto"/>
              </w:rPr>
              <w:t>440</w:t>
            </w:r>
          </w:p>
        </w:tc>
      </w:tr>
      <w:tr>
        <w:trPr>
          <w:trHeight w:val="18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92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489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358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440</w:t>
            </w:r>
          </w:p>
        </w:tc>
      </w:tr>
      <w:tr>
        <w:trPr>
          <w:trHeight w:val="184"/>
        </w:trPr>
        <w:tc>
          <w:tcPr>
            <w:tcW w:w="4340" w:type="dxa"/>
            <w:vAlign w:val="bottom"/>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3,012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2,310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2,828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2,966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3,153</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inventory provisions in the three months ended June 30, 2020 and asset impairments, dealer restructurings, employee separation charges and sales allowances in the three months ended March 31, 2020 in Australia, New Zealand and Thailand.</w:t>
      </w:r>
    </w:p>
    <w:p>
      <w:pPr>
        <w:jc w:val="both"/>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accelerated depreciation in the three months ended March 31, 2019, accelerated depreciation and employee separation charges in the three months ended December 31, 2019, employee separation charges and accelerated depreciation in the three months ended December 31, 2018 and supplier-related charges and pension curtailment and other charges in the three months ended September 30, 2019.</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Six Months Ended</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39"/>
        </w:trPr>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360"/>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0"/>
                <w:szCs w:val="10"/>
                <w:b w:val="1"/>
                <w:bCs w:val="1"/>
                <w:color w:val="auto"/>
              </w:rPr>
              <w:t>June 30, 2019</w:t>
            </w:r>
          </w:p>
        </w:tc>
      </w:tr>
      <w:tr>
        <w:trPr>
          <w:trHeight w:val="127"/>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11"/>
                <w:szCs w:val="11"/>
                <w:color w:val="auto"/>
              </w:rPr>
            </w:pPr>
          </w:p>
        </w:tc>
        <w:tc>
          <w:tcPr>
            <w:tcW w:w="680" w:type="dxa"/>
            <w:vAlign w:val="bottom"/>
          </w:tcPr>
          <w:p>
            <w:pPr>
              <w:jc w:val="right"/>
              <w:ind w:right="160"/>
              <w:spacing w:after="0"/>
              <w:rPr>
                <w:sz w:val="20"/>
                <w:szCs w:val="20"/>
                <w:color w:val="auto"/>
              </w:rPr>
            </w:pPr>
            <w:r>
              <w:rPr>
                <w:rFonts w:ascii="Arial" w:cs="Arial" w:eastAsia="Arial" w:hAnsi="Arial"/>
                <w:sz w:val="8"/>
                <w:szCs w:val="8"/>
                <w:b w:val="1"/>
                <w:bCs w:val="1"/>
                <w:color w:val="auto"/>
              </w:rPr>
              <w:t>Per Share</w:t>
            </w:r>
          </w:p>
        </w:tc>
      </w:tr>
      <w:tr>
        <w:trPr>
          <w:trHeight w:val="19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(loss)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(0.56)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2,381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(559)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center"/>
              <w:ind w:left="61"/>
              <w:spacing w:after="0"/>
              <w:rPr>
                <w:sz w:val="20"/>
                <w:szCs w:val="20"/>
                <w:color w:val="auto"/>
              </w:rPr>
            </w:pPr>
            <w:r>
              <w:rPr>
                <w:rFonts w:ascii="Arial" w:cs="Arial" w:eastAsia="Arial" w:hAnsi="Arial"/>
                <w:sz w:val="13"/>
                <w:szCs w:val="13"/>
                <w:color w:val="auto"/>
                <w:w w:val="94"/>
              </w:rPr>
              <w:t>(0.39)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4,500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3.13</w:t>
            </w:r>
          </w:p>
        </w:tc>
      </w:tr>
      <w:tr>
        <w:trPr>
          <w:trHeight w:val="183"/>
        </w:trPr>
        <w:tc>
          <w:tcPr>
            <w:tcW w:w="42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81"/>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1"/>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1"/>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left="61"/>
              <w:spacing w:after="0"/>
              <w:rPr>
                <w:sz w:val="20"/>
                <w:szCs w:val="20"/>
                <w:color w:val="auto"/>
              </w:rPr>
            </w:pPr>
            <w:r>
              <w:rPr>
                <w:rFonts w:ascii="Arial" w:cs="Arial" w:eastAsia="Arial" w:hAnsi="Arial"/>
                <w:sz w:val="13"/>
                <w:szCs w:val="13"/>
                <w:color w:val="auto"/>
                <w:w w:val="94"/>
              </w:rPr>
              <w:t>0.41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41"/>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3"/>
                <w:szCs w:val="13"/>
                <w:color w:val="auto"/>
              </w:rPr>
              <w:t>(0.06)</w:t>
            </w: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61"/>
              <w:spacing w:after="0"/>
              <w:rPr>
                <w:sz w:val="20"/>
                <w:szCs w:val="20"/>
                <w:color w:val="auto"/>
              </w:rPr>
            </w:pPr>
            <w:r>
              <w:rPr>
                <w:rFonts w:ascii="Arial" w:cs="Arial" w:eastAsia="Arial" w:hAnsi="Arial"/>
                <w:sz w:val="13"/>
                <w:szCs w:val="13"/>
                <w:color w:val="auto"/>
                <w:w w:val="94"/>
              </w:rPr>
              <w:t>(0.05)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(0.03)</w:t>
            </w:r>
          </w:p>
        </w:tc>
      </w:tr>
      <w:tr>
        <w:trPr>
          <w:trHeight w:val="183"/>
        </w:trPr>
        <w:tc>
          <w:tcPr>
            <w:tcW w:w="4260" w:type="dxa"/>
            <w:vAlign w:val="bottom"/>
          </w:tcPr>
          <w:p>
            <w:pPr>
              <w:ind w:left="20"/>
              <w:spacing w:after="0"/>
              <w:rPr>
                <w:sz w:val="20"/>
                <w:szCs w:val="20"/>
                <w:color w:val="auto"/>
              </w:rPr>
            </w:pPr>
            <w:r>
              <w:rPr>
                <w:rFonts w:ascii="Arial" w:cs="Arial" w:eastAsia="Arial" w:hAnsi="Arial"/>
                <w:sz w:val="13"/>
                <w:szCs w:val="13"/>
                <w:color w:val="auto"/>
              </w:rPr>
              <w:t>Tax adjustment(c)</w:t>
            </w: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ind w:right="81"/>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left="61"/>
              <w:spacing w:after="0"/>
              <w:rPr>
                <w:sz w:val="20"/>
                <w:szCs w:val="20"/>
                <w:color w:val="auto"/>
              </w:rPr>
            </w:pPr>
            <w:r>
              <w:rPr>
                <w:rFonts w:ascii="Arial" w:cs="Arial" w:eastAsia="Arial" w:hAnsi="Arial"/>
                <w:sz w:val="13"/>
                <w:szCs w:val="13"/>
                <w:color w:val="auto"/>
                <w:w w:val="94"/>
              </w:rPr>
              <w:t>0.16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80"/>
              <w:spacing w:after="0"/>
              <w:rPr>
                <w:sz w:val="20"/>
                <w:szCs w:val="20"/>
                <w:color w:val="auto"/>
              </w:rPr>
            </w:pPr>
            <w:r>
              <w:rPr>
                <w:rFonts w:ascii="Arial" w:cs="Arial" w:eastAsia="Arial" w:hAnsi="Arial"/>
                <w:sz w:val="13"/>
                <w:szCs w:val="13"/>
                <w:color w:val="auto"/>
              </w:rPr>
              <w:t>—</w:t>
            </w:r>
          </w:p>
        </w:tc>
      </w:tr>
      <w:tr>
        <w:trPr>
          <w:trHeight w:val="214"/>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2,353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center"/>
              <w:ind w:left="61"/>
              <w:spacing w:after="0"/>
              <w:rPr>
                <w:sz w:val="20"/>
                <w:szCs w:val="20"/>
                <w:color w:val="auto"/>
              </w:rPr>
            </w:pPr>
            <w:r>
              <w:rPr>
                <w:rFonts w:ascii="Arial" w:cs="Arial" w:eastAsia="Arial" w:hAnsi="Arial"/>
                <w:sz w:val="13"/>
                <w:szCs w:val="13"/>
                <w:color w:val="auto"/>
                <w:w w:val="94"/>
              </w:rPr>
              <w:t>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4,373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3.04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ind w:left="260" w:hanging="255"/>
        <w:spacing w:after="0" w:line="260"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June 30, 2020</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June 30, 2019</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8"/>
              </w:rPr>
              <w:t>June 30, 2020</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8"/>
              </w:rPr>
              <w:t>June 30, 2019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Income (loss)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Income (loss)</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before income</w:t>
            </w:r>
          </w:p>
        </w:tc>
        <w:tc>
          <w:tcPr>
            <w:tcW w:w="120" w:type="dxa"/>
            <w:vAlign w:val="bottom"/>
          </w:tcPr>
          <w:p>
            <w:pPr>
              <w:spacing w:after="0"/>
              <w:rPr>
                <w:sz w:val="8"/>
                <w:szCs w:val="8"/>
                <w:color w:val="auto"/>
              </w:rPr>
            </w:pPr>
          </w:p>
        </w:tc>
        <w:tc>
          <w:tcPr>
            <w:tcW w:w="600" w:type="dxa"/>
            <w:vAlign w:val="bottom"/>
          </w:tcPr>
          <w:p>
            <w:pPr>
              <w:jc w:val="center"/>
              <w:ind w:right="68"/>
              <w:spacing w:after="0"/>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ind w:left="60"/>
              <w:spacing w:after="0"/>
              <w:rPr>
                <w:sz w:val="20"/>
                <w:szCs w:val="20"/>
                <w:color w:val="auto"/>
              </w:rPr>
            </w:pPr>
            <w:r>
              <w:rPr>
                <w:rFonts w:ascii="Arial" w:cs="Arial" w:eastAsia="Arial" w:hAnsi="Arial"/>
                <w:sz w:val="8"/>
                <w:szCs w:val="8"/>
                <w:b w:val="1"/>
                <w:bCs w:val="1"/>
                <w:color w:val="auto"/>
              </w:rPr>
              <w:t>Income before</w:t>
            </w:r>
          </w:p>
        </w:tc>
        <w:tc>
          <w:tcPr>
            <w:tcW w:w="120" w:type="dxa"/>
            <w:vAlign w:val="bottom"/>
          </w:tcPr>
          <w:p>
            <w:pPr>
              <w:spacing w:after="0"/>
              <w:rPr>
                <w:sz w:val="8"/>
                <w:szCs w:val="8"/>
                <w:color w:val="auto"/>
              </w:rPr>
            </w:pPr>
          </w:p>
        </w:tc>
        <w:tc>
          <w:tcPr>
            <w:tcW w:w="600" w:type="dxa"/>
            <w:vAlign w:val="bottom"/>
          </w:tcPr>
          <w:p>
            <w:pPr>
              <w:jc w:val="center"/>
              <w:ind w:right="68"/>
              <w:spacing w:after="0"/>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before income</w:t>
            </w:r>
          </w:p>
        </w:tc>
        <w:tc>
          <w:tcPr>
            <w:tcW w:w="100" w:type="dxa"/>
            <w:vAlign w:val="bottom"/>
          </w:tcPr>
          <w:p>
            <w:pPr>
              <w:spacing w:after="0"/>
              <w:rPr>
                <w:sz w:val="8"/>
                <w:szCs w:val="8"/>
                <w:color w:val="auto"/>
              </w:rPr>
            </w:pPr>
          </w:p>
        </w:tc>
        <w:tc>
          <w:tcPr>
            <w:tcW w:w="600" w:type="dxa"/>
            <w:vAlign w:val="bottom"/>
          </w:tcPr>
          <w:p>
            <w:pPr>
              <w:jc w:val="right"/>
              <w:ind w:right="68"/>
              <w:spacing w:after="0"/>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ind w:left="6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8"/>
                <w:szCs w:val="8"/>
                <w:color w:val="auto"/>
              </w:rPr>
            </w:pPr>
          </w:p>
        </w:tc>
        <w:tc>
          <w:tcPr>
            <w:tcW w:w="600" w:type="dxa"/>
            <w:vAlign w:val="bottom"/>
          </w:tcPr>
          <w:p>
            <w:pPr>
              <w:jc w:val="right"/>
              <w:ind w:right="68"/>
              <w:spacing w:after="0"/>
              <w:rPr>
                <w:sz w:val="20"/>
                <w:szCs w:val="20"/>
                <w:color w:val="auto"/>
              </w:rPr>
            </w:pPr>
            <w:r>
              <w:rPr>
                <w:rFonts w:ascii="Arial" w:cs="Arial" w:eastAsia="Arial" w:hAnsi="Arial"/>
                <w:sz w:val="8"/>
                <w:szCs w:val="8"/>
                <w:b w:val="1"/>
                <w:bCs w:val="1"/>
                <w:color w:val="auto"/>
              </w:rPr>
              <w:t>Income tax</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7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8"/>
                <w:szCs w:val="8"/>
                <w:b w:val="1"/>
                <w:bCs w:val="1"/>
                <w:color w:val="auto"/>
              </w:rPr>
              <w:t>taxes</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7"/>
              <w:spacing w:after="0"/>
              <w:rPr>
                <w:sz w:val="20"/>
                <w:szCs w:val="20"/>
                <w:color w:val="auto"/>
              </w:rPr>
            </w:pPr>
            <w:r>
              <w:rPr>
                <w:rFonts w:ascii="Arial" w:cs="Arial" w:eastAsia="Arial" w:hAnsi="Arial"/>
                <w:sz w:val="8"/>
                <w:szCs w:val="8"/>
                <w:b w:val="1"/>
                <w:bCs w:val="1"/>
                <w:color w:val="auto"/>
              </w:rPr>
              <w:t>income taxes</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8"/>
                <w:szCs w:val="8"/>
                <w:b w:val="1"/>
                <w:bCs w:val="1"/>
                <w:color w:val="auto"/>
              </w:rPr>
              <w:t>taxes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7"/>
              <w:spacing w:after="0"/>
              <w:rPr>
                <w:sz w:val="20"/>
                <w:szCs w:val="20"/>
                <w:color w:val="auto"/>
              </w:rPr>
            </w:pPr>
            <w:r>
              <w:rPr>
                <w:rFonts w:ascii="Arial" w:cs="Arial" w:eastAsia="Arial" w:hAnsi="Arial"/>
                <w:sz w:val="8"/>
                <w:szCs w:val="8"/>
                <w:b w:val="1"/>
                <w:bCs w:val="1"/>
                <w:color w:val="auto"/>
              </w:rPr>
              <w:t>income taxes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Effective tax rate</w:t>
            </w: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1"/>
                <w:szCs w:val="11"/>
                <w:color w:val="auto"/>
              </w:rPr>
              <w:t>(892)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(112)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12.6 %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2,927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rPr>
              <w:t>524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center"/>
              <w:ind w:left="89"/>
              <w:spacing w:after="0"/>
              <w:rPr>
                <w:sz w:val="20"/>
                <w:szCs w:val="20"/>
                <w:color w:val="auto"/>
              </w:rPr>
            </w:pPr>
            <w:r>
              <w:rPr>
                <w:rFonts w:ascii="Arial" w:cs="Arial" w:eastAsia="Arial" w:hAnsi="Arial"/>
                <w:sz w:val="11"/>
                <w:szCs w:val="11"/>
                <w:color w:val="auto"/>
              </w:rPr>
              <w:t>(249)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rPr>
              <w:t>245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5,209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rPr>
              <w:t>661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12.7 %</w:t>
            </w:r>
          </w:p>
        </w:tc>
        <w:tc>
          <w:tcPr>
            <w:tcW w:w="0" w:type="dxa"/>
            <w:vAlign w:val="bottom"/>
          </w:tcPr>
          <w:p>
            <w:pPr>
              <w:spacing w:after="0"/>
              <w:rPr>
                <w:sz w:val="1"/>
                <w:szCs w:val="1"/>
                <w:color w:val="auto"/>
              </w:rPr>
            </w:pPr>
          </w:p>
        </w:tc>
      </w:tr>
      <w:tr>
        <w:trPr>
          <w:trHeight w:val="168"/>
        </w:trPr>
        <w:tc>
          <w:tcPr>
            <w:tcW w:w="17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left="109"/>
              <w:spacing w:after="0"/>
              <w:rPr>
                <w:sz w:val="20"/>
                <w:szCs w:val="20"/>
                <w:color w:val="auto"/>
              </w:rPr>
            </w:pPr>
            <w:r>
              <w:rPr>
                <w:rFonts w:ascii="Arial" w:cs="Arial" w:eastAsia="Arial" w:hAnsi="Arial"/>
                <w:sz w:val="11"/>
                <w:szCs w:val="11"/>
                <w:color w:val="auto"/>
              </w:rPr>
              <w:t>581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(236)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color w:val="auto"/>
              </w:rPr>
              <w:t>(800)</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color w:val="auto"/>
              </w:rPr>
              <w:t>(117)</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14.6 %</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2,911</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color w:val="auto"/>
              </w:rPr>
              <w:t>533</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18.3 %</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center"/>
              <w:ind w:left="109"/>
              <w:spacing w:after="0"/>
              <w:rPr>
                <w:sz w:val="20"/>
                <w:szCs w:val="20"/>
                <w:color w:val="auto"/>
              </w:rPr>
            </w:pPr>
            <w:r>
              <w:rPr>
                <w:rFonts w:ascii="Arial" w:cs="Arial" w:eastAsia="Arial" w:hAnsi="Arial"/>
                <w:sz w:val="11"/>
                <w:szCs w:val="11"/>
                <w:color w:val="auto"/>
              </w:rPr>
              <w:t>332</w:t>
            </w:r>
          </w:p>
        </w:tc>
        <w:tc>
          <w:tcPr>
            <w:tcW w:w="8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23.2 %</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5,126</w:t>
            </w:r>
          </w:p>
        </w:tc>
        <w:tc>
          <w:tcPr>
            <w:tcW w:w="8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color w:val="auto"/>
              </w:rPr>
              <w:t>702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13.7 %</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20"/>
                <w:szCs w:val="20"/>
                <w:color w:val="auto"/>
              </w:rPr>
            </w:pPr>
            <w:r>
              <w:rPr>
                <w:rFonts w:ascii="Arial" w:cs="Arial" w:eastAsia="Arial" w:hAnsi="Arial"/>
                <w:sz w:val="11"/>
                <w:szCs w:val="11"/>
                <w:color w:val="auto"/>
              </w:rPr>
              <w:t>n.m. = not meaningful</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60" w:hanging="255"/>
        <w:spacing w:after="0" w:line="241"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 Net income attributable to noncontrolling interests included for these adjustments is insignificant in the three and six months ended June 30, 2019.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(loss)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180" w:type="dxa"/>
            <w:vAlign w:val="bottom"/>
            <w:tcBorders>
              <w:bottom w:val="single" w:sz="8" w:color="auto"/>
            </w:tcBorders>
          </w:tcPr>
          <w:p>
            <w:pPr>
              <w:spacing w:after="0"/>
              <w:rPr>
                <w:sz w:val="11"/>
                <w:szCs w:val="11"/>
                <w:color w:val="auto"/>
              </w:rPr>
            </w:pPr>
          </w:p>
        </w:tc>
      </w:tr>
      <w:tr>
        <w:trPr>
          <w:trHeight w:val="139"/>
        </w:trPr>
        <w:tc>
          <w:tcPr>
            <w:tcW w:w="7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June 30, 2019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180" w:type="dxa"/>
            <w:vAlign w:val="bottom"/>
            <w:shd w:val="clear" w:color="auto" w:fill="CCEEFF"/>
          </w:tcPr>
          <w:p>
            <w:pPr>
              <w:jc w:val="right"/>
              <w:ind w:right="104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9.2</w:t>
            </w:r>
          </w:p>
        </w:tc>
      </w:tr>
      <w:tr>
        <w:trPr>
          <w:trHeight w:val="183"/>
        </w:trPr>
        <w:tc>
          <w:tcPr>
            <w:tcW w:w="786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180" w:type="dxa"/>
            <w:vAlign w:val="bottom"/>
          </w:tcPr>
          <w:p>
            <w:pPr>
              <w:jc w:val="right"/>
              <w:ind w:right="1041"/>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20"/>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120"/>
              <w:spacing w:after="0"/>
              <w:rPr>
                <w:sz w:val="20"/>
                <w:szCs w:val="20"/>
                <w:color w:val="auto"/>
              </w:rPr>
            </w:pPr>
            <w:r>
              <w:rPr>
                <w:rFonts w:ascii="Arial" w:cs="Arial" w:eastAsia="Arial" w:hAnsi="Arial"/>
                <w:sz w:val="13"/>
                <w:szCs w:val="13"/>
                <w:color w:val="auto"/>
              </w:rPr>
              <w:t>41.1</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180" w:type="dxa"/>
            <w:vAlign w:val="bottom"/>
            <w:tcBorders>
              <w:bottom w:val="single" w:sz="8" w:color="auto"/>
            </w:tcBorders>
          </w:tcPr>
          <w:p>
            <w:pPr>
              <w:spacing w:after="0"/>
              <w:rPr>
                <w:sz w:val="11"/>
                <w:szCs w:val="11"/>
                <w:color w:val="auto"/>
              </w:rPr>
            </w:pPr>
          </w:p>
        </w:tc>
      </w:tr>
      <w:tr>
        <w:trPr>
          <w:trHeight w:val="139"/>
        </w:trPr>
        <w:tc>
          <w:tcPr>
            <w:tcW w:w="7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June 30, 2019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1180" w:type="dxa"/>
            <w:vAlign w:val="bottom"/>
            <w:shd w:val="clear" w:color="auto" w:fill="CCEEFF"/>
          </w:tcPr>
          <w:p>
            <w:pPr>
              <w:jc w:val="right"/>
              <w:ind w:right="104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11.3</w:t>
            </w:r>
          </w:p>
        </w:tc>
      </w:tr>
      <w:tr>
        <w:trPr>
          <w:trHeight w:val="183"/>
        </w:trPr>
        <w:tc>
          <w:tcPr>
            <w:tcW w:w="786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180" w:type="dxa"/>
            <w:vAlign w:val="bottom"/>
          </w:tcPr>
          <w:p>
            <w:pPr>
              <w:jc w:val="right"/>
              <w:ind w:right="10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180" w:type="dxa"/>
            <w:vAlign w:val="bottom"/>
          </w:tcPr>
          <w:p>
            <w:pPr>
              <w:ind w:left="760"/>
              <w:spacing w:after="0"/>
              <w:rPr>
                <w:sz w:val="20"/>
                <w:szCs w:val="20"/>
                <w:color w:val="auto"/>
              </w:rPr>
            </w:pPr>
            <w:r>
              <w:rPr>
                <w:rFonts w:ascii="Arial" w:cs="Arial" w:eastAsia="Arial" w:hAnsi="Arial"/>
                <w:sz w:val="13"/>
                <w:szCs w:val="13"/>
                <w:color w:val="auto"/>
              </w:rPr>
              <w:t>41.1</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14.9</w:t>
            </w:r>
          </w:p>
        </w:tc>
      </w:tr>
      <w:tr>
        <w:trPr>
          <w:trHeight w:val="183"/>
        </w:trPr>
        <w:tc>
          <w:tcPr>
            <w:tcW w:w="786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180" w:type="dxa"/>
            <w:vAlign w:val="bottom"/>
          </w:tcPr>
          <w:p>
            <w:pPr>
              <w:spacing w:after="0"/>
              <w:rPr>
                <w:sz w:val="15"/>
                <w:szCs w:val="15"/>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Arial" w:cs="Arial" w:eastAsia="Arial" w:hAnsi="Arial"/>
                <w:sz w:val="13"/>
                <w:szCs w:val="13"/>
                <w:color w:val="auto"/>
              </w:rPr>
              <w:t>16.9</w:t>
            </w: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1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w w:val="94"/>
              </w:rPr>
              <w:t>(23.9)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(23.1)</w:t>
            </w:r>
          </w:p>
        </w:tc>
      </w:tr>
      <w:tr>
        <w:trPr>
          <w:trHeight w:val="189"/>
        </w:trPr>
        <w:tc>
          <w:tcPr>
            <w:tcW w:w="786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180" w:type="dxa"/>
            <w:vAlign w:val="bottom"/>
            <w:tcBorders>
              <w:bottom w:val="single" w:sz="8" w:color="auto"/>
            </w:tcBorders>
          </w:tcPr>
          <w:p>
            <w:pPr>
              <w:jc w:val="right"/>
              <w:ind w:right="1040"/>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49.8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3"/>
                <w:szCs w:val="13"/>
                <w:color w:val="auto"/>
                <w:w w:val="98"/>
              </w:rPr>
              <w:t>22.7 %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40" w:type="dxa"/>
            <w:vAlign w:val="bottom"/>
            <w:tcBorders>
              <w:bottom w:val="single" w:sz="8" w:color="auto"/>
            </w:tcBorders>
          </w:tcPr>
          <w:p>
            <w:pPr>
              <w:spacing w:after="0"/>
              <w:rPr>
                <w:sz w:val="11"/>
                <w:szCs w:val="11"/>
                <w:color w:val="auto"/>
              </w:rPr>
            </w:pPr>
          </w:p>
        </w:tc>
      </w:tr>
      <w:tr>
        <w:trPr>
          <w:trHeight w:val="139"/>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2020</w:t>
            </w:r>
          </w:p>
        </w:tc>
        <w:tc>
          <w:tcPr>
            <w:tcW w:w="240" w:type="dxa"/>
            <w:vAlign w:val="bottom"/>
          </w:tcPr>
          <w:p>
            <w:pPr>
              <w:spacing w:after="0"/>
              <w:rPr>
                <w:sz w:val="12"/>
                <w:szCs w:val="12"/>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2019</w:t>
            </w:r>
          </w:p>
        </w:tc>
        <w:tc>
          <w:tcPr>
            <w:tcW w:w="240" w:type="dxa"/>
            <w:vAlign w:val="bottom"/>
          </w:tcPr>
          <w:p>
            <w:pPr>
              <w:spacing w:after="0"/>
              <w:rPr>
                <w:sz w:val="12"/>
                <w:szCs w:val="12"/>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2020</w:t>
            </w:r>
          </w:p>
        </w:tc>
        <w:tc>
          <w:tcPr>
            <w:tcW w:w="380" w:type="dxa"/>
            <w:vAlign w:val="bottom"/>
          </w:tcPr>
          <w:p>
            <w:pPr>
              <w:spacing w:after="0"/>
              <w:rPr>
                <w:sz w:val="12"/>
                <w:szCs w:val="12"/>
                <w:color w:val="auto"/>
              </w:rPr>
            </w:pPr>
          </w:p>
        </w:tc>
        <w:tc>
          <w:tcPr>
            <w:tcW w:w="1040" w:type="dxa"/>
            <w:vAlign w:val="bottom"/>
          </w:tcPr>
          <w:p>
            <w:pPr>
              <w:jc w:val="right"/>
              <w:ind w:right="338"/>
              <w:spacing w:after="0"/>
              <w:rPr>
                <w:sz w:val="20"/>
                <w:szCs w:val="20"/>
                <w:color w:val="auto"/>
              </w:rPr>
            </w:pPr>
            <w:r>
              <w:rPr>
                <w:rFonts w:ascii="Arial" w:cs="Arial" w:eastAsia="Arial" w:hAnsi="Arial"/>
                <w:sz w:val="10"/>
                <w:szCs w:val="10"/>
                <w:b w:val="1"/>
                <w:bCs w:val="1"/>
                <w:color w:val="auto"/>
                <w:w w:val="95"/>
              </w:rPr>
              <w:t>June 30, 2019</w:t>
            </w:r>
          </w:p>
        </w:tc>
      </w:tr>
      <w:tr>
        <w:trPr>
          <w:trHeight w:val="18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(7,996)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3,813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(7,659)</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1,606</w:t>
            </w:r>
          </w:p>
        </w:tc>
      </w:tr>
      <w:tr>
        <w:trPr>
          <w:trHeight w:val="183"/>
        </w:trPr>
        <w:tc>
          <w:tcPr>
            <w:tcW w:w="53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40" w:type="dxa"/>
            <w:vAlign w:val="bottom"/>
          </w:tcPr>
          <w:p>
            <w:pPr>
              <w:spacing w:after="0"/>
              <w:rPr>
                <w:sz w:val="15"/>
                <w:szCs w:val="15"/>
                <w:color w:val="auto"/>
              </w:rPr>
            </w:pPr>
          </w:p>
        </w:tc>
        <w:tc>
          <w:tcPr>
            <w:tcW w:w="1180" w:type="dxa"/>
            <w:vAlign w:val="bottom"/>
          </w:tcPr>
          <w:p>
            <w:pPr>
              <w:jc w:val="right"/>
              <w:ind w:right="40"/>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(1,435)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3"/>
                <w:szCs w:val="13"/>
                <w:color w:val="auto"/>
              </w:rPr>
              <w:t>(2,312)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(3,428)</w:t>
            </w:r>
          </w:p>
        </w:tc>
      </w:tr>
      <w:tr>
        <w:trPr>
          <w:trHeight w:val="199"/>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w:t>
            </w:r>
          </w:p>
        </w:tc>
      </w:tr>
      <w:tr>
        <w:trPr>
          <w:trHeight w:val="189"/>
        </w:trPr>
        <w:tc>
          <w:tcPr>
            <w:tcW w:w="5300" w:type="dxa"/>
            <w:vAlign w:val="bottom"/>
          </w:tcPr>
          <w:p>
            <w:pPr>
              <w:ind w:left="20"/>
              <w:spacing w:after="0"/>
              <w:rPr>
                <w:sz w:val="20"/>
                <w:szCs w:val="20"/>
                <w:color w:val="auto"/>
              </w:rPr>
            </w:pPr>
            <w:r>
              <w:rPr>
                <w:rFonts w:ascii="Arial" w:cs="Arial" w:eastAsia="Arial" w:hAnsi="Arial"/>
                <w:sz w:val="13"/>
                <w:szCs w:val="13"/>
                <w:color w:val="auto"/>
              </w:rPr>
              <w:t>Add: Transformation activities</w:t>
            </w:r>
          </w:p>
        </w:tc>
        <w:tc>
          <w:tcPr>
            <w:tcW w:w="2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487</w:t>
            </w:r>
          </w:p>
        </w:tc>
      </w:tr>
      <w:tr>
        <w:trPr>
          <w:trHeight w:val="191"/>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w:t>
            </w:r>
          </w:p>
        </w:tc>
      </w:tr>
      <w:tr>
        <w:trPr>
          <w:trHeight w:val="184"/>
        </w:trPr>
        <w:tc>
          <w:tcPr>
            <w:tcW w:w="530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(9,042)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2,534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(9,945)</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(1,342)</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20"/>
        </w:trPr>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10"/>
                <w:szCs w:val="10"/>
                <w:color w:val="auto"/>
              </w:rPr>
            </w:pPr>
          </w:p>
        </w:tc>
        <w:tc>
          <w:tcPr>
            <w:tcW w:w="66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620" w:type="dxa"/>
            <w:vAlign w:val="bottom"/>
          </w:tcPr>
          <w:p>
            <w:pPr>
              <w:jc w:val="right"/>
              <w:ind w:right="252"/>
              <w:spacing w:after="0"/>
              <w:rPr>
                <w:sz w:val="20"/>
                <w:szCs w:val="20"/>
                <w:color w:val="auto"/>
              </w:rPr>
            </w:pPr>
            <w:r>
              <w:rPr>
                <w:rFonts w:ascii="Arial" w:cs="Arial" w:eastAsia="Arial" w:hAnsi="Arial"/>
                <w:sz w:val="8"/>
                <w:szCs w:val="8"/>
                <w:b w:val="1"/>
                <w:bCs w:val="1"/>
                <w:color w:val="auto"/>
              </w:rPr>
              <w:t>Total</w:t>
            </w:r>
          </w:p>
        </w:tc>
      </w:tr>
      <w:tr>
        <w:trPr>
          <w:trHeight w:val="118"/>
        </w:trPr>
        <w:tc>
          <w:tcPr>
            <w:tcW w:w="2980" w:type="dxa"/>
            <w:vAlign w:val="bottom"/>
          </w:tcPr>
          <w:p>
            <w:pPr>
              <w:spacing w:after="0"/>
              <w:rPr>
                <w:sz w:val="20"/>
                <w:szCs w:val="20"/>
                <w:color w:val="auto"/>
              </w:rPr>
            </w:pPr>
            <w:r>
              <w:rPr>
                <w:rFonts w:ascii="Arial" w:cs="Arial" w:eastAsia="Arial" w:hAnsi="Arial"/>
                <w:sz w:val="8"/>
                <w:szCs w:val="8"/>
                <w:b w:val="1"/>
                <w:bCs w:val="1"/>
                <w:color w:val="auto"/>
              </w:rPr>
              <w:t>Three Months Ended June 30, 2020</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58"/>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11,604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1,677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13,361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3,423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16,778</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916</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181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1,107</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3"/>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1,112</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1,282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1,965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3,258</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7</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212</w:t>
            </w:r>
          </w:p>
        </w:tc>
      </w:tr>
      <w:tr>
        <w:trPr>
          <w:trHeight w:val="316"/>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0"/>
        </w:trPr>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10"/>
                <w:szCs w:val="10"/>
                <w:color w:val="auto"/>
              </w:rPr>
            </w:pPr>
          </w:p>
        </w:tc>
        <w:tc>
          <w:tcPr>
            <w:tcW w:w="66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620" w:type="dxa"/>
            <w:vAlign w:val="bottom"/>
          </w:tcPr>
          <w:p>
            <w:pPr>
              <w:jc w:val="right"/>
              <w:ind w:right="252"/>
              <w:spacing w:after="0"/>
              <w:rPr>
                <w:sz w:val="20"/>
                <w:szCs w:val="20"/>
                <w:color w:val="auto"/>
              </w:rPr>
            </w:pPr>
            <w:r>
              <w:rPr>
                <w:rFonts w:ascii="Arial" w:cs="Arial" w:eastAsia="Arial" w:hAnsi="Arial"/>
                <w:sz w:val="8"/>
                <w:szCs w:val="8"/>
                <w:b w:val="1"/>
                <w:bCs w:val="1"/>
                <w:color w:val="auto"/>
              </w:rPr>
              <w:t>Total</w:t>
            </w:r>
          </w:p>
        </w:tc>
      </w:tr>
      <w:tr>
        <w:trPr>
          <w:trHeight w:val="118"/>
        </w:trPr>
        <w:tc>
          <w:tcPr>
            <w:tcW w:w="2980" w:type="dxa"/>
            <w:vAlign w:val="bottom"/>
          </w:tcPr>
          <w:p>
            <w:pPr>
              <w:spacing w:after="0"/>
              <w:rPr>
                <w:sz w:val="20"/>
                <w:szCs w:val="20"/>
                <w:color w:val="auto"/>
              </w:rPr>
            </w:pPr>
            <w:r>
              <w:rPr>
                <w:rFonts w:ascii="Arial" w:cs="Arial" w:eastAsia="Arial" w:hAnsi="Arial"/>
                <w:sz w:val="8"/>
                <w:szCs w:val="8"/>
                <w:b w:val="1"/>
                <w:bCs w:val="1"/>
                <w:color w:val="auto"/>
              </w:rPr>
              <w:t>Three Months Ended June 30, 2019</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58"/>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28,324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4,047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32,425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3,639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36,060</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1,268</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166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1,435</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3"/>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1,462</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1,409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1,541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1,848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3,396</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11</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229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271</w:t>
            </w:r>
          </w:p>
        </w:tc>
      </w:tr>
      <w:tr>
        <w:trPr>
          <w:trHeight w:val="316"/>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0"/>
        </w:trPr>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10"/>
                <w:szCs w:val="10"/>
                <w:color w:val="auto"/>
              </w:rPr>
            </w:pPr>
          </w:p>
        </w:tc>
        <w:tc>
          <w:tcPr>
            <w:tcW w:w="66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620" w:type="dxa"/>
            <w:vAlign w:val="bottom"/>
          </w:tcPr>
          <w:p>
            <w:pPr>
              <w:jc w:val="right"/>
              <w:ind w:right="252"/>
              <w:spacing w:after="0"/>
              <w:rPr>
                <w:sz w:val="20"/>
                <w:szCs w:val="20"/>
                <w:color w:val="auto"/>
              </w:rPr>
            </w:pPr>
            <w:r>
              <w:rPr>
                <w:rFonts w:ascii="Arial" w:cs="Arial" w:eastAsia="Arial" w:hAnsi="Arial"/>
                <w:sz w:val="8"/>
                <w:szCs w:val="8"/>
                <w:b w:val="1"/>
                <w:bCs w:val="1"/>
                <w:color w:val="auto"/>
              </w:rPr>
              <w:t>Total</w:t>
            </w:r>
          </w:p>
        </w:tc>
      </w:tr>
      <w:tr>
        <w:trPr>
          <w:trHeight w:val="118"/>
        </w:trPr>
        <w:tc>
          <w:tcPr>
            <w:tcW w:w="2980" w:type="dxa"/>
            <w:vAlign w:val="bottom"/>
          </w:tcPr>
          <w:p>
            <w:pPr>
              <w:spacing w:after="0"/>
              <w:rPr>
                <w:sz w:val="20"/>
                <w:szCs w:val="20"/>
                <w:color w:val="auto"/>
              </w:rPr>
            </w:pPr>
            <w:r>
              <w:rPr>
                <w:rFonts w:ascii="Arial" w:cs="Arial" w:eastAsia="Arial" w:hAnsi="Arial"/>
                <w:sz w:val="8"/>
                <w:szCs w:val="8"/>
                <w:b w:val="1"/>
                <w:bCs w:val="1"/>
                <w:color w:val="auto"/>
              </w:rPr>
              <w:t>Six Months Ended June 30, 2020</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58"/>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37,435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4,957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42,510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6,984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49,487</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1,862</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436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2,312</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3"/>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2,336</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2,684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3,753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6,456</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117</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67</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80</w:t>
            </w:r>
          </w:p>
        </w:tc>
      </w:tr>
      <w:tr>
        <w:trPr>
          <w:trHeight w:val="316"/>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0"/>
        </w:trPr>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10"/>
                <w:szCs w:val="10"/>
                <w:color w:val="auto"/>
              </w:rPr>
            </w:pPr>
          </w:p>
        </w:tc>
        <w:tc>
          <w:tcPr>
            <w:tcW w:w="660" w:type="dxa"/>
            <w:vAlign w:val="bottom"/>
            <w:gridSpan w:val="2"/>
          </w:tcPr>
          <w:p>
            <w:pPr>
              <w:ind w:left="120"/>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620" w:type="dxa"/>
            <w:vAlign w:val="bottom"/>
          </w:tcPr>
          <w:p>
            <w:pPr>
              <w:jc w:val="right"/>
              <w:ind w:right="252"/>
              <w:spacing w:after="0"/>
              <w:rPr>
                <w:sz w:val="20"/>
                <w:szCs w:val="20"/>
                <w:color w:val="auto"/>
              </w:rPr>
            </w:pPr>
            <w:r>
              <w:rPr>
                <w:rFonts w:ascii="Arial" w:cs="Arial" w:eastAsia="Arial" w:hAnsi="Arial"/>
                <w:sz w:val="8"/>
                <w:szCs w:val="8"/>
                <w:b w:val="1"/>
                <w:bCs w:val="1"/>
                <w:color w:val="auto"/>
              </w:rPr>
              <w:t>Total</w:t>
            </w:r>
          </w:p>
        </w:tc>
      </w:tr>
      <w:tr>
        <w:trPr>
          <w:trHeight w:val="118"/>
        </w:trPr>
        <w:tc>
          <w:tcPr>
            <w:tcW w:w="2980" w:type="dxa"/>
            <w:vAlign w:val="bottom"/>
          </w:tcPr>
          <w:p>
            <w:pPr>
              <w:spacing w:after="0"/>
              <w:rPr>
                <w:sz w:val="20"/>
                <w:szCs w:val="20"/>
                <w:color w:val="auto"/>
              </w:rPr>
            </w:pPr>
            <w:r>
              <w:rPr>
                <w:rFonts w:ascii="Arial" w:cs="Arial" w:eastAsia="Arial" w:hAnsi="Arial"/>
                <w:sz w:val="8"/>
                <w:szCs w:val="8"/>
                <w:b w:val="1"/>
                <w:bCs w:val="1"/>
                <w:color w:val="auto"/>
              </w:rPr>
              <w:t>Six Months Ended June 30, 2019</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58"/>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55,689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7,897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63,686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7,259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70,938</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2,969</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458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9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3,428</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3"/>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3,476</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3,478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3,749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3,747</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7,505</w:t>
            </w:r>
          </w:p>
        </w:tc>
      </w:tr>
      <w:tr>
        <w:trPr>
          <w:trHeight w:val="141"/>
        </w:trPr>
        <w:tc>
          <w:tcPr>
            <w:tcW w:w="29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2"/>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2"/>
              <w:spacing w:after="0"/>
              <w:rPr>
                <w:sz w:val="20"/>
                <w:szCs w:val="20"/>
                <w:color w:val="auto"/>
              </w:rPr>
            </w:pPr>
            <w:r>
              <w:rPr>
                <w:rFonts w:ascii="Arial" w:cs="Arial" w:eastAsia="Arial" w:hAnsi="Arial"/>
                <w:sz w:val="10"/>
                <w:szCs w:val="10"/>
                <w:color w:val="auto"/>
              </w:rPr>
              <w:t>18</w:t>
            </w: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598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rPr>
              <w:t>87</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685</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Includes Automotive China equity income of $169 million and $235 million in the three months ended June 30, 2020 and 2019 and $2 million and $611 million in the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2020, 32.3% of our wholesale vehicle sales volume was generated outside the U.S. The following table summarizes wholesale vehicle sales by automotive segment (vehicles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9"/>
              </w:rPr>
              <w:t>Three Months Ended</w:t>
            </w: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96"/>
              </w:rPr>
              <w:t>Six Months Ended</w:t>
            </w:r>
          </w:p>
        </w:tc>
        <w:tc>
          <w:tcPr>
            <w:tcW w:w="1040" w:type="dxa"/>
            <w:vAlign w:val="bottom"/>
            <w:tcBorders>
              <w:bottom w:val="single" w:sz="8" w:color="auto"/>
            </w:tcBorders>
          </w:tcPr>
          <w:p>
            <w:pPr>
              <w:spacing w:after="0"/>
              <w:rPr>
                <w:sz w:val="11"/>
                <w:szCs w:val="11"/>
                <w:color w:val="auto"/>
              </w:rPr>
            </w:pPr>
          </w:p>
        </w:tc>
      </w:tr>
      <w:tr>
        <w:trPr>
          <w:trHeight w:val="139"/>
        </w:trPr>
        <w:tc>
          <w:tcPr>
            <w:tcW w:w="48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w w:val="95"/>
              </w:rPr>
              <w:t>June 30, 2019</w:t>
            </w:r>
          </w:p>
        </w:tc>
      </w:tr>
      <w:tr>
        <w:trPr>
          <w:trHeight w:val="18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870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rPr>
              <w:t>1,106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1,729</w:t>
            </w:r>
          </w:p>
        </w:tc>
      </w:tr>
      <w:tr>
        <w:trPr>
          <w:trHeight w:val="18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259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color w:val="auto"/>
              </w:rPr>
              <w:t>281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495</w:t>
            </w:r>
          </w:p>
        </w:tc>
      </w:tr>
      <w:tr>
        <w:trPr>
          <w:trHeight w:val="20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rPr>
              <w:t>1,387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2,224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39"/>
        </w:trPr>
        <w:tc>
          <w:tcPr>
            <w:tcW w:w="6020" w:type="dxa"/>
            <w:vAlign w:val="bottom"/>
            <w:gridSpan w:val="2"/>
          </w:tcPr>
          <w:p>
            <w:pPr>
              <w:jc w:val="right"/>
              <w:ind w:right="291"/>
              <w:spacing w:after="0"/>
              <w:rPr>
                <w:sz w:val="20"/>
                <w:szCs w:val="20"/>
                <w:color w:val="auto"/>
              </w:rPr>
            </w:pPr>
            <w:r>
              <w:rPr>
                <w:rFonts w:ascii="Arial" w:cs="Arial" w:eastAsia="Arial" w:hAnsi="Arial"/>
                <w:sz w:val="13"/>
                <w:szCs w:val="13"/>
                <w:color w:val="auto"/>
              </w:rPr>
              <w:t>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63"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300" w:type="dxa"/>
            <w:vAlign w:val="bottom"/>
          </w:tcPr>
          <w:p>
            <w:pPr>
              <w:spacing w:after="0"/>
              <w:rPr>
                <w:sz w:val="11"/>
                <w:szCs w:val="11"/>
                <w:color w:val="auto"/>
              </w:rPr>
            </w:pPr>
          </w:p>
        </w:tc>
        <w:tc>
          <w:tcPr>
            <w:tcW w:w="294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Arial" w:cs="Arial" w:eastAsia="Arial" w:hAnsi="Arial"/>
                <w:sz w:val="10"/>
                <w:szCs w:val="10"/>
                <w:b w:val="1"/>
                <w:bCs w:val="1"/>
                <w:color w:val="auto"/>
                <w:w w:val="96"/>
              </w:rPr>
              <w:t>Six Months Ended</w:t>
            </w:r>
          </w:p>
        </w:tc>
        <w:tc>
          <w:tcPr>
            <w:tcW w:w="1040" w:type="dxa"/>
            <w:vAlign w:val="bottom"/>
            <w:tcBorders>
              <w:bottom w:val="single" w:sz="8" w:color="auto"/>
            </w:tcBorders>
          </w:tcPr>
          <w:p>
            <w:pPr>
              <w:spacing w:after="0"/>
              <w:rPr>
                <w:sz w:val="11"/>
                <w:szCs w:val="11"/>
                <w:color w:val="auto"/>
              </w:rPr>
            </w:pPr>
          </w:p>
        </w:tc>
      </w:tr>
      <w:tr>
        <w:trPr>
          <w:trHeight w:val="137"/>
        </w:trPr>
        <w:tc>
          <w:tcPr>
            <w:tcW w:w="5300" w:type="dxa"/>
            <w:vAlign w:val="bottom"/>
          </w:tcPr>
          <w:p>
            <w:pPr>
              <w:spacing w:after="0"/>
              <w:rPr>
                <w:sz w:val="11"/>
                <w:szCs w:val="11"/>
                <w:color w:val="auto"/>
              </w:rPr>
            </w:pPr>
          </w:p>
        </w:tc>
        <w:tc>
          <w:tcPr>
            <w:tcW w:w="1520" w:type="dxa"/>
            <w:vAlign w:val="bottom"/>
            <w:gridSpan w:val="2"/>
          </w:tcPr>
          <w:p>
            <w:pPr>
              <w:ind w:left="400"/>
              <w:spacing w:after="0"/>
              <w:rPr>
                <w:sz w:val="20"/>
                <w:szCs w:val="20"/>
                <w:color w:val="auto"/>
              </w:rPr>
            </w:pPr>
            <w:r>
              <w:rPr>
                <w:rFonts w:ascii="Arial" w:cs="Arial" w:eastAsia="Arial" w:hAnsi="Arial"/>
                <w:sz w:val="10"/>
                <w:szCs w:val="10"/>
                <w:b w:val="1"/>
                <w:bCs w:val="1"/>
                <w:color w:val="auto"/>
              </w:rPr>
              <w:t>June 30, 2020</w:t>
            </w:r>
          </w:p>
        </w:tc>
        <w:tc>
          <w:tcPr>
            <w:tcW w:w="1520" w:type="dxa"/>
            <w:vAlign w:val="bottom"/>
            <w:gridSpan w:val="2"/>
          </w:tcPr>
          <w:p>
            <w:pPr>
              <w:ind w:left="380"/>
              <w:spacing w:after="0"/>
              <w:rPr>
                <w:sz w:val="20"/>
                <w:szCs w:val="20"/>
                <w:color w:val="auto"/>
              </w:rPr>
            </w:pPr>
            <w:r>
              <w:rPr>
                <w:rFonts w:ascii="Arial" w:cs="Arial" w:eastAsia="Arial" w:hAnsi="Arial"/>
                <w:sz w:val="10"/>
                <w:szCs w:val="10"/>
                <w:b w:val="1"/>
                <w:bCs w:val="1"/>
                <w:color w:val="auto"/>
              </w:rPr>
              <w:t>June 30, 2019</w:t>
            </w:r>
          </w:p>
        </w:tc>
        <w:tc>
          <w:tcPr>
            <w:tcW w:w="1900" w:type="dxa"/>
            <w:vAlign w:val="bottom"/>
            <w:gridSpan w:val="3"/>
          </w:tcPr>
          <w:p>
            <w:pPr>
              <w:ind w:left="380"/>
              <w:spacing w:after="0"/>
              <w:rPr>
                <w:sz w:val="20"/>
                <w:szCs w:val="20"/>
                <w:color w:val="auto"/>
              </w:rPr>
            </w:pPr>
            <w:r>
              <w:rPr>
                <w:rFonts w:ascii="Arial" w:cs="Arial" w:eastAsia="Arial" w:hAnsi="Arial"/>
                <w:sz w:val="10"/>
                <w:szCs w:val="10"/>
                <w:b w:val="1"/>
                <w:bCs w:val="1"/>
                <w:color w:val="auto"/>
              </w:rPr>
              <w:t>June 30, 2020</w:t>
            </w:r>
          </w:p>
        </w:tc>
        <w:tc>
          <w:tcPr>
            <w:tcW w:w="1040" w:type="dxa"/>
            <w:vAlign w:val="bottom"/>
          </w:tcPr>
          <w:p>
            <w:pPr>
              <w:jc w:val="right"/>
              <w:ind w:right="337"/>
              <w:spacing w:after="0"/>
              <w:rPr>
                <w:sz w:val="20"/>
                <w:szCs w:val="20"/>
                <w:color w:val="auto"/>
              </w:rPr>
            </w:pPr>
            <w:r>
              <w:rPr>
                <w:rFonts w:ascii="Arial" w:cs="Arial" w:eastAsia="Arial" w:hAnsi="Arial"/>
                <w:sz w:val="10"/>
                <w:szCs w:val="10"/>
                <w:b w:val="1"/>
                <w:bCs w:val="1"/>
                <w:color w:val="auto"/>
                <w:w w:val="95"/>
              </w:rPr>
              <w:t>June 30, 2019</w:t>
            </w:r>
          </w:p>
        </w:tc>
      </w:tr>
      <w:tr>
        <w:trPr>
          <w:trHeight w:val="173"/>
        </w:trPr>
        <w:tc>
          <w:tcPr>
            <w:tcW w:w="5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 – Cars</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190</w:t>
            </w:r>
          </w:p>
        </w:tc>
      </w:tr>
      <w:tr>
        <w:trPr>
          <w:trHeight w:val="183"/>
        </w:trPr>
        <w:tc>
          <w:tcPr>
            <w:tcW w:w="5300" w:type="dxa"/>
            <w:vAlign w:val="bottom"/>
          </w:tcPr>
          <w:p>
            <w:pPr>
              <w:ind w:left="160"/>
              <w:spacing w:after="0"/>
              <w:rPr>
                <w:sz w:val="20"/>
                <w:szCs w:val="20"/>
                <w:color w:val="auto"/>
              </w:rPr>
            </w:pPr>
            <w:r>
              <w:rPr>
                <w:rFonts w:ascii="Arial" w:cs="Arial" w:eastAsia="Arial" w:hAnsi="Arial"/>
                <w:sz w:val="13"/>
                <w:szCs w:val="13"/>
                <w:color w:val="auto"/>
              </w:rPr>
              <w:t>Chevrolet – Trucks</w:t>
            </w: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420" w:type="dxa"/>
            <w:vAlign w:val="bottom"/>
          </w:tcPr>
          <w:p>
            <w:pPr>
              <w:jc w:val="right"/>
              <w:ind w:right="77"/>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15"/>
                <w:szCs w:val="15"/>
                <w:color w:val="auto"/>
              </w:rPr>
            </w:pP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446</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 – Crossovers</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316</w:t>
            </w:r>
          </w:p>
        </w:tc>
      </w:tr>
      <w:tr>
        <w:trPr>
          <w:trHeight w:val="183"/>
        </w:trPr>
        <w:tc>
          <w:tcPr>
            <w:tcW w:w="5300" w:type="dxa"/>
            <w:vAlign w:val="bottom"/>
          </w:tcPr>
          <w:p>
            <w:pPr>
              <w:ind w:left="160"/>
              <w:spacing w:after="0"/>
              <w:rPr>
                <w:sz w:val="20"/>
                <w:szCs w:val="20"/>
                <w:color w:val="auto"/>
              </w:rPr>
            </w:pPr>
            <w:r>
              <w:rPr>
                <w:rFonts w:ascii="Arial" w:cs="Arial" w:eastAsia="Arial" w:hAnsi="Arial"/>
                <w:sz w:val="13"/>
                <w:szCs w:val="13"/>
                <w:color w:val="auto"/>
              </w:rPr>
              <w:t>Cadillac</w:t>
            </w: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420" w:type="dxa"/>
            <w:vAlign w:val="bottom"/>
          </w:tcPr>
          <w:p>
            <w:pPr>
              <w:jc w:val="right"/>
              <w:ind w:right="7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76</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Buick</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107</w:t>
            </w:r>
          </w:p>
        </w:tc>
      </w:tr>
      <w:tr>
        <w:trPr>
          <w:trHeight w:val="183"/>
        </w:trPr>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GMC</w:t>
            </w: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277</w:t>
            </w:r>
          </w:p>
        </w:tc>
      </w:tr>
      <w:tr>
        <w:trPr>
          <w:trHeight w:val="18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United States</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1,111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w:t>
            </w:r>
          </w:p>
        </w:tc>
      </w:tr>
      <w:tr>
        <w:trPr>
          <w:trHeight w:val="18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239</w:t>
            </w:r>
          </w:p>
        </w:tc>
      </w:tr>
      <w:tr>
        <w:trPr>
          <w:trHeight w:val="18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4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1,284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1,651</w:t>
            </w:r>
          </w:p>
        </w:tc>
      </w:tr>
      <w:tr>
        <w:trPr>
          <w:trHeight w:val="163"/>
        </w:trPr>
        <w:tc>
          <w:tcPr>
            <w:tcW w:w="5300" w:type="dxa"/>
            <w:vAlign w:val="bottom"/>
          </w:tcPr>
          <w:p>
            <w:pPr>
              <w:ind w:left="20"/>
              <w:spacing w:after="0"/>
              <w:rPr>
                <w:sz w:val="20"/>
                <w:szCs w:val="20"/>
                <w:color w:val="auto"/>
              </w:rPr>
            </w:pPr>
            <w:r>
              <w:rPr>
                <w:rFonts w:ascii="Arial" w:cs="Arial" w:eastAsia="Arial" w:hAnsi="Arial"/>
                <w:sz w:val="13"/>
                <w:szCs w:val="13"/>
                <w:color w:val="auto"/>
              </w:rPr>
              <w:t>Asia/Pacific, Middle East and Africa</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Chevrolet</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443</w:t>
            </w:r>
          </w:p>
        </w:tc>
      </w:tr>
      <w:tr>
        <w:trPr>
          <w:trHeight w:val="183"/>
        </w:trPr>
        <w:tc>
          <w:tcPr>
            <w:tcW w:w="5300" w:type="dxa"/>
            <w:vAlign w:val="bottom"/>
          </w:tcPr>
          <w:p>
            <w:pPr>
              <w:ind w:left="160"/>
              <w:spacing w:after="0"/>
              <w:rPr>
                <w:sz w:val="20"/>
                <w:szCs w:val="20"/>
                <w:color w:val="auto"/>
              </w:rPr>
            </w:pPr>
            <w:r>
              <w:rPr>
                <w:rFonts w:ascii="Arial" w:cs="Arial" w:eastAsia="Arial" w:hAnsi="Arial"/>
                <w:sz w:val="13"/>
                <w:szCs w:val="13"/>
                <w:color w:val="auto"/>
              </w:rPr>
              <w:t>Wuling</w:t>
            </w: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1420" w:type="dxa"/>
            <w:vAlign w:val="bottom"/>
          </w:tcPr>
          <w:p>
            <w:pPr>
              <w:jc w:val="right"/>
              <w:ind w:right="77"/>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5"/>
                <w:szCs w:val="15"/>
                <w:color w:val="auto"/>
              </w:rPr>
            </w:pP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517</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Buick</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423</w:t>
            </w:r>
          </w:p>
        </w:tc>
      </w:tr>
      <w:tr>
        <w:trPr>
          <w:trHeight w:val="183"/>
        </w:trPr>
        <w:tc>
          <w:tcPr>
            <w:tcW w:w="5300" w:type="dxa"/>
            <w:vAlign w:val="bottom"/>
          </w:tcPr>
          <w:p>
            <w:pPr>
              <w:ind w:left="160"/>
              <w:spacing w:after="0"/>
              <w:rPr>
                <w:sz w:val="20"/>
                <w:szCs w:val="20"/>
                <w:color w:val="auto"/>
              </w:rPr>
            </w:pPr>
            <w:r>
              <w:rPr>
                <w:rFonts w:ascii="Arial" w:cs="Arial" w:eastAsia="Arial" w:hAnsi="Arial"/>
                <w:sz w:val="13"/>
                <w:szCs w:val="13"/>
                <w:color w:val="auto"/>
              </w:rPr>
              <w:t>Baojun</w:t>
            </w: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5"/>
                <w:szCs w:val="15"/>
                <w:color w:val="auto"/>
              </w:rPr>
            </w:pPr>
          </w:p>
        </w:tc>
        <w:tc>
          <w:tcPr>
            <w:tcW w:w="1420" w:type="dxa"/>
            <w:vAlign w:val="bottom"/>
          </w:tcPr>
          <w:p>
            <w:pPr>
              <w:jc w:val="right"/>
              <w:ind w:right="77"/>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5"/>
                <w:szCs w:val="15"/>
                <w:color w:val="auto"/>
              </w:rPr>
            </w:pPr>
          </w:p>
        </w:tc>
        <w:tc>
          <w:tcPr>
            <w:tcW w:w="1420" w:type="dxa"/>
            <w:vAlign w:val="bottom"/>
          </w:tcPr>
          <w:p>
            <w:pPr>
              <w:jc w:val="right"/>
              <w:ind w:right="78"/>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305</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Cadillac</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w:t>
            </w:r>
          </w:p>
        </w:tc>
      </w:tr>
      <w:tr>
        <w:trPr>
          <w:trHeight w:val="183"/>
        </w:trPr>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w:t>
            </w: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43</w:t>
            </w:r>
          </w:p>
        </w:tc>
      </w:tr>
      <w:tr>
        <w:trPr>
          <w:trHeight w:val="189"/>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899</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1,450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1,845</w:t>
            </w:r>
          </w:p>
        </w:tc>
      </w:tr>
      <w:tr>
        <w:trPr>
          <w:trHeight w:val="18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189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318</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1,466</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1,937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2,923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3,814</w:t>
            </w:r>
          </w:p>
        </w:tc>
      </w:tr>
      <w:tr>
        <w:trPr>
          <w:trHeight w:val="183"/>
        </w:trPr>
        <w:tc>
          <w:tcPr>
            <w:tcW w:w="530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90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w:t>
            </w:r>
          </w:p>
        </w:tc>
      </w:tr>
      <w:tr>
        <w:trPr>
          <w:trHeight w:val="214"/>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4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3,816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300" w:type="dxa"/>
            <w:vAlign w:val="bottom"/>
          </w:tcPr>
          <w:p>
            <w:pPr>
              <w:spacing w:after="0"/>
              <w:rPr>
                <w:sz w:val="11"/>
                <w:szCs w:val="11"/>
                <w:color w:val="auto"/>
              </w:rPr>
            </w:pPr>
          </w:p>
        </w:tc>
        <w:tc>
          <w:tcPr>
            <w:tcW w:w="2560" w:type="dxa"/>
            <w:vAlign w:val="bottom"/>
            <w:tcBorders>
              <w:bottom w:val="single" w:sz="8" w:color="auto"/>
            </w:tcBorders>
            <w:gridSpan w:val="4"/>
          </w:tcPr>
          <w:p>
            <w:pPr>
              <w:ind w:left="980"/>
              <w:spacing w:after="0"/>
              <w:rPr>
                <w:sz w:val="20"/>
                <w:szCs w:val="20"/>
                <w:color w:val="auto"/>
              </w:rPr>
            </w:pPr>
            <w:r>
              <w:rPr>
                <w:rFonts w:ascii="Arial" w:cs="Arial" w:eastAsia="Arial" w:hAnsi="Arial"/>
                <w:sz w:val="10"/>
                <w:szCs w:val="10"/>
                <w:b w:val="1"/>
                <w:bCs w:val="1"/>
                <w:color w:val="auto"/>
              </w:rPr>
              <w:t>Three Months Ended</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Arial" w:cs="Arial" w:eastAsia="Arial" w:hAnsi="Arial"/>
                <w:sz w:val="10"/>
                <w:szCs w:val="10"/>
                <w:b w:val="1"/>
                <w:bCs w:val="1"/>
                <w:color w:val="auto"/>
                <w:w w:val="96"/>
              </w:rPr>
              <w:t>Six Months Ended</w:t>
            </w:r>
          </w:p>
        </w:tc>
        <w:tc>
          <w:tcPr>
            <w:tcW w:w="1040" w:type="dxa"/>
            <w:vAlign w:val="bottom"/>
            <w:tcBorders>
              <w:bottom w:val="single" w:sz="8" w:color="auto"/>
            </w:tcBorders>
          </w:tcPr>
          <w:p>
            <w:pPr>
              <w:spacing w:after="0"/>
              <w:rPr>
                <w:sz w:val="11"/>
                <w:szCs w:val="11"/>
                <w:color w:val="auto"/>
              </w:rPr>
            </w:pPr>
          </w:p>
        </w:tc>
      </w:tr>
      <w:tr>
        <w:trPr>
          <w:trHeight w:val="139"/>
        </w:trPr>
        <w:tc>
          <w:tcPr>
            <w:tcW w:w="53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0"/>
                <w:szCs w:val="10"/>
                <w:b w:val="1"/>
                <w:bCs w:val="1"/>
                <w:color w:val="auto"/>
                <w:w w:val="98"/>
              </w:rPr>
              <w:t>June 30, 2019</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w w:val="95"/>
              </w:rPr>
              <w:t>June 30, 2019</w:t>
            </w:r>
          </w:p>
        </w:tc>
      </w:tr>
      <w:tr>
        <w:trPr>
          <w:trHeight w:val="18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2"/>
              </w:rPr>
              <w:t>350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3"/>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754</w:t>
            </w:r>
          </w:p>
        </w:tc>
      </w:tr>
      <w:tr>
        <w:trPr>
          <w:trHeight w:val="187"/>
        </w:trPr>
        <w:tc>
          <w:tcPr>
            <w:tcW w:w="636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60" w:type="dxa"/>
            <w:vAlign w:val="bottom"/>
          </w:tcPr>
          <w:p>
            <w:pPr>
              <w:jc w:val="right"/>
              <w:ind w:right="76"/>
              <w:spacing w:after="0"/>
              <w:rPr>
                <w:sz w:val="20"/>
                <w:szCs w:val="20"/>
                <w:color w:val="auto"/>
              </w:rPr>
            </w:pPr>
            <w:r>
              <w:rPr>
                <w:rFonts w:ascii="Arial" w:cs="Arial" w:eastAsia="Arial" w:hAnsi="Arial"/>
                <w:sz w:val="13"/>
                <w:szCs w:val="13"/>
                <w:color w:val="auto"/>
                <w:w w:val="92"/>
              </w:rPr>
              <w:t>364</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jc w:val="right"/>
              <w:ind w:right="76"/>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6"/>
                <w:szCs w:val="16"/>
                <w:color w:val="auto"/>
              </w:rPr>
            </w:pPr>
          </w:p>
        </w:tc>
        <w:tc>
          <w:tcPr>
            <w:tcW w:w="1420" w:type="dxa"/>
            <w:vAlign w:val="bottom"/>
          </w:tcPr>
          <w:p>
            <w:pPr>
              <w:jc w:val="right"/>
              <w:ind w:right="83"/>
              <w:spacing w:after="0"/>
              <w:rPr>
                <w:sz w:val="20"/>
                <w:szCs w:val="20"/>
                <w:color w:val="auto"/>
              </w:rPr>
            </w:pPr>
            <w:r>
              <w:rPr>
                <w:rFonts w:ascii="Arial" w:cs="Arial" w:eastAsia="Arial" w:hAnsi="Arial"/>
                <w:sz w:val="13"/>
                <w:szCs w:val="13"/>
                <w:color w:val="auto"/>
              </w:rPr>
              <w:t>618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3"/>
                <w:szCs w:val="13"/>
                <w:color w:val="auto"/>
              </w:rPr>
              <w:t>814</w:t>
            </w:r>
          </w:p>
        </w:tc>
      </w:tr>
      <w:tr>
        <w:trPr>
          <w:trHeight w:val="721"/>
        </w:trPr>
        <w:tc>
          <w:tcPr>
            <w:tcW w:w="6360" w:type="dxa"/>
            <w:vAlign w:val="bottom"/>
            <w:gridSpan w:val="2"/>
          </w:tcPr>
          <w:p>
            <w:pPr>
              <w:jc w:val="right"/>
              <w:ind w:right="631"/>
              <w:spacing w:after="0"/>
              <w:rPr>
                <w:sz w:val="20"/>
                <w:szCs w:val="20"/>
                <w:color w:val="auto"/>
              </w:rPr>
            </w:pPr>
            <w:r>
              <w:rPr>
                <w:rFonts w:ascii="Arial" w:cs="Arial" w:eastAsia="Arial" w:hAnsi="Arial"/>
                <w:sz w:val="13"/>
                <w:szCs w:val="13"/>
                <w:color w:val="auto"/>
              </w:rPr>
              <w:t>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00" w:type="dxa"/>
            <w:vAlign w:val="bottom"/>
          </w:tcPr>
          <w:p>
            <w:pPr>
              <w:spacing w:after="0"/>
              <w:rPr>
                <w:sz w:val="11"/>
                <w:szCs w:val="11"/>
                <w:color w:val="auto"/>
              </w:rPr>
            </w:pPr>
          </w:p>
        </w:tc>
        <w:tc>
          <w:tcPr>
            <w:tcW w:w="2220" w:type="dxa"/>
            <w:vAlign w:val="bottom"/>
            <w:tcBorders>
              <w:bottom w:val="single" w:sz="8" w:color="auto"/>
            </w:tcBorders>
            <w:gridSpan w:val="3"/>
          </w:tcPr>
          <w:p>
            <w:pPr>
              <w:ind w:left="1220"/>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96"/>
              </w:rPr>
              <w:t>Six Months Ended</w:t>
            </w:r>
          </w:p>
        </w:tc>
        <w:tc>
          <w:tcPr>
            <w:tcW w:w="1060" w:type="dxa"/>
            <w:vAlign w:val="bottom"/>
            <w:tcBorders>
              <w:bottom w:val="single" w:sz="8" w:color="auto"/>
            </w:tcBorders>
          </w:tcPr>
          <w:p>
            <w:pPr>
              <w:spacing w:after="0"/>
              <w:rPr>
                <w:sz w:val="11"/>
                <w:szCs w:val="11"/>
                <w:color w:val="auto"/>
              </w:rPr>
            </w:pPr>
          </w:p>
        </w:tc>
      </w:tr>
      <w:tr>
        <w:trPr>
          <w:trHeight w:val="137"/>
        </w:trPr>
        <w:tc>
          <w:tcPr>
            <w:tcW w:w="4800" w:type="dxa"/>
            <w:vAlign w:val="bottom"/>
          </w:tcPr>
          <w:p>
            <w:pPr>
              <w:spacing w:after="0"/>
              <w:rPr>
                <w:sz w:val="11"/>
                <w:szCs w:val="11"/>
                <w:color w:val="auto"/>
              </w:rPr>
            </w:pPr>
          </w:p>
        </w:tc>
        <w:tc>
          <w:tcPr>
            <w:tcW w:w="2220" w:type="dxa"/>
            <w:vAlign w:val="bottom"/>
            <w:gridSpan w:val="3"/>
          </w:tcPr>
          <w:p>
            <w:pPr>
              <w:ind w:left="500"/>
              <w:spacing w:after="0"/>
              <w:rPr>
                <w:sz w:val="20"/>
                <w:szCs w:val="20"/>
                <w:color w:val="auto"/>
              </w:rPr>
            </w:pPr>
            <w:r>
              <w:rPr>
                <w:rFonts w:ascii="Arial" w:cs="Arial" w:eastAsia="Arial" w:hAnsi="Arial"/>
                <w:sz w:val="10"/>
                <w:szCs w:val="10"/>
                <w:b w:val="1"/>
                <w:bCs w:val="1"/>
                <w:color w:val="auto"/>
              </w:rPr>
              <w:t>June 30, 2020</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June 30, 2019</w:t>
            </w:r>
          </w:p>
        </w:tc>
        <w:tc>
          <w:tcPr>
            <w:tcW w:w="1920" w:type="dxa"/>
            <w:vAlign w:val="bottom"/>
            <w:gridSpan w:val="3"/>
          </w:tcPr>
          <w:p>
            <w:pPr>
              <w:ind w:left="400"/>
              <w:spacing w:after="0"/>
              <w:rPr>
                <w:sz w:val="20"/>
                <w:szCs w:val="20"/>
                <w:color w:val="auto"/>
              </w:rPr>
            </w:pPr>
            <w:r>
              <w:rPr>
                <w:rFonts w:ascii="Arial" w:cs="Arial" w:eastAsia="Arial" w:hAnsi="Arial"/>
                <w:sz w:val="10"/>
                <w:szCs w:val="10"/>
                <w:b w:val="1"/>
                <w:bCs w:val="1"/>
                <w:color w:val="auto"/>
              </w:rPr>
              <w:t>June 30, 2020</w:t>
            </w:r>
          </w:p>
        </w:tc>
        <w:tc>
          <w:tcPr>
            <w:tcW w:w="1060" w:type="dxa"/>
            <w:vAlign w:val="bottom"/>
          </w:tcPr>
          <w:p>
            <w:pPr>
              <w:jc w:val="right"/>
              <w:ind w:right="338"/>
              <w:spacing w:after="0"/>
              <w:rPr>
                <w:sz w:val="20"/>
                <w:szCs w:val="20"/>
                <w:color w:val="auto"/>
              </w:rPr>
            </w:pPr>
            <w:r>
              <w:rPr>
                <w:rFonts w:ascii="Arial" w:cs="Arial" w:eastAsia="Arial" w:hAnsi="Arial"/>
                <w:sz w:val="10"/>
                <w:szCs w:val="10"/>
                <w:b w:val="1"/>
                <w:bCs w:val="1"/>
                <w:color w:val="auto"/>
                <w:w w:val="98"/>
              </w:rPr>
              <w:t>June 30, 2019</w:t>
            </w:r>
          </w:p>
        </w:tc>
      </w:tr>
      <w:tr>
        <w:trPr>
          <w:trHeight w:val="173"/>
        </w:trPr>
        <w:tc>
          <w:tcPr>
            <w:tcW w:w="480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9"/>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r>
      <w:tr>
        <w:trPr>
          <w:trHeight w:val="183"/>
        </w:trPr>
        <w:tc>
          <w:tcPr>
            <w:tcW w:w="480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660" w:type="dxa"/>
            <w:vAlign w:val="bottom"/>
          </w:tcPr>
          <w:p>
            <w:pPr>
              <w:jc w:val="right"/>
              <w:spacing w:after="0"/>
              <w:rPr>
                <w:sz w:val="20"/>
                <w:szCs w:val="20"/>
                <w:color w:val="auto"/>
              </w:rPr>
            </w:pPr>
            <w:r>
              <w:rPr>
                <w:rFonts w:ascii="Arial" w:cs="Arial" w:eastAsia="Arial" w:hAnsi="Arial"/>
                <w:sz w:val="13"/>
                <w:szCs w:val="13"/>
                <w:color w:val="auto"/>
              </w:rPr>
              <w:t>30.2 %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30.1 %</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29.3 %</w:t>
            </w:r>
          </w:p>
        </w:tc>
      </w:tr>
      <w:tr>
        <w:trPr>
          <w:trHeight w:val="199"/>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13.7 %</w:t>
            </w:r>
          </w:p>
        </w:tc>
      </w:tr>
      <w:tr>
        <w:trPr>
          <w:trHeight w:val="183"/>
        </w:trPr>
        <w:tc>
          <w:tcPr>
            <w:tcW w:w="480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660" w:type="dxa"/>
            <w:vAlign w:val="bottom"/>
          </w:tcPr>
          <w:p>
            <w:pPr>
              <w:jc w:val="right"/>
              <w:spacing w:after="0"/>
              <w:rPr>
                <w:sz w:val="20"/>
                <w:szCs w:val="20"/>
                <w:color w:val="auto"/>
              </w:rPr>
            </w:pPr>
            <w:r>
              <w:rPr>
                <w:rFonts w:ascii="Arial" w:cs="Arial" w:eastAsia="Arial" w:hAnsi="Arial"/>
                <w:sz w:val="13"/>
                <w:szCs w:val="13"/>
                <w:color w:val="auto"/>
              </w:rPr>
              <w:t>16.3 %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16.4 %</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16.8 %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16.3 %</w:t>
            </w:r>
          </w:p>
        </w:tc>
      </w:tr>
      <w:tr>
        <w:trPr>
          <w:trHeight w:val="199"/>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15.7 %</w:t>
            </w:r>
          </w:p>
        </w:tc>
      </w:tr>
      <w:tr>
        <w:trPr>
          <w:trHeight w:val="189"/>
        </w:trPr>
        <w:tc>
          <w:tcPr>
            <w:tcW w:w="480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660" w:type="dxa"/>
            <w:vAlign w:val="bottom"/>
          </w:tcPr>
          <w:p>
            <w:pPr>
              <w:jc w:val="right"/>
              <w:spacing w:after="0"/>
              <w:rPr>
                <w:sz w:val="20"/>
                <w:szCs w:val="20"/>
                <w:color w:val="auto"/>
              </w:rPr>
            </w:pPr>
            <w:r>
              <w:rPr>
                <w:rFonts w:ascii="Arial" w:cs="Arial" w:eastAsia="Arial" w:hAnsi="Arial"/>
                <w:sz w:val="13"/>
                <w:szCs w:val="13"/>
                <w:color w:val="auto"/>
              </w:rPr>
              <w:t>8.8 %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7.7 %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7.9 %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7.8 %</w:t>
            </w:r>
          </w:p>
        </w:tc>
      </w:tr>
      <w:tr>
        <w:trPr>
          <w:trHeight w:val="193"/>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15.1 %</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15.1 %</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15.3 %</w:t>
            </w:r>
          </w:p>
        </w:tc>
      </w:tr>
      <w:tr>
        <w:trPr>
          <w:trHeight w:val="183"/>
        </w:trPr>
        <w:tc>
          <w:tcPr>
            <w:tcW w:w="480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660" w:type="dxa"/>
            <w:vAlign w:val="bottom"/>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10.6 %</w:t>
            </w: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r>
      <w:tr>
        <w:trPr>
          <w:trHeight w:val="85"/>
        </w:trPr>
        <w:tc>
          <w:tcPr>
            <w:tcW w:w="48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23.1 %</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20.7 %</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24.0 %</w:t>
            </w:r>
          </w:p>
        </w:tc>
      </w:tr>
      <w:tr>
        <w:trPr>
          <w:trHeight w:val="85"/>
        </w:trPr>
        <w:tc>
          <w:tcPr>
            <w:tcW w:w="48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103.7 %</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71.8 %</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102.1 %</w:t>
            </w:r>
          </w:p>
        </w:tc>
      </w:tr>
      <w:tr>
        <w:trPr>
          <w:trHeight w:val="706"/>
        </w:trPr>
        <w:tc>
          <w:tcPr>
            <w:tcW w:w="4800" w:type="dxa"/>
            <w:vAlign w:val="bottom"/>
          </w:tcPr>
          <w:p>
            <w:pPr>
              <w:spacing w:after="0"/>
              <w:rPr>
                <w:sz w:val="24"/>
                <w:szCs w:val="24"/>
                <w:color w:val="auto"/>
              </w:rPr>
            </w:pPr>
          </w:p>
        </w:tc>
        <w:tc>
          <w:tcPr>
            <w:tcW w:w="1660" w:type="dxa"/>
            <w:vAlign w:val="bottom"/>
          </w:tcPr>
          <w:p>
            <w:pPr>
              <w:jc w:val="right"/>
              <w:ind w:right="718"/>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5" w:name="page16"/>
    <w:bookmarkEnd w:id="15"/>
    <w:p>
      <w:pPr>
        <w:ind w:left="420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(In millions)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7"/>
          </w:tcPr>
          <w:p>
            <w:pPr>
              <w:ind w:left="40"/>
              <w:spacing w:after="0"/>
              <w:rPr>
                <w:sz w:val="20"/>
                <w:szCs w:val="20"/>
                <w:color w:val="auto"/>
              </w:rPr>
            </w:pPr>
            <w:r>
              <w:rPr>
                <w:rFonts w:ascii="Arial" w:cs="Arial" w:eastAsia="Arial" w:hAnsi="Arial"/>
                <w:sz w:val="8"/>
                <w:szCs w:val="8"/>
                <w:b w:val="1"/>
                <w:bCs w:val="1"/>
                <w:color w:val="auto"/>
              </w:rPr>
              <w:t>Three Months Ended June 30, 2020</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8"/>
          </w:tcPr>
          <w:p>
            <w:pPr>
              <w:ind w:left="40"/>
              <w:spacing w:after="0"/>
              <w:rPr>
                <w:sz w:val="20"/>
                <w:szCs w:val="20"/>
                <w:color w:val="auto"/>
              </w:rPr>
            </w:pPr>
            <w:r>
              <w:rPr>
                <w:rFonts w:ascii="Arial" w:cs="Arial" w:eastAsia="Arial" w:hAnsi="Arial"/>
                <w:sz w:val="8"/>
                <w:szCs w:val="8"/>
                <w:b w:val="1"/>
                <w:bCs w:val="1"/>
                <w:color w:val="auto"/>
              </w:rPr>
              <w:t>Three Months Ended June 30, 2019</w:t>
            </w: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8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8"/>
                <w:szCs w:val="8"/>
                <w:b w:val="1"/>
                <w:bCs w:val="1"/>
                <w:color w:val="auto"/>
              </w:rPr>
              <w:t>GM Financial</w:t>
            </w:r>
          </w:p>
        </w:tc>
        <w:tc>
          <w:tcPr>
            <w:tcW w:w="80" w:type="dxa"/>
            <w:vAlign w:val="bottom"/>
          </w:tcPr>
          <w:p>
            <w:pPr>
              <w:spacing w:after="0"/>
              <w:rPr>
                <w:sz w:val="11"/>
                <w:szCs w:val="11"/>
                <w:color w:val="auto"/>
              </w:rPr>
            </w:pPr>
          </w:p>
        </w:tc>
        <w:tc>
          <w:tcPr>
            <w:tcW w:w="12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1"/>
                <w:szCs w:val="11"/>
                <w:color w:val="auto"/>
              </w:rPr>
            </w:pPr>
          </w:p>
        </w:tc>
        <w:tc>
          <w:tcPr>
            <w:tcW w:w="62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13,361</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13,363</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32,425</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32,425</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GM Financial</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3,423</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3,415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3,639</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3,635</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net sales and revenue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16,778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32,425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3,639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36,060</w:t>
            </w:r>
          </w:p>
        </w:tc>
        <w:tc>
          <w:tcPr>
            <w:tcW w:w="0" w:type="dxa"/>
            <w:vAlign w:val="bottom"/>
          </w:tcPr>
          <w:p>
            <w:pPr>
              <w:spacing w:after="0"/>
              <w:rPr>
                <w:sz w:val="1"/>
                <w:szCs w:val="1"/>
                <w:color w:val="auto"/>
              </w:rPr>
            </w:pPr>
          </w:p>
        </w:tc>
      </w:tr>
      <w:tr>
        <w:trPr>
          <w:trHeight w:val="141"/>
        </w:trPr>
        <w:tc>
          <w:tcPr>
            <w:tcW w:w="206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 and other cost of sales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13,444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28,036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292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28,327</w:t>
            </w:r>
          </w:p>
        </w:tc>
        <w:tc>
          <w:tcPr>
            <w:tcW w:w="0" w:type="dxa"/>
            <w:vAlign w:val="bottom"/>
          </w:tcPr>
          <w:p>
            <w:pPr>
              <w:spacing w:after="0"/>
              <w:rPr>
                <w:sz w:val="1"/>
                <w:szCs w:val="1"/>
                <w:color w:val="auto"/>
              </w:rPr>
            </w:pPr>
          </w:p>
        </w:tc>
      </w:tr>
      <w:tr>
        <w:trPr>
          <w:trHeight w:val="101"/>
        </w:trPr>
        <w:tc>
          <w:tcPr>
            <w:tcW w:w="2060" w:type="dxa"/>
            <w:vAlign w:val="bottom"/>
          </w:tcPr>
          <w:p>
            <w:pPr>
              <w:ind w:left="100"/>
              <w:spacing w:after="0" w:line="102" w:lineRule="exact"/>
              <w:rPr>
                <w:sz w:val="20"/>
                <w:szCs w:val="20"/>
                <w:color w:val="auto"/>
              </w:rPr>
            </w:pPr>
            <w:r>
              <w:rPr>
                <w:rFonts w:ascii="Arial" w:cs="Arial" w:eastAsia="Arial" w:hAnsi="Arial"/>
                <w:sz w:val="10"/>
                <w:szCs w:val="10"/>
                <w:color w:val="auto"/>
              </w:rPr>
              <w:t>GM Financial interest, operating and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3,239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24"/>
              <w:spacing w:after="0"/>
              <w:rPr>
                <w:sz w:val="20"/>
                <w:szCs w:val="20"/>
                <w:color w:val="auto"/>
              </w:rPr>
            </w:pPr>
            <w:r>
              <w:rPr>
                <w:rFonts w:ascii="Arial" w:cs="Arial" w:eastAsia="Arial" w:hAnsi="Arial"/>
                <w:sz w:val="11"/>
                <w:szCs w:val="11"/>
                <w:color w:val="auto"/>
              </w:rPr>
              <w:t>3,238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44"/>
              <w:spacing w:after="0"/>
              <w:rPr>
                <w:sz w:val="20"/>
                <w:szCs w:val="20"/>
                <w:color w:val="auto"/>
              </w:rPr>
            </w:pPr>
            <w:r>
              <w:rPr>
                <w:rFonts w:ascii="Arial" w:cs="Arial" w:eastAsia="Arial" w:hAnsi="Arial"/>
                <w:sz w:val="11"/>
                <w:szCs w:val="11"/>
                <w:color w:val="auto"/>
              </w:rPr>
              <w:t>3,145</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restart"/>
          </w:tcPr>
          <w:p>
            <w:pPr>
              <w:jc w:val="right"/>
              <w:ind w:right="23"/>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1"/>
                <w:szCs w:val="11"/>
                <w:color w:val="auto"/>
              </w:rPr>
              <w:t>3,144</w:t>
            </w:r>
          </w:p>
        </w:tc>
        <w:tc>
          <w:tcPr>
            <w:tcW w:w="0" w:type="dxa"/>
            <w:vAlign w:val="bottom"/>
          </w:tcPr>
          <w:p>
            <w:pPr>
              <w:spacing w:after="0"/>
              <w:rPr>
                <w:sz w:val="1"/>
                <w:szCs w:val="1"/>
                <w:color w:val="auto"/>
              </w:rPr>
            </w:pPr>
          </w:p>
        </w:tc>
      </w:tr>
      <w:tr>
        <w:trPr>
          <w:trHeight w:val="128"/>
        </w:trPr>
        <w:tc>
          <w:tcPr>
            <w:tcW w:w="2060" w:type="dxa"/>
            <w:vAlign w:val="bottom"/>
          </w:tcPr>
          <w:p>
            <w:pPr>
              <w:ind w:left="220"/>
              <w:spacing w:after="0"/>
              <w:rPr>
                <w:sz w:val="20"/>
                <w:szCs w:val="20"/>
                <w:color w:val="auto"/>
              </w:rPr>
            </w:pPr>
            <w:r>
              <w:rPr>
                <w:rFonts w:ascii="Arial" w:cs="Arial" w:eastAsia="Arial" w:hAnsi="Arial"/>
                <w:sz w:val="10"/>
                <w:szCs w:val="10"/>
                <w:color w:val="auto"/>
              </w:rPr>
              <w:t>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Automotive and other selling, general and</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1,251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1,310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2,055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47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2,102</w:t>
            </w:r>
          </w:p>
        </w:tc>
        <w:tc>
          <w:tcPr>
            <w:tcW w:w="0" w:type="dxa"/>
            <w:vAlign w:val="bottom"/>
          </w:tcPr>
          <w:p>
            <w:pPr>
              <w:spacing w:after="0"/>
              <w:rPr>
                <w:sz w:val="1"/>
                <w:szCs w:val="1"/>
                <w:color w:val="auto"/>
              </w:rPr>
            </w:pPr>
          </w:p>
        </w:tc>
      </w:tr>
      <w:tr>
        <w:trPr>
          <w:trHeight w:val="128"/>
        </w:trPr>
        <w:tc>
          <w:tcPr>
            <w:tcW w:w="20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costs and expenses</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14,507</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3,239</w:t>
            </w: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17,992</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30,091</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339</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3,145</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(2)</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33,573</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260"/>
              <w:spacing w:after="0"/>
              <w:rPr>
                <w:sz w:val="20"/>
                <w:szCs w:val="20"/>
                <w:color w:val="auto"/>
              </w:rPr>
            </w:pPr>
            <w:r>
              <w:rPr>
                <w:rFonts w:ascii="Arial" w:cs="Arial" w:eastAsia="Arial" w:hAnsi="Arial"/>
                <w:sz w:val="10"/>
                <w:szCs w:val="10"/>
                <w:color w:val="auto"/>
              </w:rPr>
              <w:t>Operating income (loss)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2,334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494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2,487</w:t>
            </w:r>
          </w:p>
        </w:tc>
        <w:tc>
          <w:tcPr>
            <w:tcW w:w="0" w:type="dxa"/>
            <w:vAlign w:val="bottom"/>
          </w:tcPr>
          <w:p>
            <w:pPr>
              <w:spacing w:after="0"/>
              <w:rPr>
                <w:sz w:val="1"/>
                <w:szCs w:val="1"/>
                <w:color w:val="auto"/>
              </w:rPr>
            </w:pPr>
          </w:p>
        </w:tc>
      </w:tr>
      <w:tr>
        <w:trPr>
          <w:trHeight w:val="166"/>
        </w:trPr>
        <w:tc>
          <w:tcPr>
            <w:tcW w:w="206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4"/>
              <w:spacing w:after="0"/>
              <w:rPr>
                <w:sz w:val="20"/>
                <w:szCs w:val="20"/>
                <w:color w:val="auto"/>
              </w:rPr>
            </w:pPr>
            <w:r>
              <w:rPr>
                <w:rFonts w:ascii="Arial" w:cs="Arial" w:eastAsia="Arial" w:hAnsi="Arial"/>
                <w:sz w:val="11"/>
                <w:szCs w:val="11"/>
                <w:color w:val="auto"/>
              </w:rPr>
              <w:t>303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195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ind w:right="84"/>
              <w:spacing w:after="0"/>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106"/>
        </w:trPr>
        <w:tc>
          <w:tcPr>
            <w:tcW w:w="20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Interest income and other non-operating</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413</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320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23</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364</w:t>
            </w: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229</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42</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(906)</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(892)</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2,688</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(293)</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536</w:t>
            </w: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2,927</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 (benefit)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(loss)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2,403</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w w:val="99"/>
              </w:rPr>
              <w:t>Net loss attributable to noncontrolling interests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80"/>
        </w:trPr>
        <w:tc>
          <w:tcPr>
            <w:tcW w:w="2060" w:type="dxa"/>
            <w:vAlign w:val="bottom"/>
            <w:shd w:val="clear" w:color="auto" w:fill="CCEEFF"/>
          </w:tcPr>
          <w:p>
            <w:pPr>
              <w:spacing w:after="0" w:line="80" w:lineRule="exact"/>
              <w:rPr>
                <w:sz w:val="20"/>
                <w:szCs w:val="20"/>
                <w:color w:val="auto"/>
              </w:rPr>
            </w:pPr>
            <w:r>
              <w:rPr>
                <w:rFonts w:ascii="Arial" w:cs="Arial" w:eastAsia="Arial" w:hAnsi="Arial"/>
                <w:sz w:val="9"/>
                <w:szCs w:val="9"/>
                <w:b w:val="1"/>
                <w:bCs w:val="1"/>
                <w:color w:val="auto"/>
              </w:rPr>
              <w:t>Net income (loss) attributable to</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2,418</w:t>
            </w:r>
          </w:p>
        </w:tc>
        <w:tc>
          <w:tcPr>
            <w:tcW w:w="0" w:type="dxa"/>
            <w:vAlign w:val="bottom"/>
          </w:tcPr>
          <w:p>
            <w:pPr>
              <w:spacing w:after="0"/>
              <w:rPr>
                <w:sz w:val="1"/>
                <w:szCs w:val="1"/>
                <w:color w:val="auto"/>
              </w:rPr>
            </w:pPr>
          </w:p>
        </w:tc>
      </w:tr>
      <w:tr>
        <w:trPr>
          <w:trHeight w:val="137"/>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6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(806)</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2,381</w:t>
            </w:r>
          </w:p>
        </w:tc>
        <w:tc>
          <w:tcPr>
            <w:tcW w:w="0" w:type="dxa"/>
            <w:vAlign w:val="bottom"/>
          </w:tcPr>
          <w:p>
            <w:pPr>
              <w:spacing w:after="0"/>
              <w:rPr>
                <w:sz w:val="1"/>
                <w:szCs w:val="1"/>
                <w:color w:val="auto"/>
              </w:rPr>
            </w:pPr>
          </w:p>
        </w:tc>
      </w:tr>
      <w:tr>
        <w:trPr>
          <w:trHeight w:val="138"/>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7"/>
          </w:tcPr>
          <w:p>
            <w:pPr>
              <w:spacing w:after="0"/>
              <w:rPr>
                <w:sz w:val="20"/>
                <w:szCs w:val="20"/>
                <w:color w:val="auto"/>
              </w:rPr>
            </w:pPr>
            <w:r>
              <w:rPr>
                <w:rFonts w:ascii="Arial" w:cs="Arial" w:eastAsia="Arial" w:hAnsi="Arial"/>
                <w:sz w:val="8"/>
                <w:szCs w:val="8"/>
                <w:b w:val="1"/>
                <w:bCs w:val="1"/>
                <w:color w:val="auto"/>
              </w:rPr>
              <w:t>Six Months Ended June 30, 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7"/>
          </w:tcPr>
          <w:p>
            <w:pPr>
              <w:ind w:left="20"/>
              <w:spacing w:after="0"/>
              <w:rPr>
                <w:sz w:val="20"/>
                <w:szCs w:val="20"/>
                <w:color w:val="auto"/>
              </w:rPr>
            </w:pPr>
            <w:r>
              <w:rPr>
                <w:rFonts w:ascii="Arial" w:cs="Arial" w:eastAsia="Arial" w:hAnsi="Arial"/>
                <w:sz w:val="8"/>
                <w:szCs w:val="8"/>
                <w:b w:val="1"/>
                <w:bCs w:val="1"/>
                <w:color w:val="auto"/>
              </w:rPr>
              <w:t>Six Months Ended June 30, 2019</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1"/>
                <w:szCs w:val="11"/>
                <w:color w:val="auto"/>
              </w:rPr>
            </w:pPr>
          </w:p>
        </w:tc>
        <w:tc>
          <w:tcPr>
            <w:tcW w:w="580" w:type="dxa"/>
            <w:vAlign w:val="bottom"/>
            <w:gridSpan w:val="3"/>
          </w:tcPr>
          <w:p>
            <w:pPr>
              <w:ind w:left="60"/>
              <w:spacing w:after="0"/>
              <w:rPr>
                <w:sz w:val="20"/>
                <w:szCs w:val="20"/>
                <w:color w:val="auto"/>
              </w:rPr>
            </w:pPr>
            <w:r>
              <w:rPr>
                <w:rFonts w:ascii="Arial" w:cs="Arial" w:eastAsia="Arial" w:hAnsi="Arial"/>
                <w:sz w:val="8"/>
                <w:szCs w:val="8"/>
                <w:b w:val="1"/>
                <w:bCs w:val="1"/>
                <w:color w:val="auto"/>
              </w:rPr>
              <w:t>Cruise</w:t>
            </w:r>
          </w:p>
        </w:tc>
        <w:tc>
          <w:tcPr>
            <w:tcW w:w="780" w:type="dxa"/>
            <w:vAlign w:val="bottom"/>
            <w:gridSpan w:val="5"/>
          </w:tcPr>
          <w:p>
            <w:pPr>
              <w:ind w:left="60"/>
              <w:spacing w:after="0"/>
              <w:rPr>
                <w:sz w:val="20"/>
                <w:szCs w:val="20"/>
                <w:color w:val="auto"/>
              </w:rPr>
            </w:pPr>
            <w:r>
              <w:rPr>
                <w:rFonts w:ascii="Arial" w:cs="Arial" w:eastAsia="Arial" w:hAnsi="Arial"/>
                <w:sz w:val="8"/>
                <w:szCs w:val="8"/>
                <w:b w:val="1"/>
                <w:bCs w:val="1"/>
                <w:color w:val="auto"/>
              </w:rPr>
              <w:t>GM Financial</w:t>
            </w:r>
          </w:p>
        </w:tc>
        <w:tc>
          <w:tcPr>
            <w:tcW w:w="1320" w:type="dxa"/>
            <w:vAlign w:val="bottom"/>
            <w:gridSpan w:val="4"/>
          </w:tcPr>
          <w:p>
            <w:pPr>
              <w:spacing w:after="0"/>
              <w:rPr>
                <w:sz w:val="20"/>
                <w:szCs w:val="20"/>
                <w:color w:val="auto"/>
              </w:rPr>
            </w:pPr>
            <w:r>
              <w:rPr>
                <w:rFonts w:ascii="Arial" w:cs="Arial" w:eastAsia="Arial" w:hAnsi="Arial"/>
                <w:sz w:val="8"/>
                <w:szCs w:val="8"/>
                <w:b w:val="1"/>
                <w:bCs w:val="1"/>
                <w:color w:val="auto"/>
              </w:rPr>
              <w:t>Reclassifications/Eliminations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0"/>
              <w:spacing w:after="0"/>
              <w:rPr>
                <w:sz w:val="20"/>
                <w:szCs w:val="20"/>
                <w:color w:val="auto"/>
              </w:rPr>
            </w:pPr>
            <w:r>
              <w:rPr>
                <w:rFonts w:ascii="Arial" w:cs="Arial" w:eastAsia="Arial" w:hAnsi="Arial"/>
                <w:sz w:val="8"/>
                <w:szCs w:val="8"/>
                <w:b w:val="1"/>
                <w:bCs w:val="1"/>
                <w:color w:val="auto"/>
              </w:rPr>
              <w:t>GM Financial</w:t>
            </w:r>
          </w:p>
        </w:tc>
        <w:tc>
          <w:tcPr>
            <w:tcW w:w="60" w:type="dxa"/>
            <w:vAlign w:val="bottom"/>
          </w:tcPr>
          <w:p>
            <w:pPr>
              <w:spacing w:after="0"/>
              <w:rPr>
                <w:sz w:val="11"/>
                <w:szCs w:val="11"/>
                <w:color w:val="auto"/>
              </w:rPr>
            </w:pPr>
          </w:p>
        </w:tc>
        <w:tc>
          <w:tcPr>
            <w:tcW w:w="1380" w:type="dxa"/>
            <w:vAlign w:val="bottom"/>
            <w:gridSpan w:val="5"/>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1"/>
                <w:szCs w:val="11"/>
                <w:color w:val="auto"/>
              </w:rPr>
            </w:pPr>
          </w:p>
        </w:tc>
        <w:tc>
          <w:tcPr>
            <w:tcW w:w="620" w:type="dxa"/>
            <w:vAlign w:val="bottom"/>
          </w:tcPr>
          <w:p>
            <w:pPr>
              <w:jc w:val="right"/>
              <w:ind w:right="10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Automotive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42,510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42,513</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63,686</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63,686</w:t>
            </w:r>
          </w:p>
        </w:tc>
        <w:tc>
          <w:tcPr>
            <w:tcW w:w="0" w:type="dxa"/>
            <w:vAlign w:val="bottom"/>
          </w:tcPr>
          <w:p>
            <w:pPr>
              <w:spacing w:after="0"/>
              <w:rPr>
                <w:sz w:val="1"/>
                <w:szCs w:val="1"/>
                <w:color w:val="auto"/>
              </w:rPr>
            </w:pPr>
          </w:p>
        </w:tc>
      </w:tr>
      <w:tr>
        <w:trPr>
          <w:trHeight w:val="166"/>
        </w:trPr>
        <w:tc>
          <w:tcPr>
            <w:tcW w:w="2060" w:type="dxa"/>
            <w:vAlign w:val="bottom"/>
          </w:tcPr>
          <w:p>
            <w:pPr>
              <w:ind w:left="80"/>
              <w:spacing w:after="0"/>
              <w:rPr>
                <w:sz w:val="20"/>
                <w:szCs w:val="20"/>
                <w:color w:val="auto"/>
              </w:rPr>
            </w:pPr>
            <w:r>
              <w:rPr>
                <w:rFonts w:ascii="Arial" w:cs="Arial" w:eastAsia="Arial" w:hAnsi="Arial"/>
                <w:sz w:val="10"/>
                <w:szCs w:val="10"/>
                <w:color w:val="auto"/>
              </w:rPr>
              <w:t>GM Financial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84"/>
              <w:spacing w:after="0"/>
              <w:rPr>
                <w:sz w:val="20"/>
                <w:szCs w:val="20"/>
                <w:color w:val="auto"/>
              </w:rPr>
            </w:pPr>
            <w:r>
              <w:rPr>
                <w:rFonts w:ascii="Arial" w:cs="Arial" w:eastAsia="Arial" w:hAnsi="Arial"/>
                <w:sz w:val="11"/>
                <w:szCs w:val="11"/>
                <w:color w:val="auto"/>
              </w:rPr>
              <w:t>6,984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jc w:val="right"/>
              <w:ind w:right="6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11"/>
                <w:szCs w:val="11"/>
                <w:color w:val="auto"/>
              </w:rPr>
              <w:t>6,974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84"/>
              <w:spacing w:after="0"/>
              <w:rPr>
                <w:sz w:val="20"/>
                <w:szCs w:val="20"/>
                <w:color w:val="auto"/>
              </w:rPr>
            </w:pPr>
            <w:r>
              <w:rPr>
                <w:rFonts w:ascii="Arial" w:cs="Arial" w:eastAsia="Arial" w:hAnsi="Arial"/>
                <w:sz w:val="11"/>
                <w:szCs w:val="11"/>
                <w:color w:val="auto"/>
              </w:rPr>
              <w:t>7,259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84"/>
              <w:spacing w:after="0"/>
              <w:rPr>
                <w:sz w:val="20"/>
                <w:szCs w:val="20"/>
                <w:color w:val="auto"/>
              </w:rPr>
            </w:pPr>
            <w:r>
              <w:rPr>
                <w:rFonts w:ascii="Arial" w:cs="Arial" w:eastAsia="Arial" w:hAnsi="Arial"/>
                <w:sz w:val="11"/>
                <w:szCs w:val="11"/>
                <w:color w:val="auto"/>
              </w:rPr>
              <w:t>7,252</w:t>
            </w:r>
          </w:p>
        </w:tc>
        <w:tc>
          <w:tcPr>
            <w:tcW w:w="0" w:type="dxa"/>
            <w:vAlign w:val="bottom"/>
          </w:tcPr>
          <w:p>
            <w:pPr>
              <w:spacing w:after="0"/>
              <w:rPr>
                <w:sz w:val="1"/>
                <w:szCs w:val="1"/>
                <w:color w:val="auto"/>
              </w:rPr>
            </w:pPr>
          </w:p>
        </w:tc>
      </w:tr>
      <w:tr>
        <w:trPr>
          <w:trHeight w:val="165"/>
        </w:trPr>
        <w:tc>
          <w:tcPr>
            <w:tcW w:w="20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net sales and revenue</w:t>
            </w: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42,510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53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6,984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(60)</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49,487</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63,686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50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7,259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(57)</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70,938</w:t>
            </w:r>
          </w:p>
        </w:tc>
        <w:tc>
          <w:tcPr>
            <w:tcW w:w="0" w:type="dxa"/>
            <w:vAlign w:val="bottom"/>
          </w:tcPr>
          <w:p>
            <w:pPr>
              <w:spacing w:after="0"/>
              <w:rPr>
                <w:sz w:val="1"/>
                <w:szCs w:val="1"/>
                <w:color w:val="auto"/>
              </w:rPr>
            </w:pPr>
          </w:p>
        </w:tc>
      </w:tr>
      <w:tr>
        <w:trPr>
          <w:trHeight w:val="141"/>
        </w:trPr>
        <w:tc>
          <w:tcPr>
            <w:tcW w:w="206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 and other cost of sales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39,799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40,170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56,071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56,556</w:t>
            </w:r>
          </w:p>
        </w:tc>
        <w:tc>
          <w:tcPr>
            <w:tcW w:w="0" w:type="dxa"/>
            <w:vAlign w:val="bottom"/>
          </w:tcPr>
          <w:p>
            <w:pPr>
              <w:spacing w:after="0"/>
              <w:rPr>
                <w:sz w:val="1"/>
                <w:szCs w:val="1"/>
                <w:color w:val="auto"/>
              </w:rPr>
            </w:pPr>
          </w:p>
        </w:tc>
      </w:tr>
      <w:tr>
        <w:trPr>
          <w:trHeight w:val="101"/>
        </w:trPr>
        <w:tc>
          <w:tcPr>
            <w:tcW w:w="2060" w:type="dxa"/>
            <w:vAlign w:val="bottom"/>
          </w:tcPr>
          <w:p>
            <w:pPr>
              <w:ind w:left="100"/>
              <w:spacing w:after="0" w:line="102" w:lineRule="exact"/>
              <w:rPr>
                <w:sz w:val="20"/>
                <w:szCs w:val="20"/>
                <w:color w:val="auto"/>
              </w:rPr>
            </w:pPr>
            <w:r>
              <w:rPr>
                <w:rFonts w:ascii="Arial" w:cs="Arial" w:eastAsia="Arial" w:hAnsi="Arial"/>
                <w:sz w:val="10"/>
                <w:szCs w:val="10"/>
                <w:color w:val="auto"/>
              </w:rPr>
              <w:t>GM Financial interest, operating and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ind w:right="84"/>
              <w:spacing w:after="0"/>
              <w:rPr>
                <w:sz w:val="20"/>
                <w:szCs w:val="20"/>
                <w:color w:val="auto"/>
              </w:rPr>
            </w:pPr>
            <w:r>
              <w:rPr>
                <w:rFonts w:ascii="Arial" w:cs="Arial" w:eastAsia="Arial" w:hAnsi="Arial"/>
                <w:sz w:val="11"/>
                <w:szCs w:val="11"/>
                <w:color w:val="auto"/>
              </w:rPr>
              <w:t>6,595</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restart"/>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84"/>
              <w:spacing w:after="0"/>
              <w:rPr>
                <w:sz w:val="20"/>
                <w:szCs w:val="20"/>
                <w:color w:val="auto"/>
              </w:rPr>
            </w:pPr>
            <w:r>
              <w:rPr>
                <w:rFonts w:ascii="Arial" w:cs="Arial" w:eastAsia="Arial" w:hAnsi="Arial"/>
                <w:sz w:val="11"/>
                <w:szCs w:val="11"/>
                <w:color w:val="auto"/>
              </w:rPr>
              <w:t>6,594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84"/>
              <w:spacing w:after="0"/>
              <w:rPr>
                <w:sz w:val="20"/>
                <w:szCs w:val="20"/>
                <w:color w:val="auto"/>
              </w:rPr>
            </w:pPr>
            <w:r>
              <w:rPr>
                <w:rFonts w:ascii="Arial" w:cs="Arial" w:eastAsia="Arial" w:hAnsi="Arial"/>
                <w:sz w:val="11"/>
                <w:szCs w:val="11"/>
                <w:color w:val="auto"/>
              </w:rPr>
              <w:t>6,451</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restart"/>
          </w:tcPr>
          <w:p>
            <w:pPr>
              <w:jc w:val="right"/>
              <w:ind w:right="63"/>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1"/>
                <w:szCs w:val="11"/>
                <w:color w:val="auto"/>
              </w:rPr>
              <w:t>6,450</w:t>
            </w:r>
          </w:p>
        </w:tc>
        <w:tc>
          <w:tcPr>
            <w:tcW w:w="0" w:type="dxa"/>
            <w:vAlign w:val="bottom"/>
          </w:tcPr>
          <w:p>
            <w:pPr>
              <w:spacing w:after="0"/>
              <w:rPr>
                <w:sz w:val="1"/>
                <w:szCs w:val="1"/>
                <w:color w:val="auto"/>
              </w:rPr>
            </w:pPr>
          </w:p>
        </w:tc>
      </w:tr>
      <w:tr>
        <w:trPr>
          <w:trHeight w:val="128"/>
        </w:trPr>
        <w:tc>
          <w:tcPr>
            <w:tcW w:w="2060" w:type="dxa"/>
            <w:vAlign w:val="bottom"/>
          </w:tcPr>
          <w:p>
            <w:pPr>
              <w:ind w:left="220"/>
              <w:spacing w:after="0"/>
              <w:rPr>
                <w:sz w:val="20"/>
                <w:szCs w:val="20"/>
                <w:color w:val="auto"/>
              </w:rPr>
            </w:pPr>
            <w:r>
              <w:rPr>
                <w:rFonts w:ascii="Arial" w:cs="Arial" w:eastAsia="Arial" w:hAnsi="Arial"/>
                <w:sz w:val="10"/>
                <w:szCs w:val="10"/>
                <w:color w:val="auto"/>
              </w:rPr>
              <w:t>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Automotive and other selling, general and</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3,153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3,280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4,135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5"/>
              <w:spacing w:after="0"/>
              <w:rPr>
                <w:sz w:val="20"/>
                <w:szCs w:val="20"/>
                <w:color w:val="auto"/>
              </w:rPr>
            </w:pPr>
            <w:r>
              <w:rPr>
                <w:rFonts w:ascii="Arial" w:cs="Arial" w:eastAsia="Arial" w:hAnsi="Arial"/>
                <w:sz w:val="11"/>
                <w:szCs w:val="11"/>
                <w:color w:val="auto"/>
              </w:rPr>
              <w:t>66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4,201</w:t>
            </w:r>
          </w:p>
        </w:tc>
        <w:tc>
          <w:tcPr>
            <w:tcW w:w="0" w:type="dxa"/>
            <w:vAlign w:val="bottom"/>
          </w:tcPr>
          <w:p>
            <w:pPr>
              <w:spacing w:after="0"/>
              <w:rPr>
                <w:sz w:val="1"/>
                <w:szCs w:val="1"/>
                <w:color w:val="auto"/>
              </w:rPr>
            </w:pPr>
          </w:p>
        </w:tc>
      </w:tr>
      <w:tr>
        <w:trPr>
          <w:trHeight w:val="128"/>
        </w:trPr>
        <w:tc>
          <w:tcPr>
            <w:tcW w:w="20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Total costs and expenses</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42,952</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498</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6,595</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50,044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60,206</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553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6,451</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67,207</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Operating income (loss)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389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(557)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3,480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(503)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808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3,731</w:t>
            </w:r>
          </w:p>
        </w:tc>
        <w:tc>
          <w:tcPr>
            <w:tcW w:w="0" w:type="dxa"/>
            <w:vAlign w:val="bottom"/>
          </w:tcPr>
          <w:p>
            <w:pPr>
              <w:spacing w:after="0"/>
              <w:rPr>
                <w:sz w:val="1"/>
                <w:szCs w:val="1"/>
                <w:color w:val="auto"/>
              </w:rPr>
            </w:pPr>
          </w:p>
        </w:tc>
      </w:tr>
      <w:tr>
        <w:trPr>
          <w:trHeight w:val="166"/>
        </w:trPr>
        <w:tc>
          <w:tcPr>
            <w:tcW w:w="206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jc w:val="right"/>
              <w:ind w:right="63"/>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4"/>
              <w:spacing w:after="0"/>
              <w:rPr>
                <w:sz w:val="20"/>
                <w:szCs w:val="20"/>
                <w:color w:val="auto"/>
              </w:rPr>
            </w:pPr>
            <w:r>
              <w:rPr>
                <w:rFonts w:ascii="Arial" w:cs="Arial" w:eastAsia="Arial" w:hAnsi="Arial"/>
                <w:sz w:val="11"/>
                <w:szCs w:val="11"/>
                <w:color w:val="auto"/>
              </w:rPr>
              <w:t>496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379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84"/>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106"/>
        </w:trPr>
        <w:tc>
          <w:tcPr>
            <w:tcW w:w="20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Interest income and other non-operating</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660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724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1,088</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5"/>
              <w:spacing w:after="0"/>
              <w:rPr>
                <w:sz w:val="20"/>
                <w:szCs w:val="20"/>
                <w:color w:val="auto"/>
              </w:rPr>
            </w:pPr>
            <w:r>
              <w:rPr>
                <w:rFonts w:ascii="Arial" w:cs="Arial" w:eastAsia="Arial" w:hAnsi="Arial"/>
                <w:sz w:val="11"/>
                <w:szCs w:val="11"/>
                <w:color w:val="auto"/>
              </w:rPr>
              <w:t>45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1,169</w:t>
            </w: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80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598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87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456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(249)</w:t>
            </w:r>
          </w:p>
        </w:tc>
        <w:tc>
          <w:tcPr>
            <w:tcW w:w="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4,787</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(458)</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895</w:t>
            </w: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5,209</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245</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661</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(loss)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(494)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4,548</w:t>
            </w:r>
          </w:p>
        </w:tc>
        <w:tc>
          <w:tcPr>
            <w:tcW w:w="0" w:type="dxa"/>
            <w:vAlign w:val="bottom"/>
          </w:tcPr>
          <w:p>
            <w:pPr>
              <w:spacing w:after="0"/>
              <w:rPr>
                <w:sz w:val="1"/>
                <w:szCs w:val="1"/>
                <w:color w:val="auto"/>
              </w:rPr>
            </w:pPr>
          </w:p>
        </w:tc>
      </w:tr>
      <w:tr>
        <w:trPr>
          <w:trHeight w:val="166"/>
        </w:trPr>
        <w:tc>
          <w:tcPr>
            <w:tcW w:w="2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w w:val="99"/>
              </w:rPr>
              <w:t>Net loss attributable to noncontrolling interests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80"/>
        </w:trPr>
        <w:tc>
          <w:tcPr>
            <w:tcW w:w="2060" w:type="dxa"/>
            <w:vAlign w:val="bottom"/>
            <w:shd w:val="clear" w:color="auto" w:fill="CCEEFF"/>
          </w:tcPr>
          <w:p>
            <w:pPr>
              <w:spacing w:after="0" w:line="80" w:lineRule="exact"/>
              <w:rPr>
                <w:sz w:val="20"/>
                <w:szCs w:val="20"/>
                <w:color w:val="auto"/>
              </w:rPr>
            </w:pPr>
            <w:r>
              <w:rPr>
                <w:rFonts w:ascii="Arial" w:cs="Arial" w:eastAsia="Arial" w:hAnsi="Arial"/>
                <w:sz w:val="9"/>
                <w:szCs w:val="9"/>
                <w:b w:val="1"/>
                <w:bCs w:val="1"/>
                <w:color w:val="auto"/>
              </w:rPr>
              <w:t>Net income (loss) attributable to</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(464)</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4,575</w:t>
            </w:r>
          </w:p>
        </w:tc>
        <w:tc>
          <w:tcPr>
            <w:tcW w:w="0" w:type="dxa"/>
            <w:vAlign w:val="bottom"/>
          </w:tcPr>
          <w:p>
            <w:pPr>
              <w:spacing w:after="0"/>
              <w:rPr>
                <w:sz w:val="1"/>
                <w:szCs w:val="1"/>
                <w:color w:val="auto"/>
              </w:rPr>
            </w:pPr>
          </w:p>
        </w:tc>
      </w:tr>
      <w:tr>
        <w:trPr>
          <w:trHeight w:val="137"/>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6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(559)</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4,500</w:t>
            </w:r>
          </w:p>
        </w:tc>
        <w:tc>
          <w:tcPr>
            <w:tcW w:w="0" w:type="dxa"/>
            <w:vAlign w:val="bottom"/>
          </w:tcPr>
          <w:p>
            <w:pPr>
              <w:spacing w:after="0"/>
              <w:rPr>
                <w:sz w:val="1"/>
                <w:szCs w:val="1"/>
                <w:color w:val="auto"/>
              </w:rPr>
            </w:pPr>
          </w:p>
        </w:tc>
      </w:tr>
      <w:tr>
        <w:trPr>
          <w:trHeight w:val="138"/>
        </w:trPr>
        <w:tc>
          <w:tcPr>
            <w:tcW w:w="20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440" w:top="698" w:right="319" w:bottom="1440" w:gutter="0" w:footer="0" w:header="0"/>
        </w:sectPr>
      </w:pPr>
    </w:p>
    <w:bookmarkStart w:id="16" w:name="page17"/>
    <w:bookmarkEnd w:id="16"/>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40" w:type="dxa"/>
            <w:vAlign w:val="bottom"/>
            <w:tcBorders>
              <w:bottom w:val="single" w:sz="8" w:color="auto"/>
            </w:tcBorders>
          </w:tcPr>
          <w:p>
            <w:pPr>
              <w:spacing w:after="0"/>
              <w:rPr>
                <w:sz w:val="11"/>
                <w:szCs w:val="11"/>
                <w:color w:val="auto"/>
              </w:rPr>
            </w:pP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2020</w:t>
            </w:r>
          </w:p>
        </w:tc>
        <w:tc>
          <w:tcPr>
            <w:tcW w:w="24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2019</w:t>
            </w:r>
          </w:p>
        </w:tc>
        <w:tc>
          <w:tcPr>
            <w:tcW w:w="24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2020</w:t>
            </w:r>
          </w:p>
        </w:tc>
        <w:tc>
          <w:tcPr>
            <w:tcW w:w="380" w:type="dxa"/>
            <w:vAlign w:val="bottom"/>
          </w:tcPr>
          <w:p>
            <w:pPr>
              <w:spacing w:after="0"/>
              <w:rPr>
                <w:sz w:val="11"/>
                <w:szCs w:val="11"/>
                <w:color w:val="auto"/>
              </w:rPr>
            </w:pPr>
          </w:p>
        </w:tc>
        <w:tc>
          <w:tcPr>
            <w:tcW w:w="1040" w:type="dxa"/>
            <w:vAlign w:val="bottom"/>
          </w:tcPr>
          <w:p>
            <w:pPr>
              <w:jc w:val="right"/>
              <w:ind w:right="338"/>
              <w:spacing w:after="0"/>
              <w:rPr>
                <w:sz w:val="20"/>
                <w:szCs w:val="20"/>
                <w:color w:val="auto"/>
              </w:rPr>
            </w:pPr>
            <w:r>
              <w:rPr>
                <w:rFonts w:ascii="Arial" w:cs="Arial" w:eastAsia="Arial" w:hAnsi="Arial"/>
                <w:sz w:val="10"/>
                <w:szCs w:val="10"/>
                <w:b w:val="1"/>
                <w:bCs w:val="1"/>
                <w:color w:val="auto"/>
                <w:w w:val="95"/>
              </w:rPr>
              <w:t>June 30, 2019</w:t>
            </w:r>
          </w:p>
        </w:tc>
      </w:tr>
      <w:tr>
        <w:trPr>
          <w:trHeight w:val="138"/>
        </w:trPr>
        <w:tc>
          <w:tcPr>
            <w:tcW w:w="530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91"/>
        </w:trPr>
        <w:tc>
          <w:tcPr>
            <w:tcW w:w="5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(loss) attributable to stockholders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4,575</w:t>
            </w:r>
          </w:p>
        </w:tc>
      </w:tr>
      <w:tr>
        <w:trPr>
          <w:trHeight w:val="191"/>
        </w:trPr>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Less: cumulative dividends on subsidiary preferred stock</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(75)</w:t>
            </w:r>
          </w:p>
        </w:tc>
      </w:tr>
      <w:tr>
        <w:trPr>
          <w:trHeight w:val="207"/>
        </w:trPr>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(loss) attributable to common stockholders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(806)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2,381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(559)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4,500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1"/>
        </w:trPr>
        <w:tc>
          <w:tcPr>
            <w:tcW w:w="5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Weighted-average common shares outstanding</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1,419</w:t>
            </w:r>
          </w:p>
        </w:tc>
      </w:tr>
      <w:tr>
        <w:trPr>
          <w:trHeight w:val="85"/>
        </w:trPr>
        <w:tc>
          <w:tcPr>
            <w:tcW w:w="5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91"/>
        </w:trPr>
        <w:tc>
          <w:tcPr>
            <w:tcW w:w="5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Basic earnings (loss) per common share</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3.17</w:t>
            </w:r>
          </w:p>
        </w:tc>
      </w:tr>
      <w:tr>
        <w:trPr>
          <w:trHeight w:val="166"/>
        </w:trPr>
        <w:tc>
          <w:tcPr>
            <w:tcW w:w="530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5"/>
        </w:trPr>
        <w:tc>
          <w:tcPr>
            <w:tcW w:w="5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(loss) attributable to common stockholders – diluted</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(559)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4,500</w:t>
            </w:r>
          </w:p>
        </w:tc>
      </w:tr>
      <w:tr>
        <w:trPr>
          <w:trHeight w:val="85"/>
        </w:trPr>
        <w:tc>
          <w:tcPr>
            <w:tcW w:w="5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91"/>
        </w:trPr>
        <w:tc>
          <w:tcPr>
            <w:tcW w:w="5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Weighted-average common shares outstanding – diluted</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1,437</w:t>
            </w:r>
          </w:p>
        </w:tc>
      </w:tr>
      <w:tr>
        <w:trPr>
          <w:trHeight w:val="85"/>
        </w:trPr>
        <w:tc>
          <w:tcPr>
            <w:tcW w:w="5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91"/>
        </w:trPr>
        <w:tc>
          <w:tcPr>
            <w:tcW w:w="53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(loss) per common share</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3.13</w:t>
            </w:r>
          </w:p>
        </w:tc>
      </w:tr>
      <w:tr>
        <w:trPr>
          <w:trHeight w:val="183"/>
        </w:trPr>
        <w:tc>
          <w:tcPr>
            <w:tcW w:w="5300" w:type="dxa"/>
            <w:vAlign w:val="bottom"/>
          </w:tcPr>
          <w:p>
            <w:pPr>
              <w:ind w:left="140"/>
              <w:spacing w:after="0"/>
              <w:rPr>
                <w:sz w:val="20"/>
                <w:szCs w:val="20"/>
                <w:color w:val="auto"/>
              </w:rPr>
            </w:pPr>
            <w:r>
              <w:rPr>
                <w:rFonts w:ascii="Arial" w:cs="Arial" w:eastAsia="Arial" w:hAnsi="Arial"/>
                <w:sz w:val="11"/>
                <w:szCs w:val="11"/>
                <w:color w:val="auto"/>
              </w:rPr>
              <w:t>Potentially dilutive securities(a)</w:t>
            </w:r>
          </w:p>
        </w:tc>
        <w:tc>
          <w:tcPr>
            <w:tcW w:w="24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7</w:t>
            </w:r>
          </w:p>
        </w:tc>
      </w:tr>
      <w:tr>
        <w:trPr>
          <w:trHeight w:val="203"/>
        </w:trPr>
        <w:tc>
          <w:tcPr>
            <w:tcW w:w="5300" w:type="dxa"/>
            <w:vAlign w:val="bottom"/>
          </w:tcPr>
          <w:p>
            <w:pPr>
              <w:spacing w:after="0"/>
              <w:rPr>
                <w:sz w:val="20"/>
                <w:szCs w:val="20"/>
                <w:color w:val="auto"/>
              </w:rPr>
            </w:pPr>
            <w:r>
              <w:rPr>
                <w:rFonts w:ascii="Arial" w:cs="Arial" w:eastAsia="Arial" w:hAnsi="Arial"/>
                <w:sz w:val="11"/>
                <w:szCs w:val="11"/>
                <w:color w:val="auto"/>
              </w:rPr>
              <w:t>__________</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ind w:left="260" w:hanging="255"/>
        <w:spacing w:after="0" w:line="260" w:lineRule="auto"/>
        <w:tabs>
          <w:tab w:leader="none" w:pos="24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Performance Share Units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698" w:right="319" w:bottom="1440" w:gutter="0" w:footer="0" w:header="0"/>
        </w:sectPr>
      </w:pPr>
    </w:p>
    <w:bookmarkStart w:id="17" w:name="page18"/>
    <w:bookmarkEnd w:id="17"/>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June 30, 2020</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December 31, 2019</w:t>
            </w: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2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8"/>
                <w:szCs w:val="8"/>
                <w:b w:val="1"/>
                <w:bCs w:val="1"/>
                <w:color w:val="auto"/>
              </w:rPr>
              <w:t>Combined</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3"/>
        </w:trPr>
        <w:tc>
          <w:tcPr>
            <w:tcW w:w="2280" w:type="dxa"/>
            <w:vAlign w:val="bottom"/>
          </w:tcPr>
          <w:p>
            <w:pPr>
              <w:ind w:left="940"/>
              <w:spacing w:after="0"/>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20,499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1,216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6,512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28,228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13,409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2,349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3,311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19,069</w:t>
            </w:r>
          </w:p>
        </w:tc>
        <w:tc>
          <w:tcPr>
            <w:tcW w:w="0" w:type="dxa"/>
            <w:vAlign w:val="bottom"/>
          </w:tcPr>
          <w:p>
            <w:pPr>
              <w:spacing w:after="0"/>
              <w:rPr>
                <w:sz w:val="1"/>
                <w:szCs w:val="1"/>
                <w:color w:val="auto"/>
              </w:rPr>
            </w:pPr>
          </w:p>
        </w:tc>
      </w:tr>
      <w:tr>
        <w:trPr>
          <w:trHeight w:val="141"/>
        </w:trPr>
        <w:tc>
          <w:tcPr>
            <w:tcW w:w="2280" w:type="dxa"/>
            <w:vAlign w:val="bottom"/>
          </w:tcPr>
          <w:p>
            <w:pPr>
              <w:ind w:left="100"/>
              <w:spacing w:after="0"/>
              <w:rPr>
                <w:sz w:val="20"/>
                <w:szCs w:val="20"/>
                <w:color w:val="auto"/>
              </w:rPr>
            </w:pPr>
            <w:r>
              <w:rPr>
                <w:rFonts w:ascii="Arial" w:cs="Arial" w:eastAsia="Arial" w:hAnsi="Arial"/>
                <w:sz w:val="10"/>
                <w:szCs w:val="10"/>
                <w:color w:val="auto"/>
              </w:rPr>
              <w:t>Marketable debt securities(b)</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8,294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982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9,254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3,908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4,174</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net(c)</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7,515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2,085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(1,657)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7,946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6,614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1,004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6,797</w:t>
            </w:r>
          </w:p>
        </w:tc>
        <w:tc>
          <w:tcPr>
            <w:tcW w:w="0" w:type="dxa"/>
            <w:vAlign w:val="bottom"/>
          </w:tcPr>
          <w:p>
            <w:pPr>
              <w:spacing w:after="0"/>
              <w:rPr>
                <w:sz w:val="1"/>
                <w:szCs w:val="1"/>
                <w:color w:val="auto"/>
              </w:rPr>
            </w:pPr>
          </w:p>
        </w:tc>
      </w:tr>
      <w:tr>
        <w:trPr>
          <w:trHeight w:val="141"/>
        </w:trPr>
        <w:tc>
          <w:tcPr>
            <w:tcW w:w="2280" w:type="dxa"/>
            <w:vAlign w:val="bottom"/>
          </w:tcPr>
          <w:p>
            <w:pPr>
              <w:ind w:left="100"/>
              <w:spacing w:after="0"/>
              <w:rPr>
                <w:sz w:val="20"/>
                <w:szCs w:val="20"/>
                <w:color w:val="auto"/>
              </w:rPr>
            </w:pPr>
            <w:r>
              <w:rPr>
                <w:rFonts w:ascii="Arial" w:cs="Arial" w:eastAsia="Arial" w:hAnsi="Arial"/>
                <w:sz w:val="10"/>
                <w:szCs w:val="10"/>
                <w:color w:val="auto"/>
              </w:rPr>
              <w:t>GM Financial receivables, net(d)</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23,263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22,851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27,101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26,601</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10,277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10,280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10,398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10,398</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1,884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7,035</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8,938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2,517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5,424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7,953</w:t>
            </w: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48,469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38,895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87,497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36,846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36,841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74,992</w:t>
            </w:r>
          </w:p>
        </w:tc>
        <w:tc>
          <w:tcPr>
            <w:tcW w:w="0" w:type="dxa"/>
            <w:vAlign w:val="bottom"/>
          </w:tcPr>
          <w:p>
            <w:pPr>
              <w:spacing w:after="0"/>
              <w:rPr>
                <w:sz w:val="1"/>
                <w:szCs w:val="1"/>
                <w:color w:val="auto"/>
              </w:rPr>
            </w:pPr>
          </w:p>
        </w:tc>
      </w:tr>
      <w:tr>
        <w:trPr>
          <w:trHeight w:val="141"/>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GM Financial receivables, net(d)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28,999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28,999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26,372</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26,355</w:t>
            </w: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rPr>
                <w:sz w:val="20"/>
                <w:szCs w:val="20"/>
                <w:color w:val="auto"/>
              </w:rPr>
            </w:pPr>
            <w:r>
              <w:rPr>
                <w:rFonts w:ascii="Arial" w:cs="Arial" w:eastAsia="Arial" w:hAnsi="Arial"/>
                <w:sz w:val="10"/>
                <w:szCs w:val="10"/>
                <w:color w:val="auto"/>
              </w:rPr>
              <w:t>Equity in net assets of nonconsolidated affiliates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6,240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1,484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7,724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7,107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1,455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8,562</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36,726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203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37,066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38,374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38,750</w:t>
            </w:r>
          </w:p>
        </w:tc>
        <w:tc>
          <w:tcPr>
            <w:tcW w:w="0" w:type="dxa"/>
            <w:vAlign w:val="bottom"/>
          </w:tcPr>
          <w:p>
            <w:pPr>
              <w:spacing w:after="0"/>
              <w:rPr>
                <w:sz w:val="1"/>
                <w:szCs w:val="1"/>
                <w:color w:val="auto"/>
              </w:rPr>
            </w:pPr>
          </w:p>
        </w:tc>
      </w:tr>
      <w:tr>
        <w:trPr>
          <w:trHeight w:val="141"/>
        </w:trPr>
        <w:tc>
          <w:tcPr>
            <w:tcW w:w="2280" w:type="dxa"/>
            <w:vAlign w:val="bottom"/>
          </w:tcPr>
          <w:p>
            <w:pPr>
              <w:ind w:left="10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3,218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726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1,337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5,282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634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5,337</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39,601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39,601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42,055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42,055</w:t>
            </w:r>
          </w:p>
        </w:tc>
        <w:tc>
          <w:tcPr>
            <w:tcW w:w="0" w:type="dxa"/>
            <w:vAlign w:val="bottom"/>
          </w:tcPr>
          <w:p>
            <w:pPr>
              <w:spacing w:after="0"/>
              <w:rPr>
                <w:sz w:val="1"/>
                <w:szCs w:val="1"/>
                <w:color w:val="auto"/>
              </w:rPr>
            </w:pPr>
          </w:p>
        </w:tc>
      </w:tr>
      <w:tr>
        <w:trPr>
          <w:trHeight w:val="141"/>
        </w:trPr>
        <w:tc>
          <w:tcPr>
            <w:tcW w:w="2280" w:type="dxa"/>
            <w:vAlign w:val="bottom"/>
          </w:tcPr>
          <w:p>
            <w:pPr>
              <w:ind w:left="10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24,301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471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24,654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24,582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345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(287)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24,640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5,617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401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752</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6,712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6,123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413</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863</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7,346</w:t>
            </w:r>
          </w:p>
        </w:tc>
        <w:tc>
          <w:tcPr>
            <w:tcW w:w="0" w:type="dxa"/>
            <w:vAlign w:val="bottom"/>
          </w:tcPr>
          <w:p>
            <w:pPr>
              <w:spacing w:after="0"/>
              <w:rPr>
                <w:sz w:val="1"/>
                <w:szCs w:val="1"/>
                <w:color w:val="auto"/>
              </w:rPr>
            </w:pPr>
          </w:p>
        </w:tc>
      </w:tr>
      <w:tr>
        <w:trPr>
          <w:trHeight w:val="139"/>
        </w:trPr>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76,104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1,735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72,259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150,038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79,533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1,542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72,040</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153,045</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124,573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3,963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111,154</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(2,155)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237,535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4,230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rPr>
                <w:sz w:val="20"/>
                <w:szCs w:val="20"/>
                <w:color w:val="auto"/>
              </w:rPr>
            </w:pPr>
            <w:r>
              <w:rPr>
                <w:rFonts w:ascii="Arial" w:cs="Arial" w:eastAsia="Arial" w:hAnsi="Arial"/>
                <w:sz w:val="10"/>
                <w:szCs w:val="10"/>
                <w:color w:val="auto"/>
              </w:rPr>
              <w:t>Accounts payable (principally trade)(b)(c)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15,166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648</w:t>
            </w:r>
          </w:p>
        </w:tc>
        <w:tc>
          <w:tcPr>
            <w:tcW w:w="10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(719)</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15,154</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21,101</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109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644</w:t>
            </w:r>
          </w:p>
        </w:tc>
        <w:tc>
          <w:tcPr>
            <w:tcW w:w="10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(836)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21,018</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Short-term debt and current portion of long-term</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240"/>
              <w:spacing w:after="0"/>
              <w:rPr>
                <w:sz w:val="20"/>
                <w:szCs w:val="20"/>
                <w:color w:val="auto"/>
              </w:rPr>
            </w:pPr>
            <w:r>
              <w:rPr>
                <w:rFonts w:ascii="Arial" w:cs="Arial" w:eastAsia="Arial" w:hAnsi="Arial"/>
                <w:sz w:val="10"/>
                <w:szCs w:val="10"/>
                <w:color w:val="auto"/>
              </w:rPr>
              <w:t>Automotive (c)(d)</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4,063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(1,353)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2,710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2,397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1,897</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37,313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37,313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35,503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35,503</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17,701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152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4,879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22,727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22,493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3,916</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26,487</w:t>
            </w: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36,929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42,841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77,904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45,990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40,064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84,905</w:t>
            </w:r>
          </w:p>
        </w:tc>
        <w:tc>
          <w:tcPr>
            <w:tcW w:w="0" w:type="dxa"/>
            <w:vAlign w:val="bottom"/>
          </w:tcPr>
          <w:p>
            <w:pPr>
              <w:spacing w:after="0"/>
              <w:rPr>
                <w:sz w:val="1"/>
                <w:szCs w:val="1"/>
                <w:color w:val="auto"/>
              </w:rPr>
            </w:pPr>
          </w:p>
        </w:tc>
      </w:tr>
      <w:tr>
        <w:trPr>
          <w:trHeight w:val="141"/>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240"/>
              <w:spacing w:after="0"/>
              <w:rPr>
                <w:sz w:val="20"/>
                <w:szCs w:val="20"/>
                <w:color w:val="auto"/>
              </w:rPr>
            </w:pPr>
            <w:r>
              <w:rPr>
                <w:rFonts w:ascii="Arial" w:cs="Arial" w:eastAsia="Arial" w:hAnsi="Arial"/>
                <w:sz w:val="10"/>
                <w:szCs w:val="10"/>
                <w:color w:val="auto"/>
              </w:rPr>
              <w:t>Automotive(d)</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32,211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32,211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12,507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12,489</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54,939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54,939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53,435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53,435</w:t>
            </w: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5,836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5,836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5,935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5,935</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11,245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11,249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12,166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12,170</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9,600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1,841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11,903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10,518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505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2,176</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13,146</w:t>
            </w: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58,892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521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56,783</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116,138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41,126</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505</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55,615</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(71)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97,175</w:t>
            </w:r>
          </w:p>
        </w:tc>
        <w:tc>
          <w:tcPr>
            <w:tcW w:w="0" w:type="dxa"/>
            <w:vAlign w:val="bottom"/>
          </w:tcPr>
          <w:p>
            <w:pPr>
              <w:spacing w:after="0"/>
              <w:rPr>
                <w:sz w:val="1"/>
                <w:szCs w:val="1"/>
                <w:color w:val="auto"/>
              </w:rPr>
            </w:pPr>
          </w:p>
        </w:tc>
      </w:tr>
      <w:tr>
        <w:trPr>
          <w:trHeight w:val="132"/>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1"/>
                <w:szCs w:val="11"/>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95,821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732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99,625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(2,134)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194,042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87,114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697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95,679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(1,410)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182,080</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41"/>
        </w:trPr>
        <w:tc>
          <w:tcPr>
            <w:tcW w:w="228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26,099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1,238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26,087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26,095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1,283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26,074</w:t>
            </w:r>
          </w:p>
        </w:tc>
        <w:tc>
          <w:tcPr>
            <w:tcW w:w="0" w:type="dxa"/>
            <w:vAlign w:val="bottom"/>
          </w:tcPr>
          <w:p>
            <w:pPr>
              <w:spacing w:after="0"/>
              <w:rPr>
                <w:sz w:val="1"/>
                <w:szCs w:val="1"/>
                <w:color w:val="auto"/>
              </w:rPr>
            </w:pPr>
          </w:p>
        </w:tc>
      </w:tr>
      <w:tr>
        <w:trPr>
          <w:trHeight w:val="141"/>
        </w:trPr>
        <w:tc>
          <w:tcPr>
            <w:tcW w:w="228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11,941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1,239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11,930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25,104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12,303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1"/>
              <w:spacing w:after="0"/>
              <w:rPr>
                <w:sz w:val="20"/>
                <w:szCs w:val="20"/>
                <w:color w:val="auto"/>
              </w:rPr>
            </w:pPr>
            <w:r>
              <w:rPr>
                <w:rFonts w:ascii="Arial" w:cs="Arial" w:eastAsia="Arial" w:hAnsi="Arial"/>
                <w:sz w:val="10"/>
                <w:szCs w:val="10"/>
                <w:color w:val="auto"/>
              </w:rPr>
              <w:t>1,566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13,013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26,860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(10,263)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(1,638)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(11,901)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(10,062)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(11,156)</w:t>
            </w:r>
          </w:p>
        </w:tc>
        <w:tc>
          <w:tcPr>
            <w:tcW w:w="0" w:type="dxa"/>
            <w:vAlign w:val="bottom"/>
          </w:tcPr>
          <w:p>
            <w:pPr>
              <w:spacing w:after="0"/>
              <w:rPr>
                <w:sz w:val="1"/>
                <w:szCs w:val="1"/>
                <w:color w:val="auto"/>
              </w:rPr>
            </w:pPr>
          </w:p>
        </w:tc>
      </w:tr>
      <w:tr>
        <w:trPr>
          <w:trHeight w:val="139"/>
        </w:trPr>
        <w:tc>
          <w:tcPr>
            <w:tcW w:w="228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27,790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1,303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11,529</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(1,320)</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39,304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28,348</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1,617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13,202</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(1,376)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41,792</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961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1,301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1,331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4,165</w:t>
            </w:r>
          </w:p>
        </w:tc>
        <w:tc>
          <w:tcPr>
            <w:tcW w:w="0" w:type="dxa"/>
            <w:vAlign w:val="bottom"/>
          </w:tcPr>
          <w:p>
            <w:pPr>
              <w:spacing w:after="0"/>
              <w:rPr>
                <w:sz w:val="1"/>
                <w:szCs w:val="1"/>
                <w:color w:val="auto"/>
              </w:rPr>
            </w:pPr>
          </w:p>
        </w:tc>
      </w:tr>
      <w:tr>
        <w:trPr>
          <w:trHeight w:val="132"/>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28,752</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3,231</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11,529</w:t>
            </w:r>
          </w:p>
        </w:tc>
        <w:tc>
          <w:tcPr>
            <w:tcW w:w="10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(19)</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43,493</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29,266</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3,533</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13,202</w:t>
            </w:r>
          </w:p>
        </w:tc>
        <w:tc>
          <w:tcPr>
            <w:tcW w:w="10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(43)</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45,957</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124,573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3,963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111,154</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(2,155)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237,535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4,230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8"/>
                <w:szCs w:val="8"/>
                <w:color w:val="auto"/>
              </w:rPr>
              <w:t>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Includes $505 million of marketable debt securities pending cash settlement and the related payable at June 30, 2020.</w:t>
      </w:r>
    </w:p>
    <w:p>
      <w:pPr>
        <w:spacing w:after="0" w:line="3" w:lineRule="exact"/>
        <w:rPr>
          <w:rFonts w:ascii="Arial" w:cs="Arial" w:eastAsia="Arial" w:hAnsi="Arial"/>
          <w:sz w:val="8"/>
          <w:szCs w:val="8"/>
          <w:color w:val="auto"/>
        </w:rPr>
      </w:pPr>
    </w:p>
    <w:p>
      <w:pPr>
        <w:ind w:left="260" w:hanging="255"/>
        <w:spacing w:after="0" w:line="249" w:lineRule="auto"/>
        <w:tabs>
          <w:tab w:leader="none" w:pos="253"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(1) $895 million in intercompany loans for amounts funded to Automotive segments for subvention owed to GM Financial at June 30, 2020; (2) GM Financial accounts and notes receivable of $673 million offset by Automotive accounts and loans payable at June 30, 2020; and (3) GM Financial accounts receivable of $678 million offset by Automotive accounts payable and Automotive accounts receivable of $78 million offset by GM Financial accounts payable at December 31, 2019.</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include GM Financial loan receivable of $412 million and $517 million offset by an Automotive loan payable at June 30, 2020 and December 31, 2019.</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and B. The preferred stock is classified as noncontrolling interests in our condensed consolidated balance sheet.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698" w:right="319" w:bottom="1440" w:gutter="0" w:footer="0" w:header="0"/>
        </w:sectPr>
      </w:pPr>
    </w:p>
    <w:bookmarkStart w:id="18" w:name="page19"/>
    <w:bookmarkEnd w:id="18"/>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0"/>
                <w:szCs w:val="10"/>
                <w:b w:val="1"/>
                <w:bCs w:val="1"/>
                <w:color w:val="auto"/>
              </w:rPr>
              <w:t>Six Months Ended June 30, 2020</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0"/>
                <w:szCs w:val="10"/>
                <w:b w:val="1"/>
                <w:bCs w:val="1"/>
                <w:color w:val="auto"/>
              </w:rPr>
              <w:t>Six Months Ended June 30, 2019</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400" w:type="dxa"/>
            <w:vAlign w:val="bottom"/>
          </w:tcPr>
          <w:p>
            <w:pPr>
              <w:jc w:val="right"/>
              <w:ind w:right="31"/>
              <w:spacing w:after="0"/>
              <w:rPr>
                <w:sz w:val="20"/>
                <w:szCs w:val="20"/>
                <w:color w:val="auto"/>
              </w:rPr>
            </w:pPr>
            <w:r>
              <w:rPr>
                <w:rFonts w:ascii="Arial" w:cs="Arial" w:eastAsia="Arial" w:hAnsi="Arial"/>
                <w:sz w:val="8"/>
                <w:szCs w:val="8"/>
                <w:b w:val="1"/>
                <w:bCs w:val="1"/>
                <w:color w:val="auto"/>
              </w:rPr>
              <w:t>Cruise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380" w:type="dxa"/>
            <w:vAlign w:val="bottom"/>
          </w:tcPr>
          <w:p>
            <w:pPr>
              <w:jc w:val="right"/>
              <w:ind w:right="31"/>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2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42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341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4,209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683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4,548</w:t>
            </w:r>
          </w:p>
        </w:tc>
        <w:tc>
          <w:tcPr>
            <w:tcW w:w="0" w:type="dxa"/>
            <w:vAlign w:val="bottom"/>
          </w:tcPr>
          <w:p>
            <w:pPr>
              <w:spacing w:after="0"/>
              <w:rPr>
                <w:sz w:val="1"/>
                <w:szCs w:val="1"/>
                <w:color w:val="auto"/>
              </w:rPr>
            </w:pPr>
          </w:p>
        </w:tc>
      </w:tr>
      <w:tr>
        <w:trPr>
          <w:trHeight w:val="101"/>
        </w:trPr>
        <w:tc>
          <w:tcPr>
            <w:tcW w:w="2420" w:type="dxa"/>
            <w:vAlign w:val="bottom"/>
          </w:tcPr>
          <w:p>
            <w:pPr>
              <w:ind w:left="120"/>
              <w:spacing w:after="0" w:line="102" w:lineRule="exact"/>
              <w:rPr>
                <w:sz w:val="20"/>
                <w:szCs w:val="20"/>
                <w:color w:val="auto"/>
              </w:rPr>
            </w:pPr>
            <w:r>
              <w:rPr>
                <w:rFonts w:ascii="Arial" w:cs="Arial" w:eastAsia="Arial" w:hAnsi="Arial"/>
                <w:sz w:val="10"/>
                <w:szCs w:val="10"/>
                <w:color w:val="auto"/>
              </w:rPr>
              <w:t>Depreciation and impairment of Equipment on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00" w:type="dxa"/>
            <w:vAlign w:val="bottom"/>
          </w:tcPr>
          <w:p>
            <w:pPr>
              <w:spacing w:after="0"/>
              <w:rPr>
                <w:sz w:val="10"/>
                <w:szCs w:val="10"/>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3,718</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3,759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3,710</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3,748</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Depreciation, amortization and impairment charges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on Property, net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2,760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2,814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3,775</w:t>
            </w:r>
          </w:p>
        </w:tc>
        <w:tc>
          <w:tcPr>
            <w:tcW w:w="0" w:type="dxa"/>
            <w:vAlign w:val="bottom"/>
          </w:tcPr>
          <w:p>
            <w:pPr>
              <w:spacing w:after="0"/>
              <w:rPr>
                <w:sz w:val="1"/>
                <w:szCs w:val="1"/>
                <w:color w:val="auto"/>
              </w:rPr>
            </w:pPr>
          </w:p>
        </w:tc>
      </w:tr>
      <w:tr>
        <w:trPr>
          <w:trHeight w:val="101"/>
        </w:trPr>
        <w:tc>
          <w:tcPr>
            <w:tcW w:w="2420" w:type="dxa"/>
            <w:vAlign w:val="bottom"/>
          </w:tcPr>
          <w:p>
            <w:pPr>
              <w:ind w:left="120"/>
              <w:spacing w:after="0" w:line="102" w:lineRule="exact"/>
              <w:rPr>
                <w:sz w:val="20"/>
                <w:szCs w:val="20"/>
                <w:color w:val="auto"/>
              </w:rPr>
            </w:pPr>
            <w:r>
              <w:rPr>
                <w:rFonts w:ascii="Arial" w:cs="Arial" w:eastAsia="Arial" w:hAnsi="Arial"/>
                <w:sz w:val="10"/>
                <w:szCs w:val="10"/>
                <w:color w:val="auto"/>
              </w:rPr>
              <w:t>Foreign currency remeasurement and transaction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40"/>
              <w:spacing w:after="0"/>
              <w:rPr>
                <w:sz w:val="20"/>
                <w:szCs w:val="20"/>
                <w:color w:val="auto"/>
              </w:rPr>
            </w:pPr>
            <w:r>
              <w:rPr>
                <w:rFonts w:ascii="Arial" w:cs="Arial" w:eastAsia="Arial" w:hAnsi="Arial"/>
                <w:sz w:val="10"/>
                <w:szCs w:val="10"/>
                <w:color w:val="auto"/>
              </w:rPr>
              <w:t>gains</w:t>
            </w:r>
          </w:p>
        </w:tc>
        <w:tc>
          <w:tcPr>
            <w:tcW w:w="10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(174)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Undistributed earnings of nonconsolidated affiliates,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256</w:t>
            </w: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(327)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(327)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(570)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(570)</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(306)</w:t>
            </w: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86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Change in other operating assets and liabilities(b)</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(c)(d)</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(9,552)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37</w:t>
            </w: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2,699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(6,847)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(5,693)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83</w:t>
            </w: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(224)</w:t>
            </w:r>
          </w:p>
        </w:tc>
        <w:tc>
          <w:tcPr>
            <w:tcW w:w="1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(522)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(6,357)</w:t>
            </w:r>
          </w:p>
        </w:tc>
        <w:tc>
          <w:tcPr>
            <w:tcW w:w="0" w:type="dxa"/>
            <w:vAlign w:val="bottom"/>
          </w:tcPr>
          <w:p>
            <w:pPr>
              <w:spacing w:after="0"/>
              <w:rPr>
                <w:sz w:val="1"/>
                <w:szCs w:val="1"/>
                <w:color w:val="auto"/>
              </w:rPr>
            </w:pPr>
          </w:p>
        </w:tc>
      </w:tr>
      <w:tr>
        <w:trPr>
          <w:trHeight w:val="132"/>
        </w:trPr>
        <w:tc>
          <w:tcPr>
            <w:tcW w:w="2420" w:type="dxa"/>
            <w:vAlign w:val="bottom"/>
          </w:tcPr>
          <w:p>
            <w:pPr>
              <w:ind w:left="20"/>
              <w:spacing w:after="0"/>
              <w:rPr>
                <w:sz w:val="20"/>
                <w:szCs w:val="20"/>
                <w:color w:val="auto"/>
              </w:rPr>
            </w:pPr>
            <w:r>
              <w:rPr>
                <w:rFonts w:ascii="Arial" w:cs="Arial" w:eastAsia="Arial" w:hAnsi="Arial"/>
                <w:sz w:val="10"/>
                <w:szCs w:val="10"/>
                <w:b w:val="1"/>
                <w:bCs w:val="1"/>
                <w:color w:val="auto"/>
                <w:w w:val="99"/>
              </w:rPr>
              <w:t>Net cash provided by (used in) operating activities</w:t>
            </w:r>
          </w:p>
        </w:tc>
        <w:tc>
          <w:tcPr>
            <w:tcW w:w="100" w:type="dxa"/>
            <w:vAlign w:val="bottom"/>
          </w:tcPr>
          <w:p>
            <w:pPr>
              <w:spacing w:after="0"/>
              <w:rPr>
                <w:sz w:val="11"/>
                <w:szCs w:val="11"/>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(7,659)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4,079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jc w:val="right"/>
              <w:ind w:right="91"/>
              <w:spacing w:after="0"/>
              <w:rPr>
                <w:sz w:val="20"/>
                <w:szCs w:val="20"/>
                <w:color w:val="auto"/>
              </w:rPr>
            </w:pPr>
            <w:r>
              <w:rPr>
                <w:rFonts w:ascii="Arial" w:cs="Arial" w:eastAsia="Arial" w:hAnsi="Arial"/>
                <w:sz w:val="10"/>
                <w:szCs w:val="10"/>
                <w:color w:val="auto"/>
              </w:rPr>
              <w:t>2,711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(1,254)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1,606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(367)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4,293</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ind w:right="71"/>
              <w:spacing w:after="0"/>
              <w:rPr>
                <w:sz w:val="20"/>
                <w:szCs w:val="20"/>
                <w:color w:val="auto"/>
              </w:rPr>
            </w:pPr>
            <w:r>
              <w:rPr>
                <w:rFonts w:ascii="Arial" w:cs="Arial" w:eastAsia="Arial" w:hAnsi="Arial"/>
                <w:sz w:val="10"/>
                <w:szCs w:val="10"/>
                <w:color w:val="auto"/>
              </w:rPr>
              <w:t>(538)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4,995</w:t>
            </w: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(2,312)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(2,336)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(3,428)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(3,476)</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Available-for-sale marketable securities,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(5,948)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(7,656)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(2,213)</w:t>
            </w: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w w:val="99"/>
              </w:rPr>
              <w:t>Available-for-sale marketable securities, liquidations</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2,674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1,038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2"/>
                <w:szCs w:val="12"/>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3,694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1,244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2"/>
                <w:szCs w:val="12"/>
                <w:color w:val="auto"/>
              </w:rPr>
            </w:pPr>
          </w:p>
        </w:tc>
        <w:tc>
          <w:tcPr>
            <w:tcW w:w="480" w:type="dxa"/>
            <w:vAlign w:val="bottom"/>
          </w:tcPr>
          <w:p>
            <w:pPr>
              <w:jc w:val="right"/>
              <w:ind w:right="71"/>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1,244</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net(b)(c)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(16,003)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(14,929)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(14,670)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(13,757)</w:t>
            </w:r>
          </w:p>
        </w:tc>
        <w:tc>
          <w:tcPr>
            <w:tcW w:w="0" w:type="dxa"/>
            <w:vAlign w:val="bottom"/>
          </w:tcPr>
          <w:p>
            <w:pPr>
              <w:spacing w:after="0"/>
              <w:rPr>
                <w:sz w:val="1"/>
                <w:szCs w:val="1"/>
                <w:color w:val="auto"/>
              </w:rPr>
            </w:pPr>
          </w:p>
        </w:tc>
      </w:tr>
      <w:tr>
        <w:trPr>
          <w:trHeight w:val="101"/>
        </w:trPr>
        <w:tc>
          <w:tcPr>
            <w:tcW w:w="2420" w:type="dxa"/>
            <w:vAlign w:val="bottom"/>
          </w:tcPr>
          <w:p>
            <w:pPr>
              <w:ind w:left="120"/>
              <w:spacing w:after="0" w:line="102" w:lineRule="exact"/>
              <w:rPr>
                <w:sz w:val="20"/>
                <w:szCs w:val="20"/>
                <w:color w:val="auto"/>
              </w:rPr>
            </w:pPr>
            <w:r>
              <w:rPr>
                <w:rFonts w:ascii="Arial" w:cs="Arial" w:eastAsia="Arial" w:hAnsi="Arial"/>
                <w:sz w:val="10"/>
                <w:szCs w:val="10"/>
                <w:color w:val="auto"/>
              </w:rPr>
              <w:t>Principal collections and recoveries on finance</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40"/>
              <w:spacing w:after="0"/>
              <w:rPr>
                <w:sz w:val="20"/>
                <w:szCs w:val="20"/>
                <w:color w:val="auto"/>
              </w:rPr>
            </w:pPr>
            <w:r>
              <w:rPr>
                <w:rFonts w:ascii="Arial" w:cs="Arial" w:eastAsia="Arial" w:hAnsi="Arial"/>
                <w:sz w:val="10"/>
                <w:szCs w:val="10"/>
                <w:color w:val="auto"/>
              </w:rPr>
              <w:t>receivables(b)(c)</w:t>
            </w:r>
          </w:p>
        </w:tc>
        <w:tc>
          <w:tcPr>
            <w:tcW w:w="10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13,314</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(3,751)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9,563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12,096</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jc w:val="right"/>
              <w:ind w:right="71"/>
              <w:spacing w:after="0"/>
              <w:rPr>
                <w:sz w:val="20"/>
                <w:szCs w:val="20"/>
                <w:color w:val="auto"/>
              </w:rPr>
            </w:pPr>
            <w:r>
              <w:rPr>
                <w:rFonts w:ascii="Arial" w:cs="Arial" w:eastAsia="Arial" w:hAnsi="Arial"/>
                <w:sz w:val="10"/>
                <w:szCs w:val="10"/>
                <w:color w:val="auto"/>
              </w:rPr>
              <w:t>(388)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11,708</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(6,054)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(6,054)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(8,189)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(8,189)</w:t>
            </w: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5,537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5,537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6,444</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6,444</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(587)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32"/>
        </w:trPr>
        <w:tc>
          <w:tcPr>
            <w:tcW w:w="2420" w:type="dxa"/>
            <w:vAlign w:val="bottom"/>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(5,588)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(748)</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(3,223)</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(2,777)</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(12,336)</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(4,083)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(897)</w:t>
            </w: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(4,349)</w:t>
            </w: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1,190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(8,140)</w:t>
            </w: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Net increase in short-term debt(c)</w:t>
            </w:r>
          </w:p>
        </w:tc>
        <w:tc>
          <w:tcPr>
            <w:tcW w:w="100" w:type="dxa"/>
            <w:vAlign w:val="bottom"/>
          </w:tcPr>
          <w:p>
            <w:pPr>
              <w:spacing w:after="0"/>
              <w:rPr>
                <w:sz w:val="12"/>
                <w:szCs w:val="12"/>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965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821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(940)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693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243</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936</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Proceeds from issuance of debt (original maturities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21,103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32,361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53,465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986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19,525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20,511</w:t>
            </w:r>
          </w:p>
        </w:tc>
        <w:tc>
          <w:tcPr>
            <w:tcW w:w="0" w:type="dxa"/>
            <w:vAlign w:val="bottom"/>
          </w:tcPr>
          <w:p>
            <w:pPr>
              <w:spacing w:after="0"/>
              <w:rPr>
                <w:sz w:val="1"/>
                <w:szCs w:val="1"/>
                <w:color w:val="auto"/>
              </w:rPr>
            </w:pPr>
          </w:p>
        </w:tc>
      </w:tr>
      <w:tr>
        <w:trPr>
          <w:trHeight w:val="101"/>
        </w:trPr>
        <w:tc>
          <w:tcPr>
            <w:tcW w:w="2420" w:type="dxa"/>
            <w:vAlign w:val="bottom"/>
          </w:tcPr>
          <w:p>
            <w:pPr>
              <w:ind w:left="120"/>
              <w:spacing w:after="0" w:line="102" w:lineRule="exact"/>
              <w:rPr>
                <w:sz w:val="20"/>
                <w:szCs w:val="20"/>
                <w:color w:val="auto"/>
              </w:rPr>
            </w:pPr>
            <w:r>
              <w:rPr>
                <w:rFonts w:ascii="Arial" w:cs="Arial" w:eastAsia="Arial" w:hAnsi="Arial"/>
                <w:sz w:val="10"/>
                <w:szCs w:val="10"/>
                <w:color w:val="auto"/>
              </w:rPr>
              <w:t>Payments on debt (original maturities greater than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0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(479)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(29,197)</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jc w:val="right"/>
              <w:ind w:right="91"/>
              <w:spacing w:after="0"/>
              <w:rPr>
                <w:sz w:val="20"/>
                <w:szCs w:val="20"/>
                <w:color w:val="auto"/>
              </w:rPr>
            </w:pPr>
            <w:r>
              <w:rPr>
                <w:rFonts w:ascii="Arial" w:cs="Arial" w:eastAsia="Arial" w:hAnsi="Arial"/>
                <w:sz w:val="10"/>
                <w:szCs w:val="10"/>
                <w:color w:val="auto"/>
              </w:rPr>
              <w:t>164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(29,512)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(20,402)</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(20,625)</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issuance of preferred stock(e)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(687)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414</w:t>
            </w:r>
          </w:p>
        </w:tc>
        <w:tc>
          <w:tcPr>
            <w:tcW w:w="0" w:type="dxa"/>
            <w:vAlign w:val="bottom"/>
          </w:tcPr>
          <w:p>
            <w:pPr>
              <w:spacing w:after="0"/>
              <w:rPr>
                <w:sz w:val="1"/>
                <w:szCs w:val="1"/>
                <w:color w:val="auto"/>
              </w:rPr>
            </w:pPr>
          </w:p>
        </w:tc>
      </w:tr>
      <w:tr>
        <w:trPr>
          <w:trHeight w:val="141"/>
        </w:trPr>
        <w:tc>
          <w:tcPr>
            <w:tcW w:w="2420" w:type="dxa"/>
            <w:vAlign w:val="bottom"/>
          </w:tcPr>
          <w:p>
            <w:pPr>
              <w:ind w:left="120"/>
              <w:spacing w:after="0"/>
              <w:rPr>
                <w:sz w:val="20"/>
                <w:szCs w:val="20"/>
                <w:color w:val="auto"/>
              </w:rPr>
            </w:pPr>
            <w:r>
              <w:rPr>
                <w:rFonts w:ascii="Arial" w:cs="Arial" w:eastAsia="Arial" w:hAnsi="Arial"/>
                <w:sz w:val="10"/>
                <w:szCs w:val="10"/>
                <w:color w:val="auto"/>
              </w:rPr>
              <w:t>Dividends paid(d)</w:t>
            </w: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(547)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(845)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jc w:val="right"/>
              <w:ind w:right="91"/>
              <w:spacing w:after="0"/>
              <w:rPr>
                <w:sz w:val="20"/>
                <w:szCs w:val="20"/>
                <w:color w:val="auto"/>
              </w:rPr>
            </w:pPr>
            <w:r>
              <w:rPr>
                <w:rFonts w:ascii="Arial" w:cs="Arial" w:eastAsia="Arial" w:hAnsi="Arial"/>
                <w:sz w:val="10"/>
                <w:szCs w:val="10"/>
                <w:color w:val="auto"/>
              </w:rPr>
              <w:t>800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(592)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(1,109)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(1,184)</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(438)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(491)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(215)</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(78)</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32"/>
        </w:trPr>
        <w:tc>
          <w:tcPr>
            <w:tcW w:w="2420" w:type="dxa"/>
            <w:vAlign w:val="bottom"/>
          </w:tcPr>
          <w:p>
            <w:pPr>
              <w:ind w:left="20"/>
              <w:spacing w:after="0"/>
              <w:rPr>
                <w:sz w:val="20"/>
                <w:szCs w:val="20"/>
                <w:color w:val="auto"/>
              </w:rPr>
            </w:pPr>
            <w:r>
              <w:rPr>
                <w:rFonts w:ascii="Arial" w:cs="Arial" w:eastAsia="Arial" w:hAnsi="Arial"/>
                <w:sz w:val="10"/>
                <w:szCs w:val="10"/>
                <w:b w:val="1"/>
                <w:bCs w:val="1"/>
                <w:color w:val="auto"/>
                <w:w w:val="99"/>
              </w:rPr>
              <w:t>Net cash provided by (used in) financing activities</w:t>
            </w:r>
          </w:p>
        </w:tc>
        <w:tc>
          <w:tcPr>
            <w:tcW w:w="100" w:type="dxa"/>
            <w:vAlign w:val="bottom"/>
          </w:tcPr>
          <w:p>
            <w:pPr>
              <w:spacing w:after="0"/>
              <w:rPr>
                <w:sz w:val="11"/>
                <w:szCs w:val="11"/>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20,605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3,044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jc w:val="right"/>
              <w:ind w:right="91"/>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23,716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1,066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(758)</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ind w:right="71"/>
              <w:spacing w:after="0"/>
              <w:rPr>
                <w:sz w:val="20"/>
                <w:szCs w:val="20"/>
                <w:color w:val="auto"/>
              </w:rPr>
            </w:pPr>
            <w:r>
              <w:rPr>
                <w:rFonts w:ascii="Arial" w:cs="Arial" w:eastAsia="Arial" w:hAnsi="Arial"/>
                <w:sz w:val="10"/>
                <w:szCs w:val="10"/>
                <w:color w:val="auto"/>
              </w:rPr>
              <w:t>(652)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Effect of exchange rate changes on cash, cash</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equivalents and restricted cash</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81"/>
        </w:trPr>
        <w:tc>
          <w:tcPr>
            <w:tcW w:w="2420" w:type="dxa"/>
            <w:vAlign w:val="bottom"/>
          </w:tcPr>
          <w:p>
            <w:pPr>
              <w:ind w:left="120"/>
              <w:spacing w:after="0" w:line="82" w:lineRule="exact"/>
              <w:rPr>
                <w:sz w:val="20"/>
                <w:szCs w:val="20"/>
                <w:color w:val="auto"/>
              </w:rPr>
            </w:pPr>
            <w:r>
              <w:rPr>
                <w:rFonts w:ascii="Arial" w:cs="Arial" w:eastAsia="Arial" w:hAnsi="Arial"/>
                <w:sz w:val="9"/>
                <w:szCs w:val="9"/>
                <w:color w:val="auto"/>
              </w:rPr>
              <w:t>Net increase (decrease) in cash, cash equivalents</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40"/>
              <w:spacing w:after="0"/>
              <w:rPr>
                <w:sz w:val="20"/>
                <w:szCs w:val="20"/>
                <w:color w:val="auto"/>
              </w:rPr>
            </w:pPr>
            <w:r>
              <w:rPr>
                <w:rFonts w:ascii="Arial" w:cs="Arial" w:eastAsia="Arial" w:hAnsi="Arial"/>
                <w:sz w:val="10"/>
                <w:szCs w:val="10"/>
                <w:color w:val="auto"/>
              </w:rPr>
              <w:t>and restricted cash</w:t>
            </w:r>
          </w:p>
        </w:tc>
        <w:tc>
          <w:tcPr>
            <w:tcW w:w="100" w:type="dxa"/>
            <w:vAlign w:val="bottom"/>
          </w:tcPr>
          <w:p>
            <w:pPr>
              <w:spacing w:after="0"/>
              <w:rPr>
                <w:sz w:val="10"/>
                <w:szCs w:val="10"/>
                <w:color w:val="auto"/>
              </w:rPr>
            </w:pP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7,077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(1,132)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91"/>
              <w:spacing w:after="0"/>
              <w:rPr>
                <w:sz w:val="20"/>
                <w:szCs w:val="20"/>
                <w:color w:val="auto"/>
              </w:rPr>
            </w:pPr>
            <w:r>
              <w:rPr>
                <w:rFonts w:ascii="Arial" w:cs="Arial" w:eastAsia="Arial" w:hAnsi="Arial"/>
                <w:sz w:val="10"/>
                <w:szCs w:val="10"/>
                <w:color w:val="auto"/>
              </w:rPr>
              <w:t>3,751</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9,697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(2,325)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(792)</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(3,315)</w:t>
            </w:r>
          </w:p>
        </w:tc>
        <w:tc>
          <w:tcPr>
            <w:tcW w:w="0" w:type="dxa"/>
            <w:vAlign w:val="bottom"/>
          </w:tcPr>
          <w:p>
            <w:pPr>
              <w:spacing w:after="0"/>
              <w:rPr>
                <w:sz w:val="1"/>
                <w:szCs w:val="1"/>
                <w:color w:val="auto"/>
              </w:rPr>
            </w:pPr>
          </w:p>
        </w:tc>
      </w:tr>
      <w:tr>
        <w:trPr>
          <w:trHeight w:val="109"/>
        </w:trPr>
        <w:tc>
          <w:tcPr>
            <w:tcW w:w="242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Cash, cash equivalents and restricted cash at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2,355</w:t>
            </w: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7,102</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22,943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13,762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2,291</w:t>
            </w: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7,443</w:t>
            </w:r>
          </w:p>
        </w:tc>
        <w:tc>
          <w:tcPr>
            <w:tcW w:w="1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23,496</w:t>
            </w:r>
          </w:p>
        </w:tc>
        <w:tc>
          <w:tcPr>
            <w:tcW w:w="0" w:type="dxa"/>
            <w:vAlign w:val="bottom"/>
          </w:tcPr>
          <w:p>
            <w:pPr>
              <w:spacing w:after="0"/>
              <w:rPr>
                <w:sz w:val="1"/>
                <w:szCs w:val="1"/>
                <w:color w:val="auto"/>
              </w:rPr>
            </w:pPr>
          </w:p>
        </w:tc>
      </w:tr>
      <w:tr>
        <w:trPr>
          <w:trHeight w:val="75"/>
        </w:trPr>
        <w:tc>
          <w:tcPr>
            <w:tcW w:w="242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Cash, cash equivalents and restricted cash at end</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91"/>
              <w:spacing w:after="0"/>
              <w:rPr>
                <w:sz w:val="20"/>
                <w:szCs w:val="20"/>
                <w:color w:val="auto"/>
              </w:rPr>
            </w:pPr>
            <w:r>
              <w:rPr>
                <w:rFonts w:ascii="Arial" w:cs="Arial" w:eastAsia="Arial" w:hAnsi="Arial"/>
                <w:sz w:val="10"/>
                <w:szCs w:val="10"/>
                <w:color w:val="auto"/>
              </w:rPr>
              <w:t>20,563</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vMerge w:val="restart"/>
          </w:tcPr>
          <w:p>
            <w:pPr>
              <w:jc w:val="right"/>
              <w:ind w:right="11"/>
              <w:spacing w:after="0"/>
              <w:rPr>
                <w:sz w:val="20"/>
                <w:szCs w:val="20"/>
                <w:color w:val="auto"/>
              </w:rPr>
            </w:pPr>
            <w:r>
              <w:rPr>
                <w:rFonts w:ascii="Arial" w:cs="Arial" w:eastAsia="Arial" w:hAnsi="Arial"/>
                <w:sz w:val="10"/>
                <w:szCs w:val="10"/>
                <w:color w:val="auto"/>
              </w:rPr>
              <w:t>1,222</w:t>
            </w:r>
          </w:p>
        </w:tc>
        <w:tc>
          <w:tcPr>
            <w:tcW w:w="240" w:type="dxa"/>
            <w:vAlign w:val="bottom"/>
            <w:gridSpan w:val="3"/>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91"/>
              <w:spacing w:after="0"/>
              <w:rPr>
                <w:sz w:val="20"/>
                <w:szCs w:val="20"/>
                <w:color w:val="auto"/>
              </w:rPr>
            </w:pPr>
            <w:r>
              <w:rPr>
                <w:rFonts w:ascii="Arial" w:cs="Arial" w:eastAsia="Arial" w:hAnsi="Arial"/>
                <w:sz w:val="10"/>
                <w:szCs w:val="10"/>
                <w:color w:val="auto"/>
              </w:rPr>
              <w:t>10,854</w:t>
            </w: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91"/>
              <w:spacing w:after="0"/>
              <w:rPr>
                <w:sz w:val="20"/>
                <w:szCs w:val="20"/>
                <w:color w:val="auto"/>
              </w:rPr>
            </w:pPr>
            <w:r>
              <w:rPr>
                <w:rFonts w:ascii="Arial" w:cs="Arial" w:eastAsia="Arial" w:hAnsi="Arial"/>
                <w:sz w:val="10"/>
                <w:szCs w:val="10"/>
                <w:color w:val="auto"/>
              </w:rPr>
              <w:t>32,640</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71"/>
              <w:spacing w:after="0"/>
              <w:rPr>
                <w:sz w:val="20"/>
                <w:szCs w:val="20"/>
                <w:color w:val="auto"/>
              </w:rPr>
            </w:pPr>
            <w:r>
              <w:rPr>
                <w:rFonts w:ascii="Arial" w:cs="Arial" w:eastAsia="Arial" w:hAnsi="Arial"/>
                <w:sz w:val="10"/>
                <w:szCs w:val="10"/>
                <w:color w:val="auto"/>
              </w:rPr>
              <w:t>11,437</w:t>
            </w: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jc w:val="right"/>
              <w:ind w:right="11"/>
              <w:spacing w:after="0"/>
              <w:rPr>
                <w:sz w:val="20"/>
                <w:szCs w:val="20"/>
                <w:color w:val="auto"/>
              </w:rPr>
            </w:pPr>
            <w:r>
              <w:rPr>
                <w:rFonts w:ascii="Arial" w:cs="Arial" w:eastAsia="Arial" w:hAnsi="Arial"/>
                <w:sz w:val="10"/>
                <w:szCs w:val="10"/>
                <w:color w:val="auto"/>
              </w:rPr>
              <w:t>2,093</w:t>
            </w:r>
          </w:p>
        </w:tc>
        <w:tc>
          <w:tcPr>
            <w:tcW w:w="240" w:type="dxa"/>
            <w:vAlign w:val="bottom"/>
            <w:gridSpan w:val="3"/>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91"/>
              <w:spacing w:after="0"/>
              <w:rPr>
                <w:sz w:val="20"/>
                <w:szCs w:val="20"/>
                <w:color w:val="auto"/>
              </w:rPr>
            </w:pPr>
            <w:r>
              <w:rPr>
                <w:rFonts w:ascii="Arial" w:cs="Arial" w:eastAsia="Arial" w:hAnsi="Arial"/>
                <w:sz w:val="10"/>
                <w:szCs w:val="10"/>
                <w:color w:val="auto"/>
              </w:rPr>
              <w:t>6,651</w:t>
            </w:r>
          </w:p>
        </w:tc>
        <w:tc>
          <w:tcPr>
            <w:tcW w:w="10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ind w:right="91"/>
              <w:spacing w:after="0"/>
              <w:rPr>
                <w:sz w:val="20"/>
                <w:szCs w:val="20"/>
                <w:color w:val="auto"/>
              </w:rPr>
            </w:pPr>
            <w:r>
              <w:rPr>
                <w:rFonts w:ascii="Arial" w:cs="Arial" w:eastAsia="Arial" w:hAnsi="Arial"/>
                <w:sz w:val="10"/>
                <w:szCs w:val="10"/>
                <w:color w:val="auto"/>
              </w:rPr>
              <w:t>20,181</w:t>
            </w:r>
          </w:p>
        </w:tc>
        <w:tc>
          <w:tcPr>
            <w:tcW w:w="0" w:type="dxa"/>
            <w:vAlign w:val="bottom"/>
          </w:tcPr>
          <w:p>
            <w:pPr>
              <w:spacing w:after="0"/>
              <w:rPr>
                <w:sz w:val="1"/>
                <w:szCs w:val="1"/>
                <w:color w:val="auto"/>
              </w:rPr>
            </w:pPr>
          </w:p>
        </w:tc>
      </w:tr>
      <w:tr>
        <w:trPr>
          <w:trHeight w:val="130"/>
        </w:trPr>
        <w:tc>
          <w:tcPr>
            <w:tcW w:w="2420" w:type="dxa"/>
            <w:vAlign w:val="bottom"/>
          </w:tcPr>
          <w:p>
            <w:pPr>
              <w:ind w:left="140"/>
              <w:spacing w:after="0"/>
              <w:rPr>
                <w:sz w:val="20"/>
                <w:szCs w:val="20"/>
                <w:color w:val="auto"/>
              </w:rPr>
            </w:pPr>
            <w:r>
              <w:rPr>
                <w:rFonts w:ascii="Arial" w:cs="Arial" w:eastAsia="Arial" w:hAnsi="Arial"/>
                <w:sz w:val="10"/>
                <w:szCs w:val="10"/>
                <w:b w:val="1"/>
                <w:bCs w:val="1"/>
                <w:color w:val="auto"/>
              </w:rPr>
              <w:t>of period</w:t>
            </w:r>
          </w:p>
        </w:tc>
        <w:tc>
          <w:tcPr>
            <w:tcW w:w="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-7620</wp:posOffset>
            </wp:positionV>
            <wp:extent cx="56324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32450" cy="6985"/>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-49530</wp:posOffset>
            </wp:positionV>
            <wp:extent cx="56324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32450" cy="6985"/>
                    </a:xfrm>
                    <a:prstGeom prst="rect">
                      <a:avLst/>
                    </a:prstGeom>
                    <a:noFill/>
                  </pic:spPr>
                </pic:pic>
              </a:graphicData>
            </a:graphic>
          </wp:anchor>
        </w:drawing>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Includes reclassifications of $3.4 billion and $432 million in the six months ended June 30, 2020 and 2019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line="249" w:lineRule="auto"/>
        <w:tabs>
          <w:tab w:leader="none" w:pos="253"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(1) $895 million in intercompany loans for amounts funded to Automotive segments for subvention owed to GM Financial in the six months ended June 30, 2020; (2) $134 million and $482 million in other Purchases of finance receivables, net in the six months ended June 30, 2020 and 2019; and (3) $336 million and $388 million in Principal collections and recoveries on finance receivables in the six months ended June 30, 2020 and 2019; all primarily related to the re-timing of cash receipts and payments between Automotive and GM Financial.</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$690 million in the six months ended June 30, 2019 primarily for Automotive cash injections in Cruise, inclusive of our investments of $687 million in Cruise Preferred Shares.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2020-07-29T08:14:55Z</dcterms:created>
  <dcterms:modified xsi:type="dcterms:W3CDTF">2020-07-29T08:14:55Z</dcterms:modified>
</cp:coreProperties>
</file>