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Jacobson Paul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Executive Vice President &amp; CFO</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04/28/2022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38.79</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110,000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from $38.77 to $38.80, inclusive. The Reporting Person</w:t>
      </w:r>
    </w:p>
    <w:p>
      <w:pPr>
        <w:spacing w:after="0" w:line="18"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2"/>
          <w:szCs w:val="12"/>
          <w:color w:val="008000"/>
        </w:rPr>
        <w:t>undertakes to provide to the SEC, GM and any security holder, upon request, full information regarding the number of shares purchased at each price point within the ranges set forth in this footnote.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05/02/2022</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Jacobson</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36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2022-05-02T16:50:10Z</dcterms:created>
  <dcterms:modified xsi:type="dcterms:W3CDTF">2022-05-02T16:50:10Z</dcterms:modified>
</cp:coreProperties>
</file>