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-648335</wp:posOffset>
            </wp:positionV>
            <wp:extent cx="59055" cy="661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670"/>
                    </a:xfrm>
                    <a:prstGeom prst="rect">
                      <a:avLst/>
                    </a:prstGeom>
                    <a:noFill/>
                  </pic:spPr>
                </pic:pic>
              </a:graphicData>
            </a:graphic>
          </wp:anchor>
        </w:drawing>
        <w:drawing>
          <wp:anchor simplePos="0" relativeHeight="251657728" behindDoc="1" locked="0" layoutInCell="0" allowOverlap="1">
            <wp:simplePos x="0" y="0"/>
            <wp:positionH relativeFrom="column">
              <wp:posOffset>4137660</wp:posOffset>
            </wp:positionH>
            <wp:positionV relativeFrom="paragraph">
              <wp:posOffset>-648335</wp:posOffset>
            </wp:positionV>
            <wp:extent cx="59055" cy="661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67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20320</wp:posOffset>
            </wp:positionV>
            <wp:extent cx="7323455" cy="571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71182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EWANICK JOEL</w:t>
        </w:r>
      </w:hyperlink>
    </w:p>
    <w:p>
      <w:pPr>
        <w:spacing w:after="0" w:line="323"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1020"/>
        <w:spacing w:after="0" w:line="316"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03/31/2012</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7" w:right="660" w:hanging="7"/>
        <w:spacing w:after="0" w:line="254" w:lineRule="auto"/>
        <w:tabs>
          <w:tab w:leader="none" w:pos="15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7"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47"/>
        <w:spacing w:after="0"/>
        <w:rPr>
          <w:sz w:val="20"/>
          <w:szCs w:val="20"/>
          <w:color w:val="auto"/>
        </w:rPr>
      </w:pPr>
      <w:r>
        <w:rPr>
          <w:rFonts w:ascii="Arial" w:cs="Arial" w:eastAsia="Arial" w:hAnsi="Arial"/>
          <w:sz w:val="17"/>
          <w:szCs w:val="17"/>
          <w:color w:val="0000FF"/>
        </w:rPr>
        <w:t>Vice President</w:t>
      </w:r>
    </w:p>
    <w:p>
      <w:pPr>
        <w:spacing w:after="0" w:line="453" w:lineRule="exact"/>
        <w:rPr>
          <w:sz w:val="24"/>
          <w:szCs w:val="24"/>
          <w:color w:val="auto"/>
        </w:rPr>
      </w:pPr>
    </w:p>
    <w:p>
      <w:pPr>
        <w:sectPr>
          <w:pgSz w:w="11900" w:h="16838" w:orient="portrait"/>
          <w:cols w:equalWidth="0" w:num="3">
            <w:col w:w="3360" w:space="720"/>
            <w:col w:w="3253" w:space="720"/>
            <w:col w:w="3467"/>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60" w:type="dxa"/>
            <w:vAlign w:val="bottom"/>
            <w:gridSpan w:val="7"/>
          </w:tcPr>
          <w:p>
            <w:pPr>
              <w:jc w:val="center"/>
              <w:ind w:right="53"/>
              <w:spacing w:after="0" w:line="102" w:lineRule="exact"/>
              <w:rPr>
                <w:sz w:val="20"/>
                <w:szCs w:val="20"/>
                <w:color w:val="auto"/>
              </w:rPr>
            </w:pPr>
            <w:r>
              <w:rPr>
                <w:rFonts w:ascii="Arial" w:cs="Arial" w:eastAsia="Arial" w:hAnsi="Arial"/>
                <w:sz w:val="11"/>
                <w:szCs w:val="11"/>
                <w:color w:val="auto"/>
              </w:rPr>
              <w:t>4. If Amendment, Date of Original Filed (Month/Day/Year)</w:t>
            </w:r>
          </w:p>
        </w:tc>
        <w:tc>
          <w:tcPr>
            <w:tcW w:w="3760" w:type="dxa"/>
            <w:vAlign w:val="bottom"/>
            <w:gridSpan w:val="9"/>
          </w:tcPr>
          <w:p>
            <w:pPr>
              <w:ind w:left="300"/>
              <w:spacing w:after="0" w:line="102"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60" w:type="dxa"/>
            <w:vAlign w:val="bottom"/>
            <w:gridSpan w:val="9"/>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4400" w:type="dxa"/>
            <w:vAlign w:val="bottom"/>
            <w:tcBorders>
              <w:bottom w:val="single" w:sz="8" w:color="2C2C2C"/>
            </w:tcBorders>
            <w:gridSpan w:val="8"/>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7480" w:type="dxa"/>
            <w:vAlign w:val="bottom"/>
            <w:tcBorders>
              <w:top w:val="single" w:sz="8" w:color="2C2C2C"/>
            </w:tcBorders>
            <w:gridSpan w:val="13"/>
          </w:tcPr>
          <w:p>
            <w:pPr>
              <w:ind w:left="8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ind w:left="74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20" w:type="dxa"/>
            <w:vAlign w:val="bottom"/>
            <w:gridSpan w:val="3"/>
          </w:tcPr>
          <w:p>
            <w:pPr>
              <w:ind w:left="74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(1)</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40"/>
              <w:spacing w:after="0"/>
              <w:rPr>
                <w:sz w:val="20"/>
                <w:szCs w:val="20"/>
                <w:color w:val="auto"/>
              </w:rPr>
            </w:pPr>
            <w:r>
              <w:rPr>
                <w:rFonts w:ascii="Arial" w:cs="Arial" w:eastAsia="Arial" w:hAnsi="Arial"/>
                <w:sz w:val="17"/>
                <w:szCs w:val="17"/>
                <w:color w:val="0000FF"/>
              </w:rPr>
              <w:t>03/31/2012</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1,199</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ind w:left="10"/>
              <w:spacing w:after="0" w:line="320"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(2)</w:t>
            </w: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18,532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40"/>
              <w:spacing w:after="0"/>
              <w:rPr>
                <w:sz w:val="20"/>
                <w:szCs w:val="20"/>
                <w:color w:val="auto"/>
              </w:rPr>
            </w:pPr>
            <w:r>
              <w:rPr>
                <w:rFonts w:ascii="Arial" w:cs="Arial" w:eastAsia="Arial" w:hAnsi="Arial"/>
                <w:sz w:val="17"/>
                <w:szCs w:val="17"/>
                <w:color w:val="0000FF"/>
              </w:rPr>
              <w:t>03/31/2012</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D</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814</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25.45</w:t>
            </w:r>
            <w:r>
              <w:rPr>
                <w:rFonts w:ascii="Arial" w:cs="Arial" w:eastAsia="Arial" w:hAnsi="Arial"/>
                <w:sz w:val="22"/>
                <w:szCs w:val="22"/>
                <w:color w:val="008000"/>
                <w:w w:val="88"/>
                <w:vertAlign w:val="superscript"/>
              </w:rPr>
              <w:t>(2)</w:t>
            </w:r>
          </w:p>
        </w:tc>
        <w:tc>
          <w:tcPr>
            <w:tcW w:w="124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17,718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40"/>
              <w:spacing w:after="0"/>
              <w:rPr>
                <w:sz w:val="20"/>
                <w:szCs w:val="20"/>
                <w:color w:val="auto"/>
              </w:rPr>
            </w:pPr>
            <w:r>
              <w:rPr>
                <w:rFonts w:ascii="Arial" w:cs="Arial" w:eastAsia="Arial" w:hAnsi="Arial"/>
                <w:sz w:val="17"/>
                <w:szCs w:val="17"/>
                <w:color w:val="0000FF"/>
              </w:rPr>
              <w:t>03/31/2012</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w w:val="74"/>
              </w:rPr>
              <w:t>F</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385</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25.45</w:t>
            </w:r>
            <w:r>
              <w:rPr>
                <w:rFonts w:ascii="Arial" w:cs="Arial" w:eastAsia="Arial" w:hAnsi="Arial"/>
                <w:sz w:val="22"/>
                <w:szCs w:val="22"/>
                <w:color w:val="008000"/>
                <w:w w:val="88"/>
                <w:vertAlign w:val="superscript"/>
              </w:rPr>
              <w:t>(2)</w:t>
            </w:r>
          </w:p>
        </w:tc>
        <w:tc>
          <w:tcPr>
            <w:tcW w:w="124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17,333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jc w:val="center"/>
              <w:ind w:right="114"/>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40" w:type="dxa"/>
            <w:vAlign w:val="bottom"/>
            <w:gridSpan w:val="11"/>
          </w:tcPr>
          <w:p>
            <w:pPr>
              <w:jc w:val="center"/>
              <w:ind w:left="38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9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9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9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1,199</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line="144"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vMerge w:val="restart"/>
          </w:tcPr>
          <w:p>
            <w:pPr>
              <w:jc w:val="right"/>
              <w:ind w:right="153"/>
              <w:spacing w:after="0" w:line="144" w:lineRule="exact"/>
              <w:rPr>
                <w:sz w:val="20"/>
                <w:szCs w:val="20"/>
                <w:color w:val="auto"/>
              </w:rPr>
            </w:pPr>
            <w:r>
              <w:rPr>
                <w:rFonts w:ascii="Arial" w:cs="Arial" w:eastAsia="Arial" w:hAnsi="Arial"/>
                <w:sz w:val="13"/>
                <w:szCs w:val="13"/>
                <w:color w:val="0000FF"/>
              </w:rPr>
              <w:t>03/31/2012</w:t>
            </w: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1,199</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300"/>
              <w:spacing w:after="0"/>
              <w:rPr>
                <w:sz w:val="20"/>
                <w:szCs w:val="20"/>
                <w:color w:val="auto"/>
              </w:rPr>
            </w:pPr>
            <w:r>
              <w:rPr>
                <w:rFonts w:ascii="Arial" w:cs="Arial" w:eastAsia="Arial" w:hAnsi="Arial"/>
                <w:sz w:val="11"/>
                <w:szCs w:val="11"/>
                <w:color w:val="008000"/>
              </w:rPr>
              <w:t>(3)</w:t>
            </w:r>
          </w:p>
        </w:tc>
        <w:tc>
          <w:tcPr>
            <w:tcW w:w="7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vMerge w:val="restart"/>
          </w:tcPr>
          <w:p>
            <w:pPr>
              <w:jc w:val="right"/>
              <w:ind w:right="294"/>
              <w:spacing w:after="0"/>
              <w:rPr>
                <w:sz w:val="20"/>
                <w:szCs w:val="20"/>
                <w:color w:val="auto"/>
              </w:rPr>
            </w:pPr>
            <w:r>
              <w:rPr>
                <w:rFonts w:ascii="Arial" w:cs="Arial" w:eastAsia="Arial" w:hAnsi="Arial"/>
                <w:sz w:val="11"/>
                <w:szCs w:val="11"/>
                <w:color w:val="008000"/>
              </w:rPr>
              <w:t>(2)</w:t>
            </w:r>
          </w:p>
        </w:tc>
        <w:tc>
          <w:tcPr>
            <w:tcW w:w="600" w:type="dxa"/>
            <w:vAlign w:val="bottom"/>
            <w:vMerge w:val="restart"/>
          </w:tcPr>
          <w:p>
            <w:pPr>
              <w:ind w:left="260"/>
              <w:spacing w:after="0" w:line="144" w:lineRule="exact"/>
              <w:rPr>
                <w:sz w:val="20"/>
                <w:szCs w:val="20"/>
                <w:color w:val="auto"/>
              </w:rPr>
            </w:pPr>
            <w:r>
              <w:rPr>
                <w:rFonts w:ascii="Arial" w:cs="Arial" w:eastAsia="Arial" w:hAnsi="Arial"/>
                <w:sz w:val="13"/>
                <w:szCs w:val="13"/>
                <w:color w:val="0000FF"/>
                <w:w w:val="98"/>
              </w:rPr>
              <w:t>2,398</w:t>
            </w:r>
          </w:p>
        </w:tc>
        <w:tc>
          <w:tcPr>
            <w:tcW w:w="280" w:type="dxa"/>
            <w:vAlign w:val="bottom"/>
          </w:tcPr>
          <w:p>
            <w:pPr>
              <w:spacing w:after="0"/>
              <w:rPr>
                <w:sz w:val="6"/>
                <w:szCs w:val="6"/>
                <w:color w:val="auto"/>
              </w:rPr>
            </w:pPr>
          </w:p>
        </w:tc>
        <w:tc>
          <w:tcPr>
            <w:tcW w:w="700" w:type="dxa"/>
            <w:vAlign w:val="bottom"/>
            <w:vMerge w:val="restart"/>
          </w:tcPr>
          <w:p>
            <w:pPr>
              <w:ind w:left="340"/>
              <w:spacing w:after="0" w:line="14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1"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11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4,421</w:t>
            </w:r>
          </w:p>
        </w:tc>
        <w:tc>
          <w:tcPr>
            <w:tcW w:w="160" w:type="dxa"/>
            <w:vAlign w:val="bottom"/>
          </w:tcPr>
          <w:p>
            <w:pPr>
              <w:spacing w:after="0"/>
              <w:rPr>
                <w:sz w:val="16"/>
                <w:szCs w:val="16"/>
                <w:color w:val="auto"/>
              </w:rPr>
            </w:pPr>
          </w:p>
        </w:tc>
        <w:tc>
          <w:tcPr>
            <w:tcW w:w="640" w:type="dxa"/>
            <w:vAlign w:val="bottom"/>
            <w:vMerge w:val="restart"/>
          </w:tcPr>
          <w:p>
            <w:pPr>
              <w:jc w:val="center"/>
              <w:ind w:right="214"/>
              <w:spacing w:after="0"/>
              <w:rPr>
                <w:sz w:val="20"/>
                <w:szCs w:val="20"/>
                <w:color w:val="auto"/>
              </w:rPr>
            </w:pPr>
            <w:r>
              <w:rPr>
                <w:rFonts w:ascii="Arial" w:cs="Arial" w:eastAsia="Arial" w:hAnsi="Arial"/>
                <w:sz w:val="24"/>
                <w:szCs w:val="24"/>
                <w:color w:val="000000"/>
                <w:w w:val="99"/>
                <w:vertAlign w:val="subscript"/>
              </w:rPr>
              <w:t>$</w:t>
            </w:r>
            <w:r>
              <w:rPr>
                <w:rFonts w:ascii="Arial" w:cs="Arial" w:eastAsia="Arial" w:hAnsi="Arial"/>
                <w:sz w:val="26"/>
                <w:szCs w:val="26"/>
                <w:color w:val="0000FF"/>
                <w:w w:val="99"/>
                <w:vertAlign w:val="subscript"/>
              </w:rPr>
              <w:t>0</w:t>
            </w:r>
            <w:r>
              <w:rPr>
                <w:rFonts w:ascii="Arial" w:cs="Arial" w:eastAsia="Arial" w:hAnsi="Arial"/>
                <w:sz w:val="11"/>
                <w:szCs w:val="11"/>
                <w:color w:val="008000"/>
                <w:w w:val="99"/>
              </w:rPr>
              <w:t>(2)</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line="144"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vMerge w:val="restart"/>
          </w:tcPr>
          <w:p>
            <w:pPr>
              <w:jc w:val="right"/>
              <w:ind w:right="153"/>
              <w:spacing w:after="0" w:line="144" w:lineRule="exact"/>
              <w:rPr>
                <w:sz w:val="20"/>
                <w:szCs w:val="20"/>
                <w:color w:val="auto"/>
              </w:rPr>
            </w:pPr>
            <w:r>
              <w:rPr>
                <w:rFonts w:ascii="Arial" w:cs="Arial" w:eastAsia="Arial" w:hAnsi="Arial"/>
                <w:sz w:val="13"/>
                <w:szCs w:val="13"/>
                <w:color w:val="0000FF"/>
              </w:rPr>
              <w:t>03/31/2012</w:t>
            </w: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A</w:t>
            </w:r>
          </w:p>
        </w:tc>
        <w:tc>
          <w:tcPr>
            <w:tcW w:w="180" w:type="dxa"/>
            <w:vAlign w:val="bottom"/>
          </w:tcPr>
          <w:p>
            <w:pPr>
              <w:spacing w:after="0"/>
              <w:rPr>
                <w:sz w:val="6"/>
                <w:szCs w:val="6"/>
                <w:color w:val="auto"/>
              </w:rPr>
            </w:pPr>
          </w:p>
        </w:tc>
        <w:tc>
          <w:tcPr>
            <w:tcW w:w="460" w:type="dxa"/>
            <w:vAlign w:val="bottom"/>
            <w:vMerge w:val="restart"/>
          </w:tcPr>
          <w:p>
            <w:pPr>
              <w:ind w:left="80"/>
              <w:spacing w:after="0" w:line="144" w:lineRule="exact"/>
              <w:rPr>
                <w:sz w:val="20"/>
                <w:szCs w:val="20"/>
                <w:color w:val="auto"/>
              </w:rPr>
            </w:pPr>
            <w:r>
              <w:rPr>
                <w:rFonts w:ascii="Arial" w:cs="Arial" w:eastAsia="Arial" w:hAnsi="Arial"/>
                <w:sz w:val="13"/>
                <w:szCs w:val="13"/>
                <w:color w:val="0000FF"/>
              </w:rPr>
              <w:t>4,421</w:t>
            </w:r>
          </w:p>
        </w:tc>
        <w:tc>
          <w:tcPr>
            <w:tcW w:w="460" w:type="dxa"/>
            <w:vAlign w:val="bottom"/>
          </w:tcPr>
          <w:p>
            <w:pPr>
              <w:spacing w:after="0"/>
              <w:rPr>
                <w:sz w:val="6"/>
                <w:szCs w:val="6"/>
                <w:color w:val="auto"/>
              </w:rPr>
            </w:pP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300"/>
              <w:spacing w:after="0"/>
              <w:rPr>
                <w:sz w:val="20"/>
                <w:szCs w:val="20"/>
                <w:color w:val="auto"/>
              </w:rPr>
            </w:pPr>
            <w:r>
              <w:rPr>
                <w:rFonts w:ascii="Arial" w:cs="Arial" w:eastAsia="Arial" w:hAnsi="Arial"/>
                <w:sz w:val="11"/>
                <w:szCs w:val="11"/>
                <w:color w:val="008000"/>
              </w:rPr>
              <w:t>(3)</w:t>
            </w:r>
          </w:p>
        </w:tc>
        <w:tc>
          <w:tcPr>
            <w:tcW w:w="7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vMerge w:val="restart"/>
          </w:tcPr>
          <w:p>
            <w:pPr>
              <w:ind w:left="260"/>
              <w:spacing w:after="0" w:line="144" w:lineRule="exact"/>
              <w:rPr>
                <w:sz w:val="20"/>
                <w:szCs w:val="20"/>
                <w:color w:val="auto"/>
              </w:rPr>
            </w:pPr>
            <w:r>
              <w:rPr>
                <w:rFonts w:ascii="Arial" w:cs="Arial" w:eastAsia="Arial" w:hAnsi="Arial"/>
                <w:sz w:val="13"/>
                <w:szCs w:val="13"/>
                <w:color w:val="0000FF"/>
                <w:w w:val="98"/>
              </w:rPr>
              <w:t>4,421</w:t>
            </w:r>
          </w:p>
        </w:tc>
        <w:tc>
          <w:tcPr>
            <w:tcW w:w="280" w:type="dxa"/>
            <w:vAlign w:val="bottom"/>
          </w:tcPr>
          <w:p>
            <w:pPr>
              <w:spacing w:after="0"/>
              <w:rPr>
                <w:sz w:val="6"/>
                <w:szCs w:val="6"/>
                <w:color w:val="auto"/>
              </w:rPr>
            </w:pPr>
          </w:p>
        </w:tc>
        <w:tc>
          <w:tcPr>
            <w:tcW w:w="700" w:type="dxa"/>
            <w:vAlign w:val="bottom"/>
            <w:vMerge w:val="restart"/>
          </w:tcPr>
          <w:p>
            <w:pPr>
              <w:ind w:left="340"/>
              <w:spacing w:after="0" w:line="14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(4)</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38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March 31, 2011 pursuant to the Company's Salary Stock Plan (the "GMSSP") and vested upon grant. The portion of this award currently payable was settled on March 31, 2011 in cash, less a portion withheld for taxes.</w:t>
      </w:r>
    </w:p>
    <w:p>
      <w:pPr>
        <w:spacing w:after="0" w:line="11" w:lineRule="exact"/>
        <w:rPr>
          <w:rFonts w:ascii="Arial" w:cs="Arial" w:eastAsia="Arial" w:hAnsi="Arial"/>
          <w:sz w:val="13"/>
          <w:szCs w:val="13"/>
          <w:color w:val="008000"/>
        </w:rPr>
      </w:pPr>
    </w:p>
    <w:p>
      <w:pPr>
        <w:ind w:left="40" w:right="220" w:firstLine="7"/>
        <w:spacing w:after="0" w:line="247"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SSU is the economic equivalent of one share of the Company's common stock. Grants of SSUs are fully vested when made and will be settled in three equal annual installments beginning one year after the date of the grant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$25.45.</w:t>
      </w:r>
    </w:p>
    <w:p>
      <w:pPr>
        <w:spacing w:after="0" w:line="26"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March 31, 2012.</w:t>
      </w:r>
    </w:p>
    <w:p>
      <w:pPr>
        <w:spacing w:after="0" w:line="67"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Anne T. Larin, attorney-in-</w:t>
            </w:r>
          </w:p>
        </w:tc>
        <w:tc>
          <w:tcPr>
            <w:tcW w:w="18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04/03/2012</w:t>
            </w:r>
          </w:p>
        </w:tc>
        <w:tc>
          <w:tcPr>
            <w:tcW w:w="0" w:type="dxa"/>
            <w:vAlign w:val="bottom"/>
          </w:tcPr>
          <w:p>
            <w:pPr>
              <w:spacing w:after="0"/>
              <w:rPr>
                <w:sz w:val="1"/>
                <w:szCs w:val="1"/>
                <w:color w:val="auto"/>
              </w:rPr>
            </w:pPr>
          </w:p>
        </w:tc>
      </w:tr>
      <w:tr>
        <w:trPr>
          <w:trHeight w:val="92"/>
        </w:trPr>
        <w:tc>
          <w:tcPr>
            <w:tcW w:w="1460" w:type="dxa"/>
            <w:vAlign w:val="bottom"/>
            <w:vMerge w:val="restart"/>
          </w:tcPr>
          <w:p>
            <w:pPr>
              <w:spacing w:after="0" w:line="194" w:lineRule="exact"/>
              <w:rPr>
                <w:sz w:val="20"/>
                <w:szCs w:val="20"/>
                <w:color w:val="auto"/>
              </w:rPr>
            </w:pPr>
            <w:r>
              <w:rPr>
                <w:rFonts w:ascii="Arial" w:cs="Arial" w:eastAsia="Arial" w:hAnsi="Arial"/>
                <w:sz w:val="17"/>
                <w:szCs w:val="17"/>
                <w:color w:val="0000FF"/>
                <w:w w:val="96"/>
              </w:rPr>
              <w:t>fact for Mr. Ewanick</w:t>
            </w:r>
          </w:p>
        </w:tc>
        <w:tc>
          <w:tcPr>
            <w:tcW w:w="820" w:type="dxa"/>
            <w:vAlign w:val="bottom"/>
            <w:gridSpan w:val="2"/>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460" w:type="dxa"/>
            <w:vAlign w:val="bottom"/>
            <w:tcBorders>
              <w:bottom w:val="single" w:sz="8" w:color="auto"/>
            </w:tcBorders>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062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2019-12-17T00:28:51Z</dcterms:created>
  <dcterms:modified xsi:type="dcterms:W3CDTF">2019-12-17T00:28:51Z</dcterms:modified>
</cp:coreProperties>
</file>