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7048500" cy="5996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59969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Barra Mary T</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right="980"/>
        <w:spacing w:after="0" w:line="356"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03/22/2021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1"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00" w:type="dxa"/>
            <w:vAlign w:val="bottom"/>
          </w:tcPr>
          <w:p>
            <w:pPr>
              <w:ind w:left="3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91"/>
        <w:spacing w:after="0"/>
        <w:rPr>
          <w:sz w:val="20"/>
          <w:szCs w:val="20"/>
          <w:color w:val="auto"/>
        </w:rPr>
      </w:pPr>
      <w:r>
        <w:rPr>
          <w:rFonts w:ascii="Arial" w:cs="Arial" w:eastAsia="Arial" w:hAnsi="Arial"/>
          <w:sz w:val="16"/>
          <w:szCs w:val="16"/>
          <w:color w:val="0000FF"/>
        </w:rPr>
        <w:t>Chairman &amp; CEO</w:t>
      </w:r>
    </w:p>
    <w:p>
      <w:pPr>
        <w:spacing w:after="0" w:line="475" w:lineRule="exact"/>
        <w:rPr>
          <w:sz w:val="24"/>
          <w:szCs w:val="24"/>
          <w:color w:val="auto"/>
        </w:rPr>
      </w:pPr>
    </w:p>
    <w:p>
      <w:pPr>
        <w:sectPr>
          <w:pgSz w:w="11900" w:h="16838" w:orient="portrait"/>
          <w:cols w:equalWidth="0" w:num="3">
            <w:col w:w="3180" w:space="720"/>
            <w:col w:w="3109" w:space="720"/>
            <w:col w:w="3351"/>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3700" w:type="dxa"/>
            <w:vAlign w:val="bottom"/>
            <w:gridSpan w:val="5"/>
            <w:vMerge w:val="restart"/>
          </w:tcPr>
          <w:p>
            <w:pPr>
              <w:jc w:val="right"/>
              <w:ind w:right="315"/>
              <w:spacing w:after="0"/>
              <w:rPr>
                <w:sz w:val="20"/>
                <w:szCs w:val="20"/>
                <w:color w:val="auto"/>
              </w:rPr>
            </w:pPr>
            <w:r>
              <w:rPr>
                <w:rFonts w:ascii="Arial" w:cs="Arial" w:eastAsia="Arial" w:hAnsi="Arial"/>
                <w:sz w:val="13"/>
                <w:szCs w:val="13"/>
                <w:color w:val="auto"/>
                <w:w w:val="99"/>
              </w:rPr>
              <w:t>4. If Amendment, Date of Original Filed (Month/Day/Year)</w:t>
            </w:r>
          </w:p>
        </w:tc>
        <w:tc>
          <w:tcPr>
            <w:tcW w:w="362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00" w:type="dxa"/>
            <w:vAlign w:val="bottom"/>
            <w:gridSpan w:val="5"/>
            <w:vMerge w:val="continue"/>
          </w:tcPr>
          <w:p>
            <w:pPr>
              <w:spacing w:after="0"/>
              <w:rPr>
                <w:sz w:val="10"/>
                <w:szCs w:val="10"/>
                <w:color w:val="auto"/>
              </w:rPr>
            </w:pPr>
          </w:p>
        </w:tc>
        <w:tc>
          <w:tcPr>
            <w:tcW w:w="36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gridSpan w:val="2"/>
          </w:tcPr>
          <w:p>
            <w:pPr>
              <w:ind w:left="260"/>
              <w:spacing w:after="0" w:line="142"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0000FF"/>
              </w:rPr>
              <w:t>DETROIT</w:t>
            </w:r>
          </w:p>
        </w:tc>
        <w:tc>
          <w:tcPr>
            <w:tcW w:w="1160" w:type="dxa"/>
            <w:vAlign w:val="bottom"/>
            <w:gridSpan w:val="2"/>
          </w:tcPr>
          <w:p>
            <w:pPr>
              <w:ind w:left="20"/>
              <w:spacing w:after="0"/>
              <w:rPr>
                <w:sz w:val="20"/>
                <w:szCs w:val="20"/>
                <w:color w:val="auto"/>
              </w:rPr>
            </w:pPr>
            <w:r>
              <w:rPr>
                <w:rFonts w:ascii="Arial" w:cs="Arial" w:eastAsia="Arial" w:hAnsi="Arial"/>
                <w:sz w:val="16"/>
                <w:szCs w:val="16"/>
                <w:color w:val="0000FF"/>
              </w:rPr>
              <w:t>MI</w:t>
            </w:r>
          </w:p>
        </w:tc>
        <w:tc>
          <w:tcPr>
            <w:tcW w:w="1060" w:type="dxa"/>
            <w:vAlign w:val="bottom"/>
          </w:tcPr>
          <w:p>
            <w:pPr>
              <w:ind w:left="80"/>
              <w:spacing w:after="0"/>
              <w:rPr>
                <w:sz w:val="20"/>
                <w:szCs w:val="20"/>
                <w:color w:val="auto"/>
              </w:rPr>
            </w:pPr>
            <w:r>
              <w:rPr>
                <w:rFonts w:ascii="Arial" w:cs="Arial" w:eastAsia="Arial" w:hAnsi="Arial"/>
                <w:sz w:val="16"/>
                <w:szCs w:val="16"/>
                <w:color w:val="0000FF"/>
              </w:rPr>
              <w:t>48265-3000</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gridSpan w:val="2"/>
          </w:tcPr>
          <w:p>
            <w:pPr>
              <w:ind w:left="48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20"/>
                <w:szCs w:val="20"/>
                <w:color w:val="auto"/>
              </w:rPr>
            </w:pPr>
          </w:p>
        </w:tc>
        <w:tc>
          <w:tcPr>
            <w:tcW w:w="2120" w:type="dxa"/>
            <w:vAlign w:val="bottom"/>
            <w:gridSpan w:val="4"/>
          </w:tcPr>
          <w:p>
            <w:pPr>
              <w:ind w:left="12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300" w:type="dxa"/>
            <w:vAlign w:val="bottom"/>
            <w:tcBorders>
              <w:bottom w:val="single" w:sz="8" w:color="2C2C2C"/>
            </w:tcBorders>
            <w:gridSpan w:val="6"/>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40" w:type="dxa"/>
            <w:vAlign w:val="bottom"/>
            <w:tcBorders>
              <w:top w:val="single" w:sz="8" w:color="2C2C2C"/>
            </w:tcBorders>
            <w:gridSpan w:val="12"/>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0"/>
              <w:spacing w:after="0" w:line="122"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3"/>
          </w:tcPr>
          <w:p>
            <w:pPr>
              <w:jc w:val="center"/>
              <w:ind w:left="651"/>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31"/>
              <w:spacing w:after="0"/>
              <w:rPr>
                <w:sz w:val="20"/>
                <w:szCs w:val="20"/>
                <w:color w:val="auto"/>
              </w:rPr>
            </w:pPr>
            <w:r>
              <w:rPr>
                <w:rFonts w:ascii="Arial" w:cs="Arial" w:eastAsia="Arial" w:hAnsi="Arial"/>
                <w:sz w:val="16"/>
                <w:szCs w:val="16"/>
                <w:color w:val="0000FF"/>
                <w:w w:val="92"/>
              </w:rPr>
              <w:t>03/22/2021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Arial" w:cs="Arial" w:eastAsia="Arial" w:hAnsi="Arial"/>
                <w:sz w:val="13"/>
                <w:szCs w:val="13"/>
                <w:color w:val="0000FF"/>
                <w:w w:val="91"/>
              </w:rPr>
              <w:t>M</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w w:val="86"/>
              </w:rPr>
              <w:t>500,000</w:t>
            </w:r>
            <w:r>
              <w:rPr>
                <w:rFonts w:ascii="Arial" w:cs="Arial" w:eastAsia="Arial" w:hAnsi="Arial"/>
                <w:sz w:val="20"/>
                <w:szCs w:val="20"/>
                <w:color w:val="008000"/>
                <w:w w:val="86"/>
                <w:vertAlign w:val="superscript"/>
              </w:rPr>
              <w:t>(1)</w:t>
            </w:r>
          </w:p>
        </w:tc>
        <w:tc>
          <w:tcPr>
            <w:tcW w:w="620" w:type="dxa"/>
            <w:vAlign w:val="bottom"/>
            <w:tcBorders>
              <w:bottom w:val="single" w:sz="8" w:color="2C2C2C"/>
            </w:tcBorders>
          </w:tcPr>
          <w:p>
            <w:pPr>
              <w:jc w:val="right"/>
              <w:ind w:right="155"/>
              <w:spacing w:after="0"/>
              <w:rPr>
                <w:sz w:val="20"/>
                <w:szCs w:val="20"/>
                <w:color w:val="auto"/>
              </w:rPr>
            </w:pPr>
            <w:r>
              <w:rPr>
                <w:rFonts w:ascii="Arial" w:cs="Arial" w:eastAsia="Arial" w:hAnsi="Arial"/>
                <w:sz w:val="16"/>
                <w:szCs w:val="16"/>
                <w:color w:val="0000FF"/>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31.32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43"/>
              <w:spacing w:after="0"/>
              <w:rPr>
                <w:sz w:val="20"/>
                <w:szCs w:val="20"/>
                <w:color w:val="auto"/>
              </w:rPr>
            </w:pPr>
            <w:r>
              <w:rPr>
                <w:rFonts w:ascii="Arial" w:cs="Arial" w:eastAsia="Arial" w:hAnsi="Arial"/>
                <w:sz w:val="16"/>
                <w:szCs w:val="16"/>
                <w:color w:val="0000FF"/>
              </w:rPr>
              <w:t>1,922,883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31"/>
              <w:spacing w:after="0"/>
              <w:rPr>
                <w:sz w:val="20"/>
                <w:szCs w:val="20"/>
                <w:color w:val="auto"/>
              </w:rPr>
            </w:pPr>
            <w:r>
              <w:rPr>
                <w:rFonts w:ascii="Arial" w:cs="Arial" w:eastAsia="Arial" w:hAnsi="Arial"/>
                <w:sz w:val="16"/>
                <w:szCs w:val="16"/>
                <w:color w:val="0000FF"/>
                <w:w w:val="92"/>
              </w:rPr>
              <w:t>03/22/2021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Arial" w:cs="Arial" w:eastAsia="Arial" w:hAnsi="Arial"/>
                <w:sz w:val="11"/>
                <w:szCs w:val="11"/>
                <w:color w:val="0000FF"/>
                <w:w w:val="81"/>
              </w:rPr>
              <w:t>S</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w w:val="86"/>
              </w:rPr>
              <w:t>500,000</w:t>
            </w:r>
            <w:r>
              <w:rPr>
                <w:rFonts w:ascii="Arial" w:cs="Arial" w:eastAsia="Arial" w:hAnsi="Arial"/>
                <w:sz w:val="20"/>
                <w:szCs w:val="20"/>
                <w:color w:val="008000"/>
                <w:w w:val="86"/>
                <w:vertAlign w:val="superscript"/>
              </w:rPr>
              <w:t>(1)</w:t>
            </w:r>
          </w:p>
        </w:tc>
        <w:tc>
          <w:tcPr>
            <w:tcW w:w="620" w:type="dxa"/>
            <w:vAlign w:val="bottom"/>
            <w:tcBorders>
              <w:bottom w:val="single" w:sz="8" w:color="2C2C2C"/>
            </w:tcBorders>
          </w:tcPr>
          <w:p>
            <w:pPr>
              <w:jc w:val="right"/>
              <w:ind w:right="155"/>
              <w:spacing w:after="0"/>
              <w:rPr>
                <w:sz w:val="20"/>
                <w:szCs w:val="20"/>
                <w:color w:val="auto"/>
              </w:rPr>
            </w:pPr>
            <w:r>
              <w:rPr>
                <w:rFonts w:ascii="Arial" w:cs="Arial" w:eastAsia="Arial" w:hAnsi="Arial"/>
                <w:sz w:val="16"/>
                <w:szCs w:val="16"/>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57.64</w:t>
            </w:r>
            <w:r>
              <w:rPr>
                <w:rFonts w:ascii="Arial" w:cs="Arial" w:eastAsia="Arial" w:hAnsi="Arial"/>
                <w:sz w:val="20"/>
                <w:szCs w:val="20"/>
                <w:color w:val="008000"/>
                <w:w w:val="88"/>
                <w:vertAlign w:val="superscript"/>
              </w:rPr>
              <w:t>(2)</w:t>
            </w:r>
          </w:p>
        </w:tc>
        <w:tc>
          <w:tcPr>
            <w:tcW w:w="1240" w:type="dxa"/>
            <w:vAlign w:val="bottom"/>
            <w:tcBorders>
              <w:bottom w:val="single" w:sz="8" w:color="2C2C2C"/>
            </w:tcBorders>
            <w:gridSpan w:val="3"/>
          </w:tcPr>
          <w:p>
            <w:pPr>
              <w:jc w:val="right"/>
              <w:ind w:right="243"/>
              <w:spacing w:after="0"/>
              <w:rPr>
                <w:sz w:val="20"/>
                <w:szCs w:val="20"/>
                <w:color w:val="auto"/>
              </w:rPr>
            </w:pPr>
            <w:r>
              <w:rPr>
                <w:rFonts w:ascii="Arial" w:cs="Arial" w:eastAsia="Arial" w:hAnsi="Arial"/>
                <w:sz w:val="16"/>
                <w:szCs w:val="16"/>
                <w:color w:val="0000FF"/>
              </w:rPr>
              <w:t>1,422,883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31"/>
              <w:spacing w:after="0"/>
              <w:rPr>
                <w:sz w:val="20"/>
                <w:szCs w:val="20"/>
                <w:color w:val="auto"/>
              </w:rPr>
            </w:pPr>
            <w:r>
              <w:rPr>
                <w:rFonts w:ascii="Arial" w:cs="Arial" w:eastAsia="Arial" w:hAnsi="Arial"/>
                <w:sz w:val="16"/>
                <w:szCs w:val="16"/>
                <w:color w:val="0000FF"/>
                <w:w w:val="92"/>
              </w:rPr>
              <w:t>03/22/2021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Arial" w:cs="Arial" w:eastAsia="Arial" w:hAnsi="Arial"/>
                <w:sz w:val="13"/>
                <w:szCs w:val="13"/>
                <w:color w:val="0000FF"/>
                <w:w w:val="91"/>
              </w:rPr>
              <w:t>M</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w w:val="86"/>
              </w:rPr>
              <w:t>503,027</w:t>
            </w:r>
            <w:r>
              <w:rPr>
                <w:rFonts w:ascii="Arial" w:cs="Arial" w:eastAsia="Arial" w:hAnsi="Arial"/>
                <w:sz w:val="20"/>
                <w:szCs w:val="20"/>
                <w:color w:val="008000"/>
                <w:w w:val="86"/>
                <w:vertAlign w:val="superscript"/>
              </w:rPr>
              <w:t>(1)</w:t>
            </w:r>
          </w:p>
        </w:tc>
        <w:tc>
          <w:tcPr>
            <w:tcW w:w="620" w:type="dxa"/>
            <w:vAlign w:val="bottom"/>
            <w:tcBorders>
              <w:bottom w:val="single" w:sz="8" w:color="2C2C2C"/>
            </w:tcBorders>
          </w:tcPr>
          <w:p>
            <w:pPr>
              <w:jc w:val="right"/>
              <w:ind w:right="155"/>
              <w:spacing w:after="0"/>
              <w:rPr>
                <w:sz w:val="20"/>
                <w:szCs w:val="20"/>
                <w:color w:val="auto"/>
              </w:rPr>
            </w:pPr>
            <w:r>
              <w:rPr>
                <w:rFonts w:ascii="Arial" w:cs="Arial" w:eastAsia="Arial" w:hAnsi="Arial"/>
                <w:sz w:val="16"/>
                <w:szCs w:val="16"/>
                <w:color w:val="0000FF"/>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31.32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43"/>
              <w:spacing w:after="0"/>
              <w:rPr>
                <w:sz w:val="20"/>
                <w:szCs w:val="20"/>
                <w:color w:val="auto"/>
              </w:rPr>
            </w:pPr>
            <w:r>
              <w:rPr>
                <w:rFonts w:ascii="Arial" w:cs="Arial" w:eastAsia="Arial" w:hAnsi="Arial"/>
                <w:sz w:val="16"/>
                <w:szCs w:val="16"/>
                <w:color w:val="0000FF"/>
              </w:rPr>
              <w:t>1,925,910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31"/>
              <w:spacing w:after="0"/>
              <w:rPr>
                <w:sz w:val="20"/>
                <w:szCs w:val="20"/>
                <w:color w:val="auto"/>
              </w:rPr>
            </w:pPr>
            <w:r>
              <w:rPr>
                <w:rFonts w:ascii="Arial" w:cs="Arial" w:eastAsia="Arial" w:hAnsi="Arial"/>
                <w:sz w:val="16"/>
                <w:szCs w:val="16"/>
                <w:color w:val="0000FF"/>
                <w:w w:val="92"/>
              </w:rPr>
              <w:t>03/22/2021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Arial" w:cs="Arial" w:eastAsia="Arial" w:hAnsi="Arial"/>
                <w:sz w:val="11"/>
                <w:szCs w:val="11"/>
                <w:color w:val="0000FF"/>
                <w:w w:val="81"/>
              </w:rPr>
              <w:t>S</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w w:val="86"/>
              </w:rPr>
              <w:t>503,027</w:t>
            </w:r>
            <w:r>
              <w:rPr>
                <w:rFonts w:ascii="Arial" w:cs="Arial" w:eastAsia="Arial" w:hAnsi="Arial"/>
                <w:sz w:val="20"/>
                <w:szCs w:val="20"/>
                <w:color w:val="008000"/>
                <w:w w:val="86"/>
                <w:vertAlign w:val="superscript"/>
              </w:rPr>
              <w:t>(1)</w:t>
            </w:r>
          </w:p>
        </w:tc>
        <w:tc>
          <w:tcPr>
            <w:tcW w:w="620" w:type="dxa"/>
            <w:vAlign w:val="bottom"/>
            <w:tcBorders>
              <w:bottom w:val="single" w:sz="8" w:color="2C2C2C"/>
            </w:tcBorders>
          </w:tcPr>
          <w:p>
            <w:pPr>
              <w:jc w:val="right"/>
              <w:ind w:right="155"/>
              <w:spacing w:after="0"/>
              <w:rPr>
                <w:sz w:val="20"/>
                <w:szCs w:val="20"/>
                <w:color w:val="auto"/>
              </w:rPr>
            </w:pPr>
            <w:r>
              <w:rPr>
                <w:rFonts w:ascii="Arial" w:cs="Arial" w:eastAsia="Arial" w:hAnsi="Arial"/>
                <w:sz w:val="16"/>
                <w:szCs w:val="16"/>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57.83</w:t>
            </w:r>
            <w:r>
              <w:rPr>
                <w:rFonts w:ascii="Arial" w:cs="Arial" w:eastAsia="Arial" w:hAnsi="Arial"/>
                <w:sz w:val="20"/>
                <w:szCs w:val="20"/>
                <w:color w:val="008000"/>
                <w:w w:val="88"/>
                <w:vertAlign w:val="superscript"/>
              </w:rPr>
              <w:t>(3)</w:t>
            </w:r>
          </w:p>
        </w:tc>
        <w:tc>
          <w:tcPr>
            <w:tcW w:w="1240" w:type="dxa"/>
            <w:vAlign w:val="bottom"/>
            <w:tcBorders>
              <w:bottom w:val="single" w:sz="8" w:color="2C2C2C"/>
            </w:tcBorders>
            <w:gridSpan w:val="3"/>
          </w:tcPr>
          <w:p>
            <w:pPr>
              <w:jc w:val="right"/>
              <w:ind w:right="243"/>
              <w:spacing w:after="0"/>
              <w:rPr>
                <w:sz w:val="20"/>
                <w:szCs w:val="20"/>
                <w:color w:val="auto"/>
              </w:rPr>
            </w:pPr>
            <w:r>
              <w:rPr>
                <w:rFonts w:ascii="Arial" w:cs="Arial" w:eastAsia="Arial" w:hAnsi="Arial"/>
                <w:sz w:val="16"/>
                <w:szCs w:val="16"/>
                <w:color w:val="0000FF"/>
              </w:rPr>
              <w:t>1,422,883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w w:val="97"/>
              </w:rPr>
              <w:t>Common Stock</w:t>
            </w:r>
            <w:r>
              <w:rPr>
                <w:rFonts w:ascii="Arial" w:cs="Arial" w:eastAsia="Arial" w:hAnsi="Arial"/>
                <w:sz w:val="20"/>
                <w:szCs w:val="20"/>
                <w:color w:val="008000"/>
                <w:w w:val="97"/>
                <w:vertAlign w:val="superscript"/>
              </w:rPr>
              <w:t>(4)</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31"/>
              <w:spacing w:after="0"/>
              <w:rPr>
                <w:sz w:val="20"/>
                <w:szCs w:val="20"/>
                <w:color w:val="auto"/>
              </w:rPr>
            </w:pPr>
            <w:r>
              <w:rPr>
                <w:rFonts w:ascii="Arial" w:cs="Arial" w:eastAsia="Arial" w:hAnsi="Arial"/>
                <w:sz w:val="16"/>
                <w:szCs w:val="16"/>
                <w:color w:val="0000FF"/>
                <w:w w:val="92"/>
              </w:rPr>
              <w:t>03/22/2021</w:t>
            </w: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Arial" w:cs="Arial" w:eastAsia="Arial" w:hAnsi="Arial"/>
                <w:sz w:val="11"/>
                <w:szCs w:val="11"/>
                <w:color w:val="0000FF"/>
                <w:w w:val="81"/>
              </w:rPr>
              <w:t>S</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6"/>
                <w:szCs w:val="16"/>
                <w:color w:val="0000FF"/>
                <w:w w:val="86"/>
              </w:rPr>
              <w:t>300,000</w:t>
            </w:r>
            <w:r>
              <w:rPr>
                <w:rFonts w:ascii="Arial" w:cs="Arial" w:eastAsia="Arial" w:hAnsi="Arial"/>
                <w:sz w:val="20"/>
                <w:szCs w:val="20"/>
                <w:color w:val="008000"/>
                <w:w w:val="86"/>
                <w:vertAlign w:val="superscript"/>
              </w:rPr>
              <w:t>(1)</w:t>
            </w:r>
          </w:p>
        </w:tc>
        <w:tc>
          <w:tcPr>
            <w:tcW w:w="620" w:type="dxa"/>
            <w:vAlign w:val="bottom"/>
            <w:tcBorders>
              <w:bottom w:val="single" w:sz="8" w:color="2C2C2C"/>
            </w:tcBorders>
          </w:tcPr>
          <w:p>
            <w:pPr>
              <w:jc w:val="right"/>
              <w:ind w:right="155"/>
              <w:spacing w:after="0"/>
              <w:rPr>
                <w:sz w:val="20"/>
                <w:szCs w:val="20"/>
                <w:color w:val="auto"/>
              </w:rPr>
            </w:pPr>
            <w:r>
              <w:rPr>
                <w:rFonts w:ascii="Arial" w:cs="Arial" w:eastAsia="Arial" w:hAnsi="Arial"/>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58.77</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43"/>
              <w:spacing w:after="0"/>
              <w:rPr>
                <w:sz w:val="20"/>
                <w:szCs w:val="20"/>
                <w:color w:val="auto"/>
              </w:rPr>
            </w:pPr>
            <w:r>
              <w:rPr>
                <w:rFonts w:ascii="Arial" w:cs="Arial" w:eastAsia="Arial" w:hAnsi="Arial"/>
                <w:sz w:val="16"/>
                <w:szCs w:val="16"/>
                <w:color w:val="0000FF"/>
              </w:rPr>
              <w:t>1,122,883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1"/>
          </w:tcPr>
          <w:p>
            <w:pPr>
              <w:jc w:val="center"/>
              <w:ind w:right="12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9"/>
          </w:tcPr>
          <w:p>
            <w:pPr>
              <w:jc w:val="center"/>
              <w:ind w:left="43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vMerge w:val="restart"/>
          </w:tcPr>
          <w:p>
            <w:pPr>
              <w:ind w:left="400"/>
              <w:spacing w:after="0"/>
              <w:rPr>
                <w:sz w:val="20"/>
                <w:szCs w:val="20"/>
                <w:color w:val="auto"/>
              </w:rPr>
            </w:pPr>
            <w:r>
              <w:rPr>
                <w:rFonts w:ascii="Arial" w:cs="Arial" w:eastAsia="Arial" w:hAnsi="Arial"/>
                <w:sz w:val="13"/>
                <w:szCs w:val="13"/>
                <w:color w:val="0000FF"/>
                <w:w w:val="97"/>
              </w:rPr>
              <w:t>500,000</w:t>
            </w:r>
            <w:r>
              <w:rPr>
                <w:rFonts w:ascii="Arial" w:cs="Arial" w:eastAsia="Arial" w:hAnsi="Arial"/>
                <w:sz w:val="20"/>
                <w:szCs w:val="20"/>
                <w:color w:val="008000"/>
                <w:w w:val="97"/>
                <w:vertAlign w:val="superscript"/>
              </w:rPr>
              <w:t>(1)</w:t>
            </w: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w w:val="88"/>
              </w:rPr>
              <w:t>02/15/2020</w:t>
            </w:r>
            <w:r>
              <w:rPr>
                <w:rFonts w:ascii="Arial" w:cs="Arial" w:eastAsia="Arial" w:hAnsi="Arial"/>
                <w:sz w:val="20"/>
                <w:szCs w:val="20"/>
                <w:color w:val="008000"/>
                <w:w w:val="88"/>
                <w:vertAlign w:val="superscript"/>
              </w:rPr>
              <w:t>(5)</w:t>
            </w:r>
          </w:p>
        </w:tc>
        <w:tc>
          <w:tcPr>
            <w:tcW w:w="7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6"/>
                <w:szCs w:val="16"/>
                <w:color w:val="0000FF"/>
                <w:w w:val="96"/>
              </w:rPr>
              <w:t>500,000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31.32</w:t>
            </w:r>
          </w:p>
        </w:tc>
        <w:tc>
          <w:tcPr>
            <w:tcW w:w="120" w:type="dxa"/>
            <w:vAlign w:val="bottom"/>
          </w:tcPr>
          <w:p>
            <w:pPr>
              <w:spacing w:after="0"/>
              <w:rPr>
                <w:sz w:val="11"/>
                <w:szCs w:val="11"/>
                <w:color w:val="auto"/>
              </w:rPr>
            </w:pPr>
          </w:p>
        </w:tc>
        <w:tc>
          <w:tcPr>
            <w:tcW w:w="1040" w:type="dxa"/>
            <w:vAlign w:val="bottom"/>
          </w:tcPr>
          <w:p>
            <w:pPr>
              <w:jc w:val="right"/>
              <w:ind w:right="177"/>
              <w:spacing w:after="0" w:line="134" w:lineRule="exact"/>
              <w:rPr>
                <w:sz w:val="20"/>
                <w:szCs w:val="20"/>
                <w:color w:val="auto"/>
              </w:rPr>
            </w:pPr>
            <w:r>
              <w:rPr>
                <w:rFonts w:ascii="Arial" w:cs="Arial" w:eastAsia="Arial" w:hAnsi="Arial"/>
                <w:sz w:val="13"/>
                <w:szCs w:val="13"/>
                <w:color w:val="0000FF"/>
              </w:rPr>
              <w:t>03/22/2021</w:t>
            </w:r>
          </w:p>
        </w:tc>
        <w:tc>
          <w:tcPr>
            <w:tcW w:w="1060" w:type="dxa"/>
            <w:vAlign w:val="bottom"/>
          </w:tcPr>
          <w:p>
            <w:pPr>
              <w:spacing w:after="0"/>
              <w:rPr>
                <w:sz w:val="11"/>
                <w:szCs w:val="11"/>
                <w:color w:val="auto"/>
              </w:rPr>
            </w:pPr>
          </w:p>
        </w:tc>
        <w:tc>
          <w:tcPr>
            <w:tcW w:w="740" w:type="dxa"/>
            <w:vAlign w:val="bottom"/>
            <w:gridSpan w:val="2"/>
          </w:tcPr>
          <w:p>
            <w:pPr>
              <w:jc w:val="center"/>
              <w:ind w:right="277"/>
              <w:spacing w:after="0" w:line="134" w:lineRule="exact"/>
              <w:rPr>
                <w:sz w:val="20"/>
                <w:szCs w:val="20"/>
                <w:color w:val="auto"/>
              </w:rPr>
            </w:pPr>
            <w:r>
              <w:rPr>
                <w:rFonts w:ascii="Arial" w:cs="Arial" w:eastAsia="Arial" w:hAnsi="Arial"/>
                <w:sz w:val="13"/>
                <w:szCs w:val="13"/>
                <w:color w:val="0000FF"/>
              </w:rPr>
              <w:t>M</w:t>
            </w: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3"/>
                <w:szCs w:val="13"/>
                <w:color w:val="0000FF"/>
              </w:rPr>
              <w:t>07/28/2025</w:t>
            </w:r>
          </w:p>
        </w:tc>
        <w:tc>
          <w:tcPr>
            <w:tcW w:w="6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jc w:val="right"/>
              <w:ind w:right="164"/>
              <w:spacing w:after="0" w:line="134" w:lineRule="exact"/>
              <w:rPr>
                <w:sz w:val="20"/>
                <w:szCs w:val="20"/>
                <w:color w:val="auto"/>
              </w:rPr>
            </w:pPr>
            <w:r>
              <w:rPr>
                <w:rFonts w:ascii="Arial" w:cs="Arial" w:eastAsia="Arial" w:hAnsi="Arial"/>
                <w:sz w:val="13"/>
                <w:szCs w:val="13"/>
                <w:color w:val="0000FF"/>
              </w:rPr>
              <w:t>503,037</w:t>
            </w:r>
          </w:p>
        </w:tc>
        <w:tc>
          <w:tcPr>
            <w:tcW w:w="640" w:type="dxa"/>
            <w:vAlign w:val="bottom"/>
          </w:tcPr>
          <w:p>
            <w:pPr>
              <w:ind w:left="340"/>
              <w:spacing w:after="0" w:line="13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jc w:val="right"/>
              <w:ind w:right="155"/>
              <w:spacing w:after="0" w:line="125"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vMerge w:val="restart"/>
          </w:tcPr>
          <w:p>
            <w:pPr>
              <w:ind w:left="400"/>
              <w:spacing w:after="0"/>
              <w:rPr>
                <w:sz w:val="20"/>
                <w:szCs w:val="20"/>
                <w:color w:val="auto"/>
              </w:rPr>
            </w:pPr>
            <w:r>
              <w:rPr>
                <w:rFonts w:ascii="Arial" w:cs="Arial" w:eastAsia="Arial" w:hAnsi="Arial"/>
                <w:sz w:val="13"/>
                <w:szCs w:val="13"/>
                <w:color w:val="0000FF"/>
                <w:w w:val="97"/>
              </w:rPr>
              <w:t>503,027</w:t>
            </w:r>
            <w:r>
              <w:rPr>
                <w:rFonts w:ascii="Arial" w:cs="Arial" w:eastAsia="Arial" w:hAnsi="Arial"/>
                <w:sz w:val="20"/>
                <w:szCs w:val="20"/>
                <w:color w:val="008000"/>
                <w:w w:val="97"/>
                <w:vertAlign w:val="superscript"/>
              </w:rPr>
              <w:t>(1)</w:t>
            </w: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w w:val="88"/>
              </w:rPr>
              <w:t>02/15/2020</w:t>
            </w:r>
            <w:r>
              <w:rPr>
                <w:rFonts w:ascii="Arial" w:cs="Arial" w:eastAsia="Arial" w:hAnsi="Arial"/>
                <w:sz w:val="20"/>
                <w:szCs w:val="20"/>
                <w:color w:val="008000"/>
                <w:w w:val="88"/>
                <w:vertAlign w:val="superscript"/>
              </w:rPr>
              <w:t>(5)</w:t>
            </w:r>
          </w:p>
        </w:tc>
        <w:tc>
          <w:tcPr>
            <w:tcW w:w="7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6"/>
                <w:szCs w:val="16"/>
                <w:color w:val="0000FF"/>
                <w:w w:val="96"/>
              </w:rPr>
              <w:t>503,027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31.32</w:t>
            </w:r>
          </w:p>
        </w:tc>
        <w:tc>
          <w:tcPr>
            <w:tcW w:w="120" w:type="dxa"/>
            <w:vAlign w:val="bottom"/>
          </w:tcPr>
          <w:p>
            <w:pPr>
              <w:spacing w:after="0"/>
              <w:rPr>
                <w:sz w:val="11"/>
                <w:szCs w:val="11"/>
                <w:color w:val="auto"/>
              </w:rPr>
            </w:pPr>
          </w:p>
        </w:tc>
        <w:tc>
          <w:tcPr>
            <w:tcW w:w="1040" w:type="dxa"/>
            <w:vAlign w:val="bottom"/>
          </w:tcPr>
          <w:p>
            <w:pPr>
              <w:jc w:val="right"/>
              <w:ind w:right="177"/>
              <w:spacing w:after="0" w:line="134" w:lineRule="exact"/>
              <w:rPr>
                <w:sz w:val="20"/>
                <w:szCs w:val="20"/>
                <w:color w:val="auto"/>
              </w:rPr>
            </w:pPr>
            <w:r>
              <w:rPr>
                <w:rFonts w:ascii="Arial" w:cs="Arial" w:eastAsia="Arial" w:hAnsi="Arial"/>
                <w:sz w:val="13"/>
                <w:szCs w:val="13"/>
                <w:color w:val="0000FF"/>
              </w:rPr>
              <w:t>03/22/2021</w:t>
            </w:r>
          </w:p>
        </w:tc>
        <w:tc>
          <w:tcPr>
            <w:tcW w:w="1060" w:type="dxa"/>
            <w:vAlign w:val="bottom"/>
          </w:tcPr>
          <w:p>
            <w:pPr>
              <w:spacing w:after="0"/>
              <w:rPr>
                <w:sz w:val="11"/>
                <w:szCs w:val="11"/>
                <w:color w:val="auto"/>
              </w:rPr>
            </w:pPr>
          </w:p>
        </w:tc>
        <w:tc>
          <w:tcPr>
            <w:tcW w:w="740" w:type="dxa"/>
            <w:vAlign w:val="bottom"/>
            <w:gridSpan w:val="2"/>
          </w:tcPr>
          <w:p>
            <w:pPr>
              <w:jc w:val="center"/>
              <w:ind w:right="277"/>
              <w:spacing w:after="0" w:line="134" w:lineRule="exact"/>
              <w:rPr>
                <w:sz w:val="20"/>
                <w:szCs w:val="20"/>
                <w:color w:val="auto"/>
              </w:rPr>
            </w:pPr>
            <w:r>
              <w:rPr>
                <w:rFonts w:ascii="Arial" w:cs="Arial" w:eastAsia="Arial" w:hAnsi="Arial"/>
                <w:sz w:val="13"/>
                <w:szCs w:val="13"/>
                <w:color w:val="0000FF"/>
              </w:rPr>
              <w:t>M</w:t>
            </w:r>
          </w:p>
        </w:tc>
        <w:tc>
          <w:tcPr>
            <w:tcW w:w="10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3"/>
                <w:szCs w:val="13"/>
                <w:color w:val="0000FF"/>
              </w:rPr>
              <w:t>07/28/2025</w:t>
            </w:r>
          </w:p>
        </w:tc>
        <w:tc>
          <w:tcPr>
            <w:tcW w:w="6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jc w:val="right"/>
              <w:ind w:right="23"/>
              <w:spacing w:after="0" w:line="134" w:lineRule="exact"/>
              <w:rPr>
                <w:sz w:val="20"/>
                <w:szCs w:val="20"/>
                <w:color w:val="auto"/>
              </w:rPr>
            </w:pPr>
            <w:r>
              <w:rPr>
                <w:rFonts w:ascii="Arial" w:cs="Arial" w:eastAsia="Arial" w:hAnsi="Arial"/>
                <w:sz w:val="13"/>
                <w:szCs w:val="13"/>
                <w:color w:val="0000FF"/>
              </w:rPr>
              <w:t>10</w:t>
            </w:r>
          </w:p>
        </w:tc>
        <w:tc>
          <w:tcPr>
            <w:tcW w:w="280" w:type="dxa"/>
            <w:vAlign w:val="bottom"/>
          </w:tcPr>
          <w:p>
            <w:pPr>
              <w:spacing w:after="0"/>
              <w:rPr>
                <w:sz w:val="11"/>
                <w:szCs w:val="11"/>
                <w:color w:val="auto"/>
              </w:rPr>
            </w:pPr>
          </w:p>
        </w:tc>
        <w:tc>
          <w:tcPr>
            <w:tcW w:w="640" w:type="dxa"/>
            <w:vAlign w:val="bottom"/>
          </w:tcPr>
          <w:p>
            <w:pPr>
              <w:ind w:left="340"/>
              <w:spacing w:after="0" w:line="13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jc w:val="right"/>
              <w:ind w:right="155"/>
              <w:spacing w:after="0" w:line="125"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38" w:lineRule="exact"/>
        <w:rPr>
          <w:rFonts w:ascii="Arial" w:cs="Arial" w:eastAsia="Arial" w:hAnsi="Arial"/>
          <w:sz w:val="13"/>
          <w:szCs w:val="13"/>
          <w:color w:val="008000"/>
        </w:rPr>
      </w:pPr>
    </w:p>
    <w:p>
      <w:pPr>
        <w:ind w:left="40" w:right="240" w:hanging="2"/>
        <w:spacing w:after="0" w:line="308"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in Column 4 is the weighted average selling price of the shares. The shares were sold in multiple transactions at prices from $57.07 to $58.77, inclusive. The Reporting Person undertakes to provide to the SEC, GM and any security holder, upon request, full information regarding the number of shares sold at each price point within the ranges set forth in this footnote.</w:t>
      </w:r>
    </w:p>
    <w:p>
      <w:pPr>
        <w:ind w:left="40" w:right="240" w:hanging="2"/>
        <w:spacing w:after="0" w:line="308"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in Column 4 is the weighted average selling price of the shares. The shares were sold in multiple transactions at prices from $57.39 to $58.77, inclusive. The Reporting Person undertakes to provide to the SEC, GM and any security holder, upon request, full information regarding the number of shares sold at each price point within the ranges set forth in this footnote.</w:t>
      </w:r>
    </w:p>
    <w:p>
      <w:pPr>
        <w:ind w:left="40" w:right="200" w:hanging="2"/>
        <w:spacing w:after="0" w:line="236"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2013 pursuant to the GMSSP. The portion of this award currently payable was settled on June 30, 2015 in cash, less a portion withheld for taxes.</w:t>
      </w:r>
    </w:p>
    <w:p>
      <w:pPr>
        <w:spacing w:after="0" w:line="31" w:lineRule="exact"/>
        <w:rPr>
          <w:rFonts w:ascii="Arial" w:cs="Arial" w:eastAsia="Arial" w:hAnsi="Arial"/>
          <w:sz w:val="13"/>
          <w:szCs w:val="13"/>
          <w:color w:val="008000"/>
        </w:rPr>
      </w:pPr>
    </w:p>
    <w:p>
      <w:pPr>
        <w:ind w:left="40" w:right="640" w:hanging="2"/>
        <w:spacing w:after="0" w:line="236"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8" w:lineRule="auto"/>
        <w:rPr>
          <w:sz w:val="20"/>
          <w:szCs w:val="20"/>
          <w:color w:val="auto"/>
        </w:rPr>
      </w:pPr>
      <w:r>
        <w:rPr>
          <w:rFonts w:ascii="Arial" w:cs="Arial" w:eastAsia="Arial" w:hAnsi="Arial"/>
          <w:sz w:val="16"/>
          <w:szCs w:val="16"/>
          <w:color w:val="0000FF"/>
        </w:rPr>
        <w:t xml:space="preserve">/s/ Tia Y. Turk, Attorney-In-Fact </w:t>
      </w:r>
      <w:r>
        <w:rPr>
          <w:rFonts w:ascii="Arial" w:cs="Arial" w:eastAsia="Arial" w:hAnsi="Arial"/>
          <w:sz w:val="32"/>
          <w:szCs w:val="32"/>
          <w:color w:val="0000FF"/>
          <w:vertAlign w:val="subscript"/>
        </w:rPr>
        <w:t>03/24/2021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-25400</wp:posOffset>
            </wp:positionV>
            <wp:extent cx="1344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for Ms. Barra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558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5880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-80010</wp:posOffset>
            </wp:positionV>
            <wp:extent cx="470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2021-03-25T19:38:07Z</dcterms:created>
  <dcterms:modified xsi:type="dcterms:W3CDTF">2021-03-25T19:38:07Z</dcterms:modified>
</cp:coreProperties>
</file>