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SD</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4220" w:type="dxa"/>
            <w:vAlign w:val="bottom"/>
          </w:tcPr>
          <w:p>
            <w:pPr>
              <w:ind w:left="100"/>
              <w:spacing w:after="0"/>
              <w:rPr>
                <w:sz w:val="20"/>
                <w:szCs w:val="20"/>
                <w:color w:val="auto"/>
              </w:rPr>
            </w:pPr>
            <w:r>
              <w:rPr>
                <w:rFonts w:ascii="Arial" w:cs="Arial" w:eastAsia="Arial" w:hAnsi="Arial"/>
                <w:sz w:val="18"/>
                <w:szCs w:val="18"/>
                <w:i w:val="1"/>
                <w:iCs w:val="1"/>
                <w:color w:val="auto"/>
                <w:w w:val="99"/>
              </w:rPr>
              <w:t>(Exact name of registrant as specified in its charter)</w:t>
            </w:r>
          </w:p>
        </w:tc>
        <w:tc>
          <w:tcPr>
            <w:tcW w:w="3460" w:type="dxa"/>
            <w:vAlign w:val="bottom"/>
          </w:tcPr>
          <w:p>
            <w:pPr>
              <w:spacing w:after="0"/>
              <w:rPr>
                <w:sz w:val="20"/>
                <w:szCs w:val="20"/>
                <w:color w:val="auto"/>
              </w:rPr>
            </w:pPr>
          </w:p>
        </w:tc>
      </w:tr>
      <w:tr>
        <w:trPr>
          <w:trHeight w:val="318"/>
        </w:trPr>
        <w:tc>
          <w:tcPr>
            <w:tcW w:w="3740" w:type="dxa"/>
            <w:vAlign w:val="bottom"/>
            <w:tcBorders>
              <w:bottom w:val="single" w:sz="8" w:color="auto"/>
            </w:tcBorders>
          </w:tcPr>
          <w:p>
            <w:pPr>
              <w:jc w:val="center"/>
              <w:ind w:left="64"/>
              <w:spacing w:after="0"/>
              <w:rPr>
                <w:sz w:val="20"/>
                <w:szCs w:val="20"/>
                <w:color w:val="auto"/>
              </w:rPr>
            </w:pPr>
            <w:r>
              <w:rPr>
                <w:rFonts w:ascii="Arial" w:cs="Arial" w:eastAsia="Arial" w:hAnsi="Arial"/>
                <w:sz w:val="22"/>
                <w:szCs w:val="22"/>
                <w:b w:val="1"/>
                <w:bCs w:val="1"/>
                <w:color w:val="auto"/>
                <w:w w:val="95"/>
              </w:rPr>
              <w:t>STATE OF DELAWARE</w:t>
            </w:r>
          </w:p>
        </w:tc>
        <w:tc>
          <w:tcPr>
            <w:tcW w:w="4220" w:type="dxa"/>
            <w:vAlign w:val="bottom"/>
            <w:tcBorders>
              <w:bottom w:val="single" w:sz="8" w:color="auto"/>
            </w:tcBorders>
          </w:tcPr>
          <w:p>
            <w:pPr>
              <w:jc w:val="right"/>
              <w:ind w:right="1624"/>
              <w:spacing w:after="0"/>
              <w:rPr>
                <w:sz w:val="20"/>
                <w:szCs w:val="20"/>
                <w:color w:val="auto"/>
              </w:rPr>
            </w:pPr>
            <w:r>
              <w:rPr>
                <w:rFonts w:ascii="Arial" w:cs="Arial" w:eastAsia="Arial" w:hAnsi="Arial"/>
                <w:sz w:val="22"/>
                <w:szCs w:val="22"/>
                <w:b w:val="1"/>
                <w:bCs w:val="1"/>
                <w:color w:val="auto"/>
              </w:rPr>
              <w:t>001-34960</w:t>
            </w:r>
          </w:p>
        </w:tc>
        <w:tc>
          <w:tcPr>
            <w:tcW w:w="3460" w:type="dxa"/>
            <w:vAlign w:val="bottom"/>
            <w:tcBorders>
              <w:bottom w:val="single" w:sz="8" w:color="auto"/>
            </w:tcBorders>
          </w:tcPr>
          <w:p>
            <w:pPr>
              <w:jc w:val="right"/>
              <w:ind w:right="1261"/>
              <w:spacing w:after="0"/>
              <w:rPr>
                <w:sz w:val="20"/>
                <w:szCs w:val="20"/>
                <w:color w:val="auto"/>
              </w:rPr>
            </w:pPr>
            <w:r>
              <w:rPr>
                <w:rFonts w:ascii="Arial" w:cs="Arial" w:eastAsia="Arial" w:hAnsi="Arial"/>
                <w:sz w:val="22"/>
                <w:szCs w:val="22"/>
                <w:b w:val="1"/>
                <w:bCs w:val="1"/>
                <w:color w:val="auto"/>
              </w:rPr>
              <w:t>27-0756180</w:t>
            </w:r>
          </w:p>
        </w:tc>
      </w:tr>
      <w:tr>
        <w:trPr>
          <w:trHeight w:val="229"/>
        </w:trPr>
        <w:tc>
          <w:tcPr>
            <w:tcW w:w="3740" w:type="dxa"/>
            <w:vAlign w:val="bottom"/>
          </w:tcPr>
          <w:p>
            <w:pPr>
              <w:jc w:val="center"/>
              <w:ind w:left="84"/>
              <w:spacing w:after="0"/>
              <w:rPr>
                <w:sz w:val="20"/>
                <w:szCs w:val="20"/>
                <w:color w:val="auto"/>
              </w:rPr>
            </w:pPr>
            <w:r>
              <w:rPr>
                <w:rFonts w:ascii="Arial" w:cs="Arial" w:eastAsia="Arial" w:hAnsi="Arial"/>
                <w:sz w:val="18"/>
                <w:szCs w:val="18"/>
                <w:i w:val="1"/>
                <w:iCs w:val="1"/>
                <w:color w:val="auto"/>
                <w:w w:val="94"/>
              </w:rPr>
              <w:t>(State or other jurisdiction of incorporation or</w:t>
            </w:r>
          </w:p>
        </w:tc>
        <w:tc>
          <w:tcPr>
            <w:tcW w:w="4220" w:type="dxa"/>
            <w:vAlign w:val="bottom"/>
          </w:tcPr>
          <w:p>
            <w:pPr>
              <w:jc w:val="center"/>
              <w:ind w:right="44"/>
              <w:spacing w:after="0"/>
              <w:rPr>
                <w:sz w:val="20"/>
                <w:szCs w:val="20"/>
                <w:color w:val="auto"/>
              </w:rPr>
            </w:pPr>
            <w:r>
              <w:rPr>
                <w:rFonts w:ascii="Arial" w:cs="Arial" w:eastAsia="Arial" w:hAnsi="Arial"/>
                <w:sz w:val="18"/>
                <w:szCs w:val="18"/>
                <w:i w:val="1"/>
                <w:iCs w:val="1"/>
                <w:color w:val="auto"/>
                <w:w w:val="91"/>
              </w:rPr>
              <w:t>(Commission File Number)</w:t>
            </w:r>
          </w:p>
        </w:tc>
        <w:tc>
          <w:tcPr>
            <w:tcW w:w="3460" w:type="dxa"/>
            <w:vAlign w:val="bottom"/>
          </w:tcPr>
          <w:p>
            <w:pPr>
              <w:jc w:val="center"/>
              <w:ind w:right="201"/>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3740" w:type="dxa"/>
            <w:vAlign w:val="bottom"/>
          </w:tcPr>
          <w:p>
            <w:pPr>
              <w:jc w:val="center"/>
              <w:ind w:left="64"/>
              <w:spacing w:after="0"/>
              <w:rPr>
                <w:sz w:val="20"/>
                <w:szCs w:val="20"/>
                <w:color w:val="auto"/>
              </w:rPr>
            </w:pPr>
            <w:r>
              <w:rPr>
                <w:rFonts w:ascii="Arial" w:cs="Arial" w:eastAsia="Arial" w:hAnsi="Arial"/>
                <w:sz w:val="18"/>
                <w:szCs w:val="18"/>
                <w:i w:val="1"/>
                <w:iCs w:val="1"/>
                <w:color w:val="auto"/>
                <w:w w:val="94"/>
              </w:rPr>
              <w:t>organization)</w:t>
            </w:r>
          </w:p>
        </w:tc>
        <w:tc>
          <w:tcPr>
            <w:tcW w:w="4220" w:type="dxa"/>
            <w:vAlign w:val="bottom"/>
          </w:tcPr>
          <w:p>
            <w:pPr>
              <w:spacing w:after="0"/>
              <w:rPr>
                <w:sz w:val="20"/>
                <w:szCs w:val="20"/>
                <w:color w:val="auto"/>
              </w:rPr>
            </w:pPr>
          </w:p>
        </w:tc>
        <w:tc>
          <w:tcPr>
            <w:tcW w:w="3460" w:type="dxa"/>
            <w:vAlign w:val="bottom"/>
          </w:tcPr>
          <w:p>
            <w:pPr>
              <w:spacing w:after="0"/>
              <w:rPr>
                <w:sz w:val="20"/>
                <w:szCs w:val="2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291"/>
        </w:trPr>
        <w:tc>
          <w:tcPr>
            <w:tcW w:w="7400" w:type="dxa"/>
            <w:vAlign w:val="bottom"/>
            <w:tcBorders>
              <w:bottom w:val="single" w:sz="8" w:color="auto"/>
            </w:tcBorders>
          </w:tcPr>
          <w:p>
            <w:pPr>
              <w:jc w:val="center"/>
              <w:ind w:left="181"/>
              <w:spacing w:after="0"/>
              <w:rPr>
                <w:sz w:val="20"/>
                <w:szCs w:val="20"/>
                <w:color w:val="auto"/>
              </w:rPr>
            </w:pPr>
            <w:r>
              <w:rPr>
                <w:rFonts w:ascii="Arial" w:cs="Arial" w:eastAsia="Arial" w:hAnsi="Arial"/>
                <w:sz w:val="22"/>
                <w:szCs w:val="22"/>
                <w:b w:val="1"/>
                <w:bCs w:val="1"/>
                <w:color w:val="auto"/>
                <w:w w:val="88"/>
              </w:rPr>
              <w:t>300 Renaissance Center, Detroit, Michigan</w:t>
            </w:r>
          </w:p>
        </w:tc>
        <w:tc>
          <w:tcPr>
            <w:tcW w:w="4020" w:type="dxa"/>
            <w:vAlign w:val="bottom"/>
            <w:tcBorders>
              <w:bottom w:val="single" w:sz="8" w:color="auto"/>
            </w:tcBorders>
          </w:tcPr>
          <w:p>
            <w:pPr>
              <w:jc w:val="right"/>
              <w:ind w:right="1261"/>
              <w:spacing w:after="0"/>
              <w:rPr>
                <w:sz w:val="20"/>
                <w:szCs w:val="20"/>
                <w:color w:val="auto"/>
              </w:rPr>
            </w:pPr>
            <w:r>
              <w:rPr>
                <w:rFonts w:ascii="Arial" w:cs="Arial" w:eastAsia="Arial" w:hAnsi="Arial"/>
                <w:sz w:val="22"/>
                <w:szCs w:val="22"/>
                <w:b w:val="1"/>
                <w:bCs w:val="1"/>
                <w:color w:val="auto"/>
              </w:rPr>
              <w:t>48265-3000</w:t>
            </w:r>
          </w:p>
        </w:tc>
      </w:tr>
      <w:tr>
        <w:trPr>
          <w:trHeight w:val="243"/>
        </w:trPr>
        <w:tc>
          <w:tcPr>
            <w:tcW w:w="7400" w:type="dxa"/>
            <w:vAlign w:val="bottom"/>
          </w:tcPr>
          <w:p>
            <w:pPr>
              <w:jc w:val="center"/>
              <w:ind w:left="181"/>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4020" w:type="dxa"/>
            <w:vAlign w:val="bottom"/>
          </w:tcPr>
          <w:p>
            <w:pPr>
              <w:jc w:val="center"/>
              <w:ind w:left="181"/>
              <w:spacing w:after="0"/>
              <w:rPr>
                <w:sz w:val="20"/>
                <w:szCs w:val="20"/>
                <w:color w:val="auto"/>
              </w:rPr>
            </w:pPr>
            <w:r>
              <w:rPr>
                <w:rFonts w:ascii="Arial" w:cs="Arial" w:eastAsia="Arial" w:hAnsi="Arial"/>
                <w:sz w:val="18"/>
                <w:szCs w:val="18"/>
                <w:i w:val="1"/>
                <w:iCs w:val="1"/>
                <w:color w:val="auto"/>
                <w:w w:val="91"/>
              </w:rPr>
              <w:t>(Zip Code)</w:t>
            </w:r>
          </w:p>
        </w:tc>
      </w:tr>
    </w:tbl>
    <w:p>
      <w:pPr>
        <w:spacing w:after="0" w:line="2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Mark L. Reuss - Executive Vice President, Global Product Development, Purchasing and Supply Chain (313) 556-5000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and telephone number, including area code, of the person to contact in connection with this report)</w:t>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00" w:lineRule="exact"/>
        <w:rPr>
          <w:sz w:val="24"/>
          <w:szCs w:val="24"/>
          <w:color w:val="auto"/>
        </w:rPr>
      </w:pPr>
    </w:p>
    <w:p>
      <w:pPr>
        <w:spacing w:after="0" w:line="264"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22"/>
          <w:szCs w:val="22"/>
          <w:b w:val="1"/>
          <w:bCs w:val="1"/>
          <w:color w:val="auto"/>
        </w:rPr>
        <w:t>INFORMATION TO BE INCLUDED IN THE REPORT</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 Conflict Minerals Report is filed as Exhibit 1.01 and is also publicly available at the following Internet website: www.gm.com/investors/sec-filings.html.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Conflict Minerals Report required by Item 1.01 and 1.02 is filed as Exhibit 1.01 to this Form SD.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Exhibit 1.01 - Conflict Minerals Report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 * *</w:t>
      </w:r>
    </w:p>
    <w:p>
      <w:pPr>
        <w:sectPr>
          <w:pgSz w:w="11900" w:h="16838" w:orient="portrait"/>
          <w:cols w:equalWidth="0" w:num="1">
            <w:col w:w="11360"/>
          </w:cols>
          <w:pgMar w:left="240" w:top="585"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4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MARK L. REUSS</w:t>
            </w:r>
          </w:p>
        </w:tc>
        <w:tc>
          <w:tcPr>
            <w:tcW w:w="0" w:type="dxa"/>
            <w:vAlign w:val="bottom"/>
          </w:tcPr>
          <w:p>
            <w:pPr>
              <w:spacing w:after="0"/>
              <w:rPr>
                <w:sz w:val="1"/>
                <w:szCs w:val="1"/>
                <w:color w:val="auto"/>
              </w:rPr>
            </w:pPr>
          </w:p>
        </w:tc>
      </w:tr>
      <w:tr>
        <w:trPr>
          <w:trHeight w:val="27"/>
        </w:trPr>
        <w:tc>
          <w:tcPr>
            <w:tcW w:w="3460" w:type="dxa"/>
            <w:vAlign w:val="bottom"/>
            <w:vMerge w:val="restart"/>
          </w:tcPr>
          <w:p>
            <w:pPr>
              <w:spacing w:after="0"/>
              <w:rPr>
                <w:sz w:val="20"/>
                <w:szCs w:val="20"/>
                <w:color w:val="auto"/>
              </w:rPr>
            </w:pPr>
            <w:r>
              <w:rPr>
                <w:rFonts w:ascii="Arial" w:cs="Arial" w:eastAsia="Arial" w:hAnsi="Arial"/>
                <w:sz w:val="18"/>
                <w:szCs w:val="18"/>
                <w:color w:val="auto"/>
              </w:rPr>
              <w:t>Date: May 31, 2016</w:t>
            </w:r>
          </w:p>
        </w:tc>
        <w:tc>
          <w:tcPr>
            <w:tcW w:w="2680" w:type="dxa"/>
            <w:vAlign w:val="bottom"/>
            <w:vMerge w:val="restart"/>
          </w:tcPr>
          <w:p>
            <w:pPr>
              <w:ind w:left="202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60" w:type="dxa"/>
            <w:vAlign w:val="bottom"/>
            <w:vMerge w:val="continue"/>
          </w:tcPr>
          <w:p>
            <w:pPr>
              <w:spacing w:after="0"/>
              <w:rPr>
                <w:sz w:val="19"/>
                <w:szCs w:val="19"/>
                <w:color w:val="auto"/>
              </w:rPr>
            </w:pPr>
          </w:p>
        </w:tc>
        <w:tc>
          <w:tcPr>
            <w:tcW w:w="2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Mark L. Reuss</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w w:val="96"/>
              </w:rPr>
              <w:t>Executive Vice President, Global Product Development, Purchasing</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and Supply Chain</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281940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1.01</w:t>
      </w:r>
    </w:p>
    <w:p>
      <w:pPr>
        <w:spacing w:after="0" w:line="32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Conflict Minerals Report</w:t>
      </w:r>
    </w:p>
    <w:p>
      <w:pPr>
        <w:spacing w:after="0" w:line="244" w:lineRule="exact"/>
        <w:rPr>
          <w:sz w:val="20"/>
          <w:szCs w:val="20"/>
          <w:color w:val="auto"/>
        </w:rPr>
      </w:pPr>
    </w:p>
    <w:p>
      <w:pPr>
        <w:ind w:right="80" w:firstLine="162"/>
        <w:spacing w:after="0" w:line="290" w:lineRule="auto"/>
        <w:rPr>
          <w:sz w:val="20"/>
          <w:szCs w:val="20"/>
          <w:color w:val="auto"/>
        </w:rPr>
      </w:pPr>
      <w:r>
        <w:rPr>
          <w:rFonts w:ascii="Arial" w:cs="Arial" w:eastAsia="Arial" w:hAnsi="Arial"/>
          <w:sz w:val="19"/>
          <w:szCs w:val="19"/>
          <w:color w:val="auto"/>
        </w:rPr>
        <w:t>This Conflict Minerals Report (CMR) of General Motors Company is for calendar year 2015 in accordance with Rule 13p-1 under the Securities Exchange Act of 1934, as amended (the SEC Rule). The SEC Rule was adopted by the Securities and Exchange Commission (SEC) to implement reporting requirements related to conflict minerals as directed by the Dodd-Frank Wall Street Reform and Consumer Protection Act of 2010. The SEC Rule imposes certain reporting obligations on SEC registrants whose manufactured products contain conflict minerals. The SEC Rule defines conflict minerals as columbite-tantalite (coltan), cassiterite, gold, wolframite, or their derivatives, which are limited to tantalum, tin, and tungsten (3TG), and any other mineral or its derivatives determined by the U.S. Secretary of State to be financing conflict in the Democratic Republic of the Congo or an adjoining country. In this CMR, references to General Motors, GM, our, us, or we refer to General Motors Company.</w:t>
      </w:r>
    </w:p>
    <w:p>
      <w:pPr>
        <w:spacing w:after="0" w:line="169" w:lineRule="exact"/>
        <w:rPr>
          <w:sz w:val="20"/>
          <w:szCs w:val="20"/>
          <w:color w:val="auto"/>
        </w:rPr>
      </w:pPr>
    </w:p>
    <w:p>
      <w:pPr>
        <w:ind w:left="820" w:hanging="812"/>
        <w:spacing w:after="0"/>
        <w:tabs>
          <w:tab w:leader="none" w:pos="820" w:val="left"/>
        </w:tabs>
        <w:numPr>
          <w:ilvl w:val="0"/>
          <w:numId w:val="2"/>
        </w:numPr>
        <w:rPr>
          <w:rFonts w:ascii="Arial" w:cs="Arial" w:eastAsia="Arial" w:hAnsi="Arial"/>
          <w:sz w:val="25"/>
          <w:szCs w:val="25"/>
          <w:b w:val="1"/>
          <w:bCs w:val="1"/>
          <w:color w:val="auto"/>
        </w:rPr>
      </w:pPr>
      <w:r>
        <w:rPr>
          <w:rFonts w:ascii="Arial" w:cs="Arial" w:eastAsia="Arial" w:hAnsi="Arial"/>
          <w:sz w:val="25"/>
          <w:szCs w:val="25"/>
          <w:b w:val="1"/>
          <w:bCs w:val="1"/>
          <w:color w:val="auto"/>
        </w:rPr>
        <w:t>Company and Supply Chain Overview</w:t>
      </w:r>
    </w:p>
    <w:p>
      <w:pPr>
        <w:spacing w:after="0" w:line="254" w:lineRule="exact"/>
        <w:rPr>
          <w:sz w:val="20"/>
          <w:szCs w:val="20"/>
          <w:color w:val="auto"/>
        </w:rPr>
      </w:pPr>
    </w:p>
    <w:p>
      <w:pPr>
        <w:ind w:right="140" w:firstLine="162"/>
        <w:spacing w:after="0" w:line="250" w:lineRule="auto"/>
        <w:rPr>
          <w:sz w:val="20"/>
          <w:szCs w:val="20"/>
          <w:color w:val="auto"/>
        </w:rPr>
      </w:pPr>
      <w:r>
        <w:rPr>
          <w:rFonts w:ascii="Arial" w:cs="Arial" w:eastAsia="Arial" w:hAnsi="Arial"/>
          <w:sz w:val="22"/>
          <w:szCs w:val="22"/>
          <w:color w:val="auto"/>
        </w:rPr>
        <w:t>We, through our direct and indirect subsidiaries, design, build, and sell cars, trucks, crossovers, and automobile parts worldwide. We have an extensive and complex supply chain. Generally, multiple tiers of supplier manufacturers exist between the smelters/refiners that process 3TG and the ultimate first tier supplier that delivers parts to us. We have no direct business relationship with any smelters/refiners of 3TG.</w:t>
      </w:r>
    </w:p>
    <w:p>
      <w:pPr>
        <w:spacing w:after="0" w:line="188" w:lineRule="exact"/>
        <w:rPr>
          <w:sz w:val="20"/>
          <w:szCs w:val="20"/>
          <w:color w:val="auto"/>
        </w:rPr>
      </w:pPr>
    </w:p>
    <w:p>
      <w:pPr>
        <w:ind w:right="60" w:firstLine="162"/>
        <w:spacing w:after="0" w:line="250" w:lineRule="auto"/>
        <w:rPr>
          <w:sz w:val="20"/>
          <w:szCs w:val="20"/>
          <w:color w:val="auto"/>
        </w:rPr>
      </w:pPr>
      <w:r>
        <w:rPr>
          <w:rFonts w:ascii="Arial" w:cs="Arial" w:eastAsia="Arial" w:hAnsi="Arial"/>
          <w:sz w:val="22"/>
          <w:szCs w:val="22"/>
          <w:color w:val="auto"/>
        </w:rPr>
        <w:t>We procure components and other raw materials from a global, diversified multi-tiered supply base, much of which also supplies, directly or indirectly, other automotive original equipment manufacturers. We rely on our suppliers at the top tier of our supply chain, the suppliers we have direct contracts with, to provide information on the origin of, and facilities used to process, the 3TG contained in components and materials supplied to us.</w:t>
      </w:r>
    </w:p>
    <w:p>
      <w:pPr>
        <w:spacing w:after="0" w:line="188" w:lineRule="exact"/>
        <w:rPr>
          <w:sz w:val="20"/>
          <w:szCs w:val="20"/>
          <w:color w:val="auto"/>
        </w:rPr>
      </w:pPr>
    </w:p>
    <w:p>
      <w:pPr>
        <w:ind w:right="200" w:firstLine="162"/>
        <w:spacing w:after="0" w:line="250" w:lineRule="auto"/>
        <w:rPr>
          <w:sz w:val="20"/>
          <w:szCs w:val="20"/>
          <w:color w:val="auto"/>
        </w:rPr>
      </w:pPr>
      <w:r>
        <w:rPr>
          <w:rFonts w:ascii="Arial" w:cs="Arial" w:eastAsia="Arial" w:hAnsi="Arial"/>
          <w:sz w:val="22"/>
          <w:szCs w:val="22"/>
          <w:color w:val="auto"/>
        </w:rPr>
        <w:t>As subsequently discussed, we have conducted a Reasonable Country of Origin Inquiry (RCOI) and performed reasonable due diligence on the source and chain of custody of 3TG contained in components and material supplied to us, in compliance with the SEC Rule. Based on the results of our RCOI, and after conducting reasonable due diligence, we are unable to definitively determine the origin of the 3TG utilized in our products.</w:t>
      </w:r>
    </w:p>
    <w:p>
      <w:pPr>
        <w:spacing w:after="0" w:line="200" w:lineRule="exact"/>
        <w:rPr>
          <w:sz w:val="20"/>
          <w:szCs w:val="20"/>
          <w:color w:val="auto"/>
        </w:rPr>
      </w:pPr>
    </w:p>
    <w:p>
      <w:pPr>
        <w:ind w:left="920" w:hanging="912"/>
        <w:spacing w:after="0"/>
        <w:tabs>
          <w:tab w:leader="none" w:pos="920" w:val="left"/>
        </w:tabs>
        <w:numPr>
          <w:ilvl w:val="0"/>
          <w:numId w:val="3"/>
        </w:numPr>
        <w:rPr>
          <w:rFonts w:ascii="Arial" w:cs="Arial" w:eastAsia="Arial" w:hAnsi="Arial"/>
          <w:sz w:val="25"/>
          <w:szCs w:val="25"/>
          <w:b w:val="1"/>
          <w:bCs w:val="1"/>
          <w:color w:val="auto"/>
        </w:rPr>
      </w:pPr>
      <w:r>
        <w:rPr>
          <w:rFonts w:ascii="Arial" w:cs="Arial" w:eastAsia="Arial" w:hAnsi="Arial"/>
          <w:sz w:val="25"/>
          <w:szCs w:val="25"/>
          <w:b w:val="1"/>
          <w:bCs w:val="1"/>
          <w:color w:val="auto"/>
        </w:rPr>
        <w:t>Reasonable Country of Origin Inquiry</w:t>
      </w:r>
    </w:p>
    <w:p>
      <w:pPr>
        <w:spacing w:after="0" w:line="254" w:lineRule="exact"/>
        <w:rPr>
          <w:sz w:val="20"/>
          <w:szCs w:val="20"/>
          <w:color w:val="auto"/>
        </w:rPr>
      </w:pPr>
    </w:p>
    <w:p>
      <w:pPr>
        <w:ind w:firstLine="162"/>
        <w:spacing w:after="0" w:line="290" w:lineRule="auto"/>
        <w:rPr>
          <w:sz w:val="20"/>
          <w:szCs w:val="20"/>
          <w:color w:val="auto"/>
        </w:rPr>
      </w:pPr>
      <w:r>
        <w:rPr>
          <w:rFonts w:ascii="Arial" w:cs="Arial" w:eastAsia="Arial" w:hAnsi="Arial"/>
          <w:sz w:val="19"/>
          <w:szCs w:val="19"/>
          <w:color w:val="auto"/>
        </w:rPr>
        <w:t>To conduct our RCOI, we solicited conflict minerals declarations from our first tier suppliers of parts that we believe may contain 3TG. These parts include original equipment incorporated into our vehicles, as well as service and aftermarket parts. We used the industry standard reporting form, the Conflict Minerals Reporting Template (CMRT) published by the Conflict-Free Sourcing Initiative (CFSI), to obtain information from these suppliers regarding their manufacturing locations that we believe may provide the 3TG-containing products. We identified these supplier locations based on information in our material data system and prior year supplier CMRT submissions. We also surveyed certain of our employees whose function may provide relevant information to identify any additional supplier locations that may supply us with products that contain 3TG. For 2015, we received completed CMRTs from 77% of the 3,512 supplier locations that we believe supply components that contain 3TG.</w:t>
      </w:r>
    </w:p>
    <w:p>
      <w:pPr>
        <w:sectPr>
          <w:pgSz w:w="11900" w:h="16838" w:orient="portrait"/>
          <w:cols w:equalWidth="0" w:num="1">
            <w:col w:w="11420"/>
          </w:cols>
          <w:pgMar w:left="240" w:top="585" w:right="239" w:bottom="1440" w:gutter="0" w:footer="0" w:header="0"/>
        </w:sectPr>
      </w:pPr>
    </w:p>
    <w:bookmarkStart w:id="4" w:name="page5"/>
    <w:bookmarkEnd w:id="4"/>
    <w:p>
      <w:pPr>
        <w:ind w:left="1020" w:hanging="1012"/>
        <w:spacing w:after="0"/>
        <w:tabs>
          <w:tab w:leader="none" w:pos="1020" w:val="left"/>
        </w:tabs>
        <w:numPr>
          <w:ilvl w:val="0"/>
          <w:numId w:val="4"/>
        </w:numPr>
        <w:rPr>
          <w:rFonts w:ascii="Arial" w:cs="Arial" w:eastAsia="Arial" w:hAnsi="Arial"/>
          <w:sz w:val="25"/>
          <w:szCs w:val="25"/>
          <w:b w:val="1"/>
          <w:bCs w:val="1"/>
          <w:color w:val="auto"/>
        </w:rPr>
      </w:pPr>
      <w:r>
        <w:rPr>
          <w:rFonts w:ascii="Arial" w:cs="Arial" w:eastAsia="Arial" w:hAnsi="Arial"/>
          <w:sz w:val="25"/>
          <w:szCs w:val="25"/>
          <w:b w:val="1"/>
          <w:bCs w:val="1"/>
          <w:color w:val="auto"/>
        </w:rPr>
        <w:t>Due Diligence Process</w:t>
      </w:r>
    </w:p>
    <w:p>
      <w:pPr>
        <w:spacing w:after="0" w:line="295" w:lineRule="exact"/>
        <w:rPr>
          <w:sz w:val="20"/>
          <w:szCs w:val="20"/>
          <w:color w:val="auto"/>
        </w:rPr>
      </w:pPr>
    </w:p>
    <w:p>
      <w:pPr>
        <w:ind w:right="20" w:firstLine="162"/>
        <w:spacing w:after="0" w:line="250" w:lineRule="auto"/>
        <w:rPr>
          <w:sz w:val="20"/>
          <w:szCs w:val="20"/>
          <w:color w:val="auto"/>
        </w:rPr>
      </w:pPr>
      <w:r>
        <w:rPr>
          <w:rFonts w:ascii="Arial" w:cs="Arial" w:eastAsia="Arial" w:hAnsi="Arial"/>
          <w:sz w:val="22"/>
          <w:szCs w:val="22"/>
          <w:color w:val="auto"/>
        </w:rPr>
        <w:t>To obtain information regarding the source and chain of custody of 3TG, we conducted due diligence through our direct suppliers based on the Organisation for Economic Co-operation and Development (OECD) Due Diligence Guidance for Responsible Supply Chains of Minerals from Conflict-Affected and High-Risk Areas published by the OECD. The OECD Guidance provides an internationally recognized framework for conflict minerals due diligence.</w:t>
      </w:r>
    </w:p>
    <w:p>
      <w:pPr>
        <w:spacing w:after="0" w:line="229" w:lineRule="exact"/>
        <w:rPr>
          <w:sz w:val="20"/>
          <w:szCs w:val="20"/>
          <w:color w:val="auto"/>
        </w:rPr>
      </w:pPr>
    </w:p>
    <w:p>
      <w:pPr>
        <w:ind w:left="860" w:hanging="690"/>
        <w:spacing w:after="0"/>
        <w:tabs>
          <w:tab w:leader="none" w:pos="860" w:val="left"/>
        </w:tabs>
        <w:numPr>
          <w:ilvl w:val="0"/>
          <w:numId w:val="5"/>
        </w:numPr>
        <w:rPr>
          <w:rFonts w:ascii="Arial" w:cs="Arial" w:eastAsia="Arial" w:hAnsi="Arial"/>
          <w:sz w:val="22"/>
          <w:szCs w:val="22"/>
          <w:color w:val="auto"/>
        </w:rPr>
      </w:pPr>
      <w:r>
        <w:rPr>
          <w:rFonts w:ascii="Arial" w:cs="Arial" w:eastAsia="Arial" w:hAnsi="Arial"/>
          <w:sz w:val="22"/>
          <w:szCs w:val="22"/>
          <w:color w:val="auto"/>
        </w:rPr>
        <w:t>Establish Strong Company Management Systems</w:t>
      </w:r>
    </w:p>
    <w:p>
      <w:pPr>
        <w:spacing w:after="0" w:line="260" w:lineRule="exact"/>
        <w:rPr>
          <w:rFonts w:ascii="Arial" w:cs="Arial" w:eastAsia="Arial" w:hAnsi="Arial"/>
          <w:sz w:val="22"/>
          <w:szCs w:val="22"/>
          <w:color w:val="auto"/>
        </w:rPr>
      </w:pPr>
    </w:p>
    <w:p>
      <w:pPr>
        <w:ind w:left="820" w:hanging="488"/>
        <w:spacing w:after="0"/>
        <w:tabs>
          <w:tab w:leader="none" w:pos="820" w:val="left"/>
        </w:tabs>
        <w:numPr>
          <w:ilvl w:val="1"/>
          <w:numId w:val="5"/>
        </w:numPr>
        <w:rPr>
          <w:rFonts w:ascii="Arial" w:cs="Arial" w:eastAsia="Arial" w:hAnsi="Arial"/>
          <w:sz w:val="22"/>
          <w:szCs w:val="22"/>
          <w:color w:val="auto"/>
        </w:rPr>
      </w:pPr>
      <w:r>
        <w:rPr>
          <w:rFonts w:ascii="Arial" w:cs="Arial" w:eastAsia="Arial" w:hAnsi="Arial"/>
          <w:sz w:val="22"/>
          <w:szCs w:val="22"/>
          <w:color w:val="auto"/>
        </w:rPr>
        <w:t>Company Position Statement</w:t>
      </w:r>
    </w:p>
    <w:p>
      <w:pPr>
        <w:spacing w:after="0" w:line="260"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22"/>
          <w:szCs w:val="22"/>
          <w:color w:val="auto"/>
        </w:rPr>
        <w:t>We communicate to our suppliers and to the public our policy relating to the use of 3TG in our Global Supply Chain. Our conflict minerals position statement is found at www.gmsustainability.com/impacts/supply-chain.html#initiatives. This position statement is also communicated to our suppliers through our supplier portal and is stated below:</w:t>
      </w:r>
    </w:p>
    <w:p>
      <w:pPr>
        <w:spacing w:after="0" w:line="40" w:lineRule="exact"/>
        <w:rPr>
          <w:sz w:val="20"/>
          <w:szCs w:val="20"/>
          <w:color w:val="auto"/>
        </w:rPr>
      </w:pPr>
    </w:p>
    <w:p>
      <w:pPr>
        <w:ind w:right="320" w:firstLine="162"/>
        <w:spacing w:after="0" w:line="282" w:lineRule="auto"/>
        <w:rPr>
          <w:sz w:val="20"/>
          <w:szCs w:val="20"/>
          <w:color w:val="auto"/>
        </w:rPr>
      </w:pPr>
      <w:r>
        <w:rPr>
          <w:rFonts w:ascii="Arial" w:cs="Arial" w:eastAsia="Arial" w:hAnsi="Arial"/>
          <w:sz w:val="18"/>
          <w:szCs w:val="18"/>
          <w:i w:val="1"/>
          <w:iCs w:val="1"/>
          <w:color w:val="666666"/>
        </w:rPr>
        <w:t>On Aug. 22, 2012, the U.S. Securities and Exchange Commission adopted final rules to implement reporting and disclosure requirements related to “conflict minerals,” as directed by the Dodd-Frank Wall Street Reform and Consumer Protection Act of 2010.</w:t>
      </w:r>
    </w:p>
    <w:p>
      <w:pPr>
        <w:spacing w:after="0" w:line="229" w:lineRule="exact"/>
        <w:rPr>
          <w:sz w:val="20"/>
          <w:szCs w:val="20"/>
          <w:color w:val="auto"/>
        </w:rPr>
      </w:pPr>
    </w:p>
    <w:p>
      <w:pPr>
        <w:ind w:right="180" w:firstLine="162"/>
        <w:spacing w:after="0" w:line="266" w:lineRule="auto"/>
        <w:rPr>
          <w:sz w:val="20"/>
          <w:szCs w:val="20"/>
          <w:color w:val="auto"/>
        </w:rPr>
      </w:pPr>
      <w:r>
        <w:rPr>
          <w:rFonts w:ascii="Arial" w:cs="Arial" w:eastAsia="Arial" w:hAnsi="Arial"/>
          <w:sz w:val="18"/>
          <w:szCs w:val="18"/>
          <w:i w:val="1"/>
          <w:iCs w:val="1"/>
          <w:color w:val="666666"/>
        </w:rPr>
        <w:t>The term “conflict minerals” is defined as columbite-tantalite (coltan), cassiterite, gold, wolframite, tantalum, tin, tungsten and any other mineral or its derivatives determined by the U.S. Secretary of State to be financing conflict in the Democratic Republic of the Congo (DRC) or an adjoining country.</w:t>
      </w:r>
    </w:p>
    <w:p>
      <w:pPr>
        <w:spacing w:after="0" w:line="244" w:lineRule="exact"/>
        <w:rPr>
          <w:sz w:val="20"/>
          <w:szCs w:val="20"/>
          <w:color w:val="auto"/>
        </w:rPr>
      </w:pPr>
    </w:p>
    <w:p>
      <w:pPr>
        <w:ind w:right="20" w:firstLine="162"/>
        <w:spacing w:after="0" w:line="266" w:lineRule="auto"/>
        <w:rPr>
          <w:sz w:val="20"/>
          <w:szCs w:val="20"/>
          <w:color w:val="auto"/>
        </w:rPr>
      </w:pPr>
      <w:r>
        <w:rPr>
          <w:rFonts w:ascii="Arial" w:cs="Arial" w:eastAsia="Arial" w:hAnsi="Arial"/>
          <w:sz w:val="18"/>
          <w:szCs w:val="18"/>
          <w:i w:val="1"/>
          <w:iCs w:val="1"/>
          <w:color w:val="666666"/>
        </w:rPr>
        <w:t>Through industry collaboration, GM has adopted a common methodology to obtain chain of custody declarations from suppliers to increase the transparency of conflict minerals in our global supply chain. GM has been an active contributor within the Automotive Industry Action Group (AIAG) in developing an automotive industry-wide approach in reporting the use of conflict minerals.</w:t>
      </w:r>
    </w:p>
    <w:p>
      <w:pPr>
        <w:spacing w:after="0" w:line="244" w:lineRule="exact"/>
        <w:rPr>
          <w:sz w:val="20"/>
          <w:szCs w:val="20"/>
          <w:color w:val="auto"/>
        </w:rPr>
      </w:pPr>
    </w:p>
    <w:p>
      <w:pPr>
        <w:ind w:right="60" w:firstLine="162"/>
        <w:spacing w:after="0" w:line="266" w:lineRule="auto"/>
        <w:rPr>
          <w:sz w:val="20"/>
          <w:szCs w:val="20"/>
          <w:color w:val="auto"/>
        </w:rPr>
      </w:pPr>
      <w:r>
        <w:rPr>
          <w:rFonts w:ascii="Arial" w:cs="Arial" w:eastAsia="Arial" w:hAnsi="Arial"/>
          <w:sz w:val="18"/>
          <w:szCs w:val="18"/>
          <w:i w:val="1"/>
          <w:iCs w:val="1"/>
          <w:color w:val="666666"/>
        </w:rPr>
        <w:t>We require our suppliers to engage in due diligence of their supply chains to understand and report the content of their parts supplied to GM. Further, we encourage our suppliers to source responsibly with certified conflict-free smelters, wherever possible, to increase our level of confidence that the parts in our vehicles and products contain conflict-free minerals.</w:t>
      </w:r>
    </w:p>
    <w:p>
      <w:pPr>
        <w:spacing w:after="0" w:line="174" w:lineRule="exact"/>
        <w:rPr>
          <w:sz w:val="20"/>
          <w:szCs w:val="20"/>
          <w:color w:val="auto"/>
        </w:rPr>
      </w:pPr>
    </w:p>
    <w:p>
      <w:pPr>
        <w:ind w:left="820" w:hanging="488"/>
        <w:spacing w:after="0"/>
        <w:tabs>
          <w:tab w:leader="none" w:pos="82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Internal Management Team</w:t>
      </w:r>
    </w:p>
    <w:p>
      <w:pPr>
        <w:spacing w:after="0" w:line="260" w:lineRule="exact"/>
        <w:rPr>
          <w:sz w:val="20"/>
          <w:szCs w:val="20"/>
          <w:color w:val="auto"/>
        </w:rPr>
      </w:pPr>
    </w:p>
    <w:p>
      <w:pPr>
        <w:ind w:right="60" w:firstLine="162"/>
        <w:spacing w:after="0" w:line="292" w:lineRule="auto"/>
        <w:rPr>
          <w:sz w:val="20"/>
          <w:szCs w:val="20"/>
          <w:color w:val="auto"/>
        </w:rPr>
      </w:pPr>
      <w:r>
        <w:rPr>
          <w:rFonts w:ascii="Arial" w:cs="Arial" w:eastAsia="Arial" w:hAnsi="Arial"/>
          <w:sz w:val="19"/>
          <w:szCs w:val="19"/>
          <w:color w:val="auto"/>
        </w:rPr>
        <w:t>We have structured an internal management organization that supports our due diligence activities relating to 3TG. We have a full-time team to lead our conflict minerals compliance program. To support this team, we organized a Conflict Minerals Compliance Committee, composed of representatives from the following functional areas: Global Purchasing and Supply Chain, Public Policy, Finance, Information Technology, Communications, SEC Reporting and Materials Engineering. The Conflict Minerals Compliance Committee provides cross functional expertise for our conflict minerals compliance program. We also have a Conflict Minerals Executive Steering Committee composed of Executives in Global Purchasing and Supply Chain, Legal and Public Policy. The Executive Steering Committee exercises oversight over the conflict minerals compliance program.</w:t>
      </w:r>
    </w:p>
    <w:p>
      <w:pPr>
        <w:spacing w:after="0" w:line="192" w:lineRule="exact"/>
        <w:rPr>
          <w:sz w:val="20"/>
          <w:szCs w:val="20"/>
          <w:color w:val="auto"/>
        </w:rPr>
      </w:pPr>
    </w:p>
    <w:p>
      <w:pPr>
        <w:ind w:left="820" w:hanging="488"/>
        <w:spacing w:after="0"/>
        <w:tabs>
          <w:tab w:leader="none" w:pos="820" w:val="left"/>
        </w:tabs>
        <w:numPr>
          <w:ilvl w:val="0"/>
          <w:numId w:val="7"/>
        </w:numPr>
        <w:rPr>
          <w:rFonts w:ascii="Arial" w:cs="Arial" w:eastAsia="Arial" w:hAnsi="Arial"/>
          <w:sz w:val="22"/>
          <w:szCs w:val="22"/>
          <w:color w:val="auto"/>
        </w:rPr>
      </w:pPr>
      <w:r>
        <w:rPr>
          <w:rFonts w:ascii="Arial" w:cs="Arial" w:eastAsia="Arial" w:hAnsi="Arial"/>
          <w:sz w:val="22"/>
          <w:szCs w:val="22"/>
          <w:color w:val="auto"/>
        </w:rPr>
        <w:t>System of Supply Chain Controls and Transparency</w:t>
      </w:r>
    </w:p>
    <w:p>
      <w:pPr>
        <w:spacing w:after="0" w:line="260" w:lineRule="exact"/>
        <w:rPr>
          <w:sz w:val="20"/>
          <w:szCs w:val="20"/>
          <w:color w:val="auto"/>
        </w:rPr>
      </w:pPr>
    </w:p>
    <w:p>
      <w:pPr>
        <w:ind w:right="380" w:firstLine="162"/>
        <w:spacing w:after="0" w:line="263" w:lineRule="auto"/>
        <w:rPr>
          <w:sz w:val="20"/>
          <w:szCs w:val="20"/>
          <w:color w:val="auto"/>
        </w:rPr>
      </w:pPr>
      <w:r>
        <w:rPr>
          <w:rFonts w:ascii="Arial" w:cs="Arial" w:eastAsia="Arial" w:hAnsi="Arial"/>
          <w:sz w:val="22"/>
          <w:szCs w:val="22"/>
          <w:color w:val="auto"/>
        </w:rPr>
        <w:t>Since 2013, our standard terms and conditions for purchase contracts require our direct suppliers to report their use of 3TG in products supplied to us. We expect our direct suppliers to be fair, humane and</w:t>
      </w:r>
    </w:p>
    <w:p>
      <w:pPr>
        <w:sectPr>
          <w:pgSz w:w="11900" w:h="16838" w:orient="portrait"/>
          <w:cols w:equalWidth="0" w:num="1">
            <w:col w:w="11400"/>
          </w:cols>
          <w:pgMar w:left="240" w:top="603" w:right="259" w:bottom="1440" w:gutter="0" w:footer="0" w:header="0"/>
        </w:sectPr>
      </w:pPr>
    </w:p>
    <w:bookmarkStart w:id="5" w:name="page6"/>
    <w:bookmarkEnd w:id="5"/>
    <w:p>
      <w:pPr>
        <w:ind w:right="280"/>
        <w:spacing w:after="0" w:line="248" w:lineRule="auto"/>
        <w:rPr>
          <w:sz w:val="20"/>
          <w:szCs w:val="20"/>
          <w:color w:val="auto"/>
        </w:rPr>
      </w:pPr>
      <w:r>
        <w:rPr>
          <w:rFonts w:ascii="Arial" w:cs="Arial" w:eastAsia="Arial" w:hAnsi="Arial"/>
          <w:sz w:val="22"/>
          <w:szCs w:val="22"/>
          <w:color w:val="auto"/>
        </w:rPr>
        <w:t>lawful employers, and to enforce similar requirements with their sub-suppliers. We rely on our first tier suppliers, as part of their response process to our request for conflict minerals information, to solicit and compile information from lower tier suppliers comprising our supply chain. We review each of the first tier supplier responses and work with our suppliers, as necessary, to improve the accuracy of the information we receive, both directly from our first tier suppliers as well as indirectly from downstream suppliers.</w:t>
      </w:r>
    </w:p>
    <w:p>
      <w:pPr>
        <w:spacing w:after="0" w:line="192" w:lineRule="exact"/>
        <w:rPr>
          <w:sz w:val="20"/>
          <w:szCs w:val="20"/>
          <w:color w:val="auto"/>
        </w:rPr>
      </w:pPr>
    </w:p>
    <w:p>
      <w:pPr>
        <w:ind w:right="20" w:firstLine="162"/>
        <w:spacing w:after="0" w:line="250" w:lineRule="auto"/>
        <w:rPr>
          <w:sz w:val="20"/>
          <w:szCs w:val="20"/>
          <w:color w:val="auto"/>
        </w:rPr>
      </w:pPr>
      <w:r>
        <w:rPr>
          <w:rFonts w:ascii="Arial" w:cs="Arial" w:eastAsia="Arial" w:hAnsi="Arial"/>
          <w:sz w:val="22"/>
          <w:szCs w:val="22"/>
          <w:color w:val="auto"/>
        </w:rPr>
        <w:t>We also participate in conflict minerals initiatives with other automobile manufacturers through the Automotive Industry Action Group (AIAG), a non-profit automotive industry trade association. Through our membership with AIAG, we collaborate with other AIAG member companies to develop common methods to obtain 3TG chain of custody declarations from suppliers in the automotive industry.</w:t>
      </w:r>
    </w:p>
    <w:p>
      <w:pPr>
        <w:spacing w:after="0" w:line="229" w:lineRule="exact"/>
        <w:rPr>
          <w:sz w:val="20"/>
          <w:szCs w:val="20"/>
          <w:color w:val="auto"/>
        </w:rPr>
      </w:pPr>
    </w:p>
    <w:p>
      <w:pPr>
        <w:ind w:left="820" w:hanging="488"/>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Supplier Engagement</w:t>
      </w:r>
    </w:p>
    <w:p>
      <w:pPr>
        <w:spacing w:after="0" w:line="260" w:lineRule="exact"/>
        <w:rPr>
          <w:sz w:val="20"/>
          <w:szCs w:val="20"/>
          <w:color w:val="auto"/>
        </w:rPr>
      </w:pPr>
    </w:p>
    <w:p>
      <w:pPr>
        <w:ind w:right="80" w:firstLine="162"/>
        <w:spacing w:after="0" w:line="294" w:lineRule="auto"/>
        <w:rPr>
          <w:sz w:val="20"/>
          <w:szCs w:val="20"/>
          <w:color w:val="auto"/>
        </w:rPr>
      </w:pPr>
      <w:r>
        <w:rPr>
          <w:rFonts w:ascii="Arial" w:cs="Arial" w:eastAsia="Arial" w:hAnsi="Arial"/>
          <w:sz w:val="19"/>
          <w:szCs w:val="19"/>
          <w:color w:val="auto"/>
        </w:rPr>
        <w:t>We engage with our suppliers to assist them in building capabilities to improve chain of custody declarations and to increase the transparency of 3TG in our global supply chain. We communicate our conflict minerals reporting requirements to suppliers via various mechanisms including teleconferences, emails, publications, and webinars. We have also established a direct email address (email address: conflictminerals@gm.com) to provide our suppliers a streamlined path of communication relating to conflict minerals. We make conflict minerals documents available through our supplier portal and have created and provide FAQs, instructions, webinar presentations, and leadership messages relating to conflict minerals.</w:t>
      </w:r>
    </w:p>
    <w:p>
      <w:pPr>
        <w:spacing w:after="0" w:line="190" w:lineRule="exact"/>
        <w:rPr>
          <w:sz w:val="20"/>
          <w:szCs w:val="20"/>
          <w:color w:val="auto"/>
        </w:rPr>
      </w:pPr>
    </w:p>
    <w:p>
      <w:pPr>
        <w:ind w:left="820" w:hanging="488"/>
        <w:spacing w:after="0"/>
        <w:tabs>
          <w:tab w:leader="none" w:pos="820" w:val="left"/>
        </w:tabs>
        <w:numPr>
          <w:ilvl w:val="0"/>
          <w:numId w:val="9"/>
        </w:numPr>
        <w:rPr>
          <w:rFonts w:ascii="Arial" w:cs="Arial" w:eastAsia="Arial" w:hAnsi="Arial"/>
          <w:sz w:val="22"/>
          <w:szCs w:val="22"/>
          <w:color w:val="auto"/>
        </w:rPr>
      </w:pPr>
      <w:r>
        <w:rPr>
          <w:rFonts w:ascii="Arial" w:cs="Arial" w:eastAsia="Arial" w:hAnsi="Arial"/>
          <w:sz w:val="22"/>
          <w:szCs w:val="22"/>
          <w:color w:val="auto"/>
        </w:rPr>
        <w:t>Grievance Mechanism</w:t>
      </w:r>
    </w:p>
    <w:p>
      <w:pPr>
        <w:spacing w:after="0" w:line="260" w:lineRule="exact"/>
        <w:rPr>
          <w:sz w:val="20"/>
          <w:szCs w:val="20"/>
          <w:color w:val="auto"/>
        </w:rPr>
      </w:pPr>
    </w:p>
    <w:p>
      <w:pPr>
        <w:ind w:firstLine="162"/>
        <w:spacing w:after="0" w:line="261" w:lineRule="auto"/>
        <w:rPr>
          <w:sz w:val="20"/>
          <w:szCs w:val="20"/>
          <w:color w:val="auto"/>
        </w:rPr>
      </w:pPr>
      <w:r>
        <w:rPr>
          <w:rFonts w:ascii="Arial" w:cs="Arial" w:eastAsia="Arial" w:hAnsi="Arial"/>
          <w:sz w:val="21"/>
          <w:szCs w:val="21"/>
          <w:color w:val="auto"/>
        </w:rPr>
        <w:t>We maintain procedures for reporting potential safety concerns, potential misconduct, and concerns about potential ethical violations, including concerns regarding conflict minerals. One of those methods is the “Awareline,” which allows employees, suppliers, and others to report concerns about us, our management, supervisors, employees, or agents. Reports can be made to “Awareline” in over a dozen different languages 24 hours per day, 7 days per week by phone, web, email, postal service or fax. Individuals filing reports on the “Awareline” may remain anonymous and calls and messages are never recorded or traced. A link to access information for the “Awareline” is: www.awareline.com/index.htm.</w:t>
      </w:r>
    </w:p>
    <w:p>
      <w:pPr>
        <w:spacing w:after="0" w:line="221" w:lineRule="exact"/>
        <w:rPr>
          <w:sz w:val="20"/>
          <w:szCs w:val="20"/>
          <w:color w:val="auto"/>
        </w:rPr>
      </w:pPr>
    </w:p>
    <w:p>
      <w:pPr>
        <w:ind w:right="400" w:firstLine="162"/>
        <w:spacing w:after="0" w:line="250" w:lineRule="auto"/>
        <w:rPr>
          <w:sz w:val="20"/>
          <w:szCs w:val="20"/>
          <w:color w:val="auto"/>
        </w:rPr>
      </w:pPr>
      <w:r>
        <w:rPr>
          <w:rFonts w:ascii="Arial" w:cs="Arial" w:eastAsia="Arial" w:hAnsi="Arial"/>
          <w:sz w:val="22"/>
          <w:szCs w:val="22"/>
          <w:color w:val="auto"/>
        </w:rPr>
        <w:t>GM employees and contract workers may also communicate, anonymously or otherwise, with our independent Monitor, appointed in October 2015 under GM’s Deferred Prosecution Agreement with the Southern District of New York. The Monitor maintains an independent toll-free phone number for reporting any violation of law or unethical conduct, as well as a globally available online web form.</w:t>
      </w:r>
    </w:p>
    <w:p>
      <w:pPr>
        <w:spacing w:after="0" w:line="229" w:lineRule="exact"/>
        <w:rPr>
          <w:sz w:val="20"/>
          <w:szCs w:val="20"/>
          <w:color w:val="auto"/>
        </w:rPr>
      </w:pPr>
    </w:p>
    <w:p>
      <w:pPr>
        <w:ind w:left="860" w:hanging="690"/>
        <w:spacing w:after="0"/>
        <w:tabs>
          <w:tab w:leader="none" w:pos="8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Identify and Assess Risk in the Supply Chain</w:t>
      </w:r>
    </w:p>
    <w:p>
      <w:pPr>
        <w:spacing w:after="0" w:line="260" w:lineRule="exact"/>
        <w:rPr>
          <w:sz w:val="20"/>
          <w:szCs w:val="20"/>
          <w:color w:val="auto"/>
        </w:rPr>
      </w:pPr>
    </w:p>
    <w:p>
      <w:pPr>
        <w:ind w:right="180" w:firstLine="162"/>
        <w:spacing w:after="0" w:line="250" w:lineRule="auto"/>
        <w:rPr>
          <w:sz w:val="20"/>
          <w:szCs w:val="20"/>
          <w:color w:val="auto"/>
        </w:rPr>
      </w:pPr>
      <w:r>
        <w:rPr>
          <w:rFonts w:ascii="Arial" w:cs="Arial" w:eastAsia="Arial" w:hAnsi="Arial"/>
          <w:sz w:val="22"/>
          <w:szCs w:val="22"/>
          <w:color w:val="auto"/>
        </w:rPr>
        <w:t>We analyzed the CMRT responses for completeness and consistency. We also requested suppliers who reported procuring 3TG from a covered country to report to us the identity of the applicable smelters/refiners. We then compared these identified smelters/refiners to those listed in the Conflict-Free Smelter Program to identify suppliers that deliver parts that may contain 3TG from smelters/refiners that are not in the Conflict-Free Smelter Program.</w:t>
      </w:r>
    </w:p>
    <w:p>
      <w:pPr>
        <w:spacing w:after="0" w:line="188" w:lineRule="exact"/>
        <w:rPr>
          <w:sz w:val="20"/>
          <w:szCs w:val="20"/>
          <w:color w:val="auto"/>
        </w:rPr>
      </w:pPr>
    </w:p>
    <w:p>
      <w:pPr>
        <w:ind w:right="160" w:firstLine="162"/>
        <w:spacing w:after="0" w:line="253" w:lineRule="auto"/>
        <w:rPr>
          <w:sz w:val="20"/>
          <w:szCs w:val="20"/>
          <w:color w:val="auto"/>
        </w:rPr>
      </w:pPr>
      <w:r>
        <w:rPr>
          <w:rFonts w:ascii="Arial" w:cs="Arial" w:eastAsia="Arial" w:hAnsi="Arial"/>
          <w:sz w:val="22"/>
          <w:szCs w:val="22"/>
          <w:color w:val="auto"/>
        </w:rPr>
        <w:t>We are also a member company of the Conflict-Free Sourcing Initiative (CFSI). Through our membership (ID # 5515), we are able to obtain specific information on smelters/refiners that is available only to CFSI member companies. We use this information internally within GM, to analyze the smelter</w:t>
      </w:r>
    </w:p>
    <w:p>
      <w:pPr>
        <w:sectPr>
          <w:pgSz w:w="11900" w:h="16838" w:orient="portrait"/>
          <w:cols w:equalWidth="0" w:num="1">
            <w:col w:w="11400"/>
          </w:cols>
          <w:pgMar w:left="240" w:top="375" w:right="259" w:bottom="1440" w:gutter="0" w:footer="0" w:header="0"/>
        </w:sectPr>
      </w:pPr>
    </w:p>
    <w:bookmarkStart w:id="6" w:name="page7"/>
    <w:bookmarkEnd w:id="6"/>
    <w:p>
      <w:pPr>
        <w:ind w:right="40"/>
        <w:spacing w:after="0" w:line="297" w:lineRule="auto"/>
        <w:rPr>
          <w:sz w:val="20"/>
          <w:szCs w:val="20"/>
          <w:color w:val="auto"/>
        </w:rPr>
      </w:pPr>
      <w:r>
        <w:rPr>
          <w:rFonts w:ascii="Arial" w:cs="Arial" w:eastAsia="Arial" w:hAnsi="Arial"/>
          <w:sz w:val="19"/>
          <w:szCs w:val="19"/>
          <w:color w:val="auto"/>
        </w:rPr>
        <w:t>lists provided to us through our suppliers’ CMRT submissions. Many supplier CMRTs contain duplicate entries on the smelter lists and include names of companies that may not be actual smelters/refiners. We provided feedback to those suppliers showing the line items that are duplicates, and the company names that may not be legitimate smelters/refiners. In addition, we provided to suppliers the names of smelters/refiners that are not yet in the Conflict-Free Smelter Program and are listed in their CMRTs. We requested our suppliers, through individual emails, to send letters to these smelters/refiners to join this program.</w:t>
      </w:r>
    </w:p>
    <w:p>
      <w:pPr>
        <w:spacing w:after="0" w:line="147" w:lineRule="exact"/>
        <w:rPr>
          <w:sz w:val="20"/>
          <w:szCs w:val="20"/>
          <w:color w:val="auto"/>
        </w:rPr>
      </w:pPr>
    </w:p>
    <w:p>
      <w:pPr>
        <w:ind w:right="180" w:firstLine="162"/>
        <w:spacing w:after="0" w:line="250" w:lineRule="auto"/>
        <w:rPr>
          <w:sz w:val="20"/>
          <w:szCs w:val="20"/>
          <w:color w:val="auto"/>
        </w:rPr>
      </w:pPr>
      <w:r>
        <w:rPr>
          <w:rFonts w:ascii="Arial" w:cs="Arial" w:eastAsia="Arial" w:hAnsi="Arial"/>
          <w:sz w:val="22"/>
          <w:szCs w:val="22"/>
          <w:color w:val="auto"/>
        </w:rPr>
        <w:t>In addition to the smelter name, the CMRT form also seeks information related to the location (country) of the mine from which the 3TG is procured. Although we requested that our suppliers include this information in their responses, we did not consistently receive responses with country (origin) information. We will continue to educate our suppliers on the importance of determining the origin of 3TG.</w:t>
      </w:r>
    </w:p>
    <w:p>
      <w:pPr>
        <w:spacing w:after="0" w:line="229" w:lineRule="exact"/>
        <w:rPr>
          <w:sz w:val="20"/>
          <w:szCs w:val="20"/>
          <w:color w:val="auto"/>
        </w:rPr>
      </w:pPr>
    </w:p>
    <w:p>
      <w:pPr>
        <w:ind w:left="860" w:hanging="690"/>
        <w:spacing w:after="0"/>
        <w:tabs>
          <w:tab w:leader="none" w:pos="8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Design and Implement a Strategy to Respond to Identified Risk</w:t>
      </w:r>
    </w:p>
    <w:p>
      <w:pPr>
        <w:spacing w:after="0" w:line="260" w:lineRule="exact"/>
        <w:rPr>
          <w:sz w:val="20"/>
          <w:szCs w:val="20"/>
          <w:color w:val="auto"/>
        </w:rPr>
      </w:pPr>
    </w:p>
    <w:p>
      <w:pPr>
        <w:ind w:firstLine="162"/>
        <w:spacing w:after="0" w:line="246" w:lineRule="auto"/>
        <w:rPr>
          <w:sz w:val="20"/>
          <w:szCs w:val="20"/>
          <w:color w:val="auto"/>
        </w:rPr>
      </w:pPr>
      <w:r>
        <w:rPr>
          <w:rFonts w:ascii="Arial" w:cs="Arial" w:eastAsia="Arial" w:hAnsi="Arial"/>
          <w:sz w:val="22"/>
          <w:szCs w:val="22"/>
          <w:color w:val="auto"/>
        </w:rPr>
        <w:t>As previously described, we review each supplier CMRT response in order to (i) provide feedback to our suppliers and (ii) identify risks in our supply chain related to use of 3TG. We also have established a formal escalation process for resolving concerns regarding the use of 3TG in our supply chain. Specifically, when our conflict minerals team identifies defects or other problems in a supplier’s CMRT response (including a failure to respond), we first attempt to work directly with the supplier to resolve the issue. If our conflict minerals team does not receive an acceptable response from the supplier, the issue is escalated to the appropriate leadership, and eventually to the Conflict Minerals Executive Steering Committee. If necessary, we may preclude a supplier from receiving future business.</w:t>
      </w:r>
    </w:p>
    <w:p>
      <w:pPr>
        <w:spacing w:after="0" w:line="197" w:lineRule="exact"/>
        <w:rPr>
          <w:sz w:val="20"/>
          <w:szCs w:val="20"/>
          <w:color w:val="auto"/>
        </w:rPr>
      </w:pPr>
    </w:p>
    <w:p>
      <w:pPr>
        <w:ind w:right="440" w:firstLine="162"/>
        <w:spacing w:after="0" w:line="265" w:lineRule="auto"/>
        <w:rPr>
          <w:sz w:val="20"/>
          <w:szCs w:val="20"/>
          <w:color w:val="auto"/>
        </w:rPr>
      </w:pPr>
      <w:r>
        <w:rPr>
          <w:rFonts w:ascii="Arial" w:cs="Arial" w:eastAsia="Arial" w:hAnsi="Arial"/>
          <w:sz w:val="21"/>
          <w:szCs w:val="21"/>
          <w:color w:val="auto"/>
        </w:rPr>
        <w:t>Smelter/refiner outreach and certification are also important risk mitigation components of our conflict minerals program. To increase the number of conflict-free smelters/refiners, we conducted outreach to 90 smelters/refiners by sending letters to encourage them to join the Conflict-Free Smelter Program. We also encouraged our suppliers to send outreach letters to the smelters/refiners in their smelter lists who are not in the Conflict-Free Smelter Program.</w:t>
      </w:r>
    </w:p>
    <w:p>
      <w:pPr>
        <w:spacing w:after="0" w:line="176" w:lineRule="exact"/>
        <w:rPr>
          <w:sz w:val="20"/>
          <w:szCs w:val="20"/>
          <w:color w:val="auto"/>
        </w:rPr>
      </w:pPr>
    </w:p>
    <w:p>
      <w:pPr>
        <w:ind w:right="440" w:firstLine="162"/>
        <w:spacing w:after="0" w:line="263" w:lineRule="auto"/>
        <w:rPr>
          <w:sz w:val="20"/>
          <w:szCs w:val="20"/>
          <w:color w:val="auto"/>
        </w:rPr>
      </w:pPr>
      <w:r>
        <w:rPr>
          <w:rFonts w:ascii="Arial" w:cs="Arial" w:eastAsia="Arial" w:hAnsi="Arial"/>
          <w:sz w:val="22"/>
          <w:szCs w:val="22"/>
          <w:color w:val="auto"/>
        </w:rPr>
        <w:t>Results of our monitoring and outreach efforts are reported to the Conflict Minerals Executive Steering Committee at regular periodic meetings and tracked against prior year results.</w:t>
      </w:r>
    </w:p>
    <w:p>
      <w:pPr>
        <w:spacing w:after="0" w:line="215" w:lineRule="exact"/>
        <w:rPr>
          <w:sz w:val="20"/>
          <w:szCs w:val="20"/>
          <w:color w:val="auto"/>
        </w:rPr>
      </w:pPr>
    </w:p>
    <w:p>
      <w:pPr>
        <w:ind w:left="860" w:hanging="690"/>
        <w:spacing w:after="0"/>
        <w:tabs>
          <w:tab w:leader="none" w:pos="8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Carry Out Independent Third-Party Audit of Supply Chain Due Diligence</w:t>
      </w:r>
    </w:p>
    <w:p>
      <w:pPr>
        <w:spacing w:after="0" w:line="260" w:lineRule="exact"/>
        <w:rPr>
          <w:sz w:val="20"/>
          <w:szCs w:val="20"/>
          <w:color w:val="auto"/>
        </w:rPr>
      </w:pPr>
    </w:p>
    <w:p>
      <w:pPr>
        <w:ind w:right="180" w:firstLine="162"/>
        <w:spacing w:after="0" w:line="302" w:lineRule="auto"/>
        <w:rPr>
          <w:sz w:val="20"/>
          <w:szCs w:val="20"/>
          <w:color w:val="auto"/>
        </w:rPr>
      </w:pPr>
      <w:r>
        <w:rPr>
          <w:rFonts w:ascii="Arial" w:cs="Arial" w:eastAsia="Arial" w:hAnsi="Arial"/>
          <w:sz w:val="19"/>
          <w:szCs w:val="19"/>
          <w:color w:val="auto"/>
        </w:rPr>
        <w:t>Since we do not source directly with smelters/refiners, we rely on information through industry involvement and membership in CFSI. We actively support industry-wide initiatives to improve both reporting and knowledge regarding the smelters/refiners supplying 3TG materials for our products. Through contributions to the AIAG Conflict Minerals Work Group, we also support visits to smelters/refiners to encourage participation by smelters/refiners that are not yet in the Conflict-Free Smelter Program.</w:t>
      </w:r>
    </w:p>
    <w:p>
      <w:pPr>
        <w:spacing w:after="0" w:line="183" w:lineRule="exact"/>
        <w:rPr>
          <w:sz w:val="20"/>
          <w:szCs w:val="20"/>
          <w:color w:val="auto"/>
        </w:rPr>
      </w:pPr>
    </w:p>
    <w:p>
      <w:pPr>
        <w:ind w:left="840" w:hanging="670"/>
        <w:spacing w:after="0"/>
        <w:tabs>
          <w:tab w:leader="none" w:pos="8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Report on Supply Chain Due Diligence</w:t>
      </w:r>
    </w:p>
    <w:p>
      <w:pPr>
        <w:spacing w:after="0" w:line="260" w:lineRule="exact"/>
        <w:rPr>
          <w:sz w:val="20"/>
          <w:szCs w:val="20"/>
          <w:color w:val="auto"/>
        </w:rPr>
      </w:pPr>
    </w:p>
    <w:p>
      <w:pPr>
        <w:ind w:right="160" w:firstLine="162"/>
        <w:spacing w:after="0" w:line="253" w:lineRule="auto"/>
        <w:rPr>
          <w:sz w:val="20"/>
          <w:szCs w:val="20"/>
          <w:color w:val="auto"/>
        </w:rPr>
      </w:pPr>
      <w:r>
        <w:rPr>
          <w:rFonts w:ascii="Arial" w:cs="Arial" w:eastAsia="Arial" w:hAnsi="Arial"/>
          <w:sz w:val="22"/>
          <w:szCs w:val="22"/>
          <w:color w:val="auto"/>
        </w:rPr>
        <w:t>We file the Specialized Disclosure Form including the Conflict Minerals Report annually with the SEC as directed by the Dodd-Frank Wall Street Reform and Consumer Protection Act of 2010. Our Form SD and CMR are available on our website at www.gm.com/investors/sec-filings.html.</w:t>
      </w:r>
    </w:p>
    <w:p>
      <w:pPr>
        <w:sectPr>
          <w:pgSz w:w="11900" w:h="16838" w:orient="portrait"/>
          <w:cols w:equalWidth="0" w:num="1">
            <w:col w:w="11420"/>
          </w:cols>
          <w:pgMar w:left="240" w:top="375" w:right="239" w:bottom="1440" w:gutter="0" w:footer="0" w:header="0"/>
        </w:sectPr>
      </w:pPr>
    </w:p>
    <w:bookmarkStart w:id="7" w:name="page8"/>
    <w:bookmarkEnd w:id="7"/>
    <w:p>
      <w:pPr>
        <w:spacing w:after="0"/>
        <w:tabs>
          <w:tab w:leader="none" w:pos="940" w:val="left"/>
        </w:tabs>
        <w:rPr>
          <w:sz w:val="20"/>
          <w:szCs w:val="20"/>
          <w:color w:val="auto"/>
        </w:rPr>
      </w:pPr>
      <w:r>
        <w:rPr>
          <w:rFonts w:ascii="Arial" w:cs="Arial" w:eastAsia="Arial" w:hAnsi="Arial"/>
          <w:sz w:val="25"/>
          <w:szCs w:val="25"/>
          <w:b w:val="1"/>
          <w:bCs w:val="1"/>
          <w:color w:val="auto"/>
        </w:rPr>
        <w:t>IV.</w:t>
      </w:r>
      <w:r>
        <w:rPr>
          <w:sz w:val="20"/>
          <w:szCs w:val="20"/>
          <w:color w:val="auto"/>
        </w:rPr>
        <w:tab/>
      </w:r>
      <w:r>
        <w:rPr>
          <w:rFonts w:ascii="Arial" w:cs="Arial" w:eastAsia="Arial" w:hAnsi="Arial"/>
          <w:sz w:val="25"/>
          <w:szCs w:val="25"/>
          <w:b w:val="1"/>
          <w:bCs w:val="1"/>
          <w:color w:val="auto"/>
        </w:rPr>
        <w:t>Steps We Have Taken or Will Take to Improve Due Diligence</w:t>
      </w:r>
    </w:p>
    <w:p>
      <w:pPr>
        <w:spacing w:after="0" w:line="295" w:lineRule="exact"/>
        <w:rPr>
          <w:sz w:val="20"/>
          <w:szCs w:val="20"/>
          <w:color w:val="auto"/>
        </w:rPr>
      </w:pPr>
    </w:p>
    <w:p>
      <w:pPr>
        <w:ind w:right="20" w:firstLine="162"/>
        <w:spacing w:after="0" w:line="247" w:lineRule="auto"/>
        <w:rPr>
          <w:sz w:val="20"/>
          <w:szCs w:val="20"/>
          <w:color w:val="auto"/>
        </w:rPr>
      </w:pPr>
      <w:r>
        <w:rPr>
          <w:rFonts w:ascii="Arial" w:cs="Arial" w:eastAsia="Arial" w:hAnsi="Arial"/>
          <w:sz w:val="22"/>
          <w:szCs w:val="22"/>
          <w:color w:val="auto"/>
        </w:rPr>
        <w:t>During this reporting year, we experienced favorable improvement in two key metrics measuring the effectiveness of our conflict minerals program: (i) the number of suppliers submitting CMRTs to us increased by more than 40% over the prior year, and (ii) as identified by CFSI, the number of smelters/refiners in the Conflict-Free Smelter Program also increased over the prior year. We are continuing to work with our suppliers to gather more information through the supply chain. Through emails, webinars, and our position statement, we are encouraging our suppliers to work with their supply chains to source responsibly, including utilizing conflict-free smelters/refiners.</w:t>
      </w:r>
    </w:p>
    <w:p>
      <w:pPr>
        <w:spacing w:after="0" w:line="194" w:lineRule="exact"/>
        <w:rPr>
          <w:sz w:val="20"/>
          <w:szCs w:val="20"/>
          <w:color w:val="auto"/>
        </w:rPr>
      </w:pPr>
    </w:p>
    <w:p>
      <w:pPr>
        <w:ind w:right="60" w:firstLine="162"/>
        <w:spacing w:after="0" w:line="271" w:lineRule="auto"/>
        <w:rPr>
          <w:sz w:val="20"/>
          <w:szCs w:val="20"/>
          <w:color w:val="auto"/>
        </w:rPr>
      </w:pPr>
      <w:r>
        <w:rPr>
          <w:rFonts w:ascii="Arial" w:cs="Arial" w:eastAsia="Arial" w:hAnsi="Arial"/>
          <w:sz w:val="21"/>
          <w:szCs w:val="21"/>
          <w:color w:val="auto"/>
        </w:rPr>
        <w:t>We will continue to work with AIAG to further educate suppliers and utilize common methods to determine the origin of 3TG in our products. We co-chair the main AIAG Conflict Minerals Work Group. Through this group, we will continue to develop and participate in AIAG training and to support AIAG publishing white papers for use by the automotive industry.</w:t>
      </w:r>
    </w:p>
    <w:p>
      <w:pPr>
        <w:spacing w:after="0" w:line="168" w:lineRule="exact"/>
        <w:rPr>
          <w:sz w:val="20"/>
          <w:szCs w:val="20"/>
          <w:color w:val="auto"/>
        </w:rPr>
      </w:pPr>
    </w:p>
    <w:p>
      <w:pPr>
        <w:ind w:right="100" w:firstLine="162"/>
        <w:spacing w:after="0" w:line="248" w:lineRule="auto"/>
        <w:rPr>
          <w:sz w:val="20"/>
          <w:szCs w:val="20"/>
          <w:color w:val="auto"/>
        </w:rPr>
      </w:pPr>
      <w:r>
        <w:rPr>
          <w:rFonts w:ascii="Arial" w:cs="Arial" w:eastAsia="Arial" w:hAnsi="Arial"/>
          <w:sz w:val="22"/>
          <w:szCs w:val="22"/>
          <w:color w:val="auto"/>
        </w:rPr>
        <w:t>We, as a member company of CFSI, are further developing a reliable smelter/refiner list by assisting CFSI in identifying legitimate smelters/refiners. Working with CFSI and AIAG, we are sending letters to smelters/refiners who are not yet engaged in the Conflict-Free Smelter Program. We believe that increasing the participation of smelters/refiners in the Conflict-Free Smelter Program will not only expand the availability of conflict-free 3TG, but will also enhance the ability for our supply base to reliably source 3TG from conflict-free smelters/refiners.</w:t>
      </w:r>
    </w:p>
    <w:p>
      <w:pPr>
        <w:spacing w:after="0" w:line="204" w:lineRule="exact"/>
        <w:rPr>
          <w:sz w:val="20"/>
          <w:szCs w:val="20"/>
          <w:color w:val="auto"/>
        </w:rPr>
      </w:pPr>
    </w:p>
    <w:p>
      <w:pPr>
        <w:ind w:left="860" w:hanging="852"/>
        <w:spacing w:after="0"/>
        <w:tabs>
          <w:tab w:leader="none" w:pos="860" w:val="left"/>
        </w:tabs>
        <w:numPr>
          <w:ilvl w:val="0"/>
          <w:numId w:val="14"/>
        </w:numPr>
        <w:rPr>
          <w:rFonts w:ascii="Arial" w:cs="Arial" w:eastAsia="Arial" w:hAnsi="Arial"/>
          <w:sz w:val="25"/>
          <w:szCs w:val="25"/>
          <w:b w:val="1"/>
          <w:bCs w:val="1"/>
          <w:color w:val="auto"/>
        </w:rPr>
      </w:pPr>
      <w:r>
        <w:rPr>
          <w:rFonts w:ascii="Arial" w:cs="Arial" w:eastAsia="Arial" w:hAnsi="Arial"/>
          <w:sz w:val="25"/>
          <w:szCs w:val="25"/>
          <w:b w:val="1"/>
          <w:bCs w:val="1"/>
          <w:color w:val="auto"/>
        </w:rPr>
        <w:t>Product Determination</w:t>
      </w:r>
    </w:p>
    <w:p>
      <w:pPr>
        <w:spacing w:after="0" w:line="254" w:lineRule="exact"/>
        <w:rPr>
          <w:sz w:val="20"/>
          <w:szCs w:val="20"/>
          <w:color w:val="auto"/>
        </w:rPr>
      </w:pPr>
    </w:p>
    <w:p>
      <w:pPr>
        <w:ind w:right="40" w:firstLine="162"/>
        <w:spacing w:after="0" w:line="302" w:lineRule="auto"/>
        <w:rPr>
          <w:sz w:val="20"/>
          <w:szCs w:val="20"/>
          <w:color w:val="auto"/>
        </w:rPr>
      </w:pPr>
      <w:r>
        <w:rPr>
          <w:rFonts w:ascii="Arial" w:cs="Arial" w:eastAsia="Arial" w:hAnsi="Arial"/>
          <w:sz w:val="19"/>
          <w:szCs w:val="19"/>
          <w:color w:val="auto"/>
        </w:rPr>
        <w:t>Based on the results of our RCOI and after conducting due diligence, because of the complexity of our supply chain and the inherent imprecision of reporting information through our elaborate supply chain, we cannot confirm whether the 3TG reported to us by our suppliers, some of which may have been sourced from a covered country, are in our products. We have not identified any instances where 3TG minerals are directly or indirectly financing or benefiting armed groups in the covered countries.</w:t>
      </w:r>
    </w:p>
    <w:p>
      <w:pPr>
        <w:spacing w:after="0" w:line="155" w:lineRule="exact"/>
        <w:rPr>
          <w:sz w:val="20"/>
          <w:szCs w:val="20"/>
          <w:color w:val="auto"/>
        </w:rPr>
      </w:pPr>
    </w:p>
    <w:p>
      <w:pPr>
        <w:spacing w:after="0"/>
        <w:tabs>
          <w:tab w:leader="none" w:pos="980" w:val="left"/>
        </w:tabs>
        <w:rPr>
          <w:sz w:val="20"/>
          <w:szCs w:val="20"/>
          <w:color w:val="auto"/>
        </w:rPr>
      </w:pPr>
      <w:r>
        <w:rPr>
          <w:rFonts w:ascii="Arial" w:cs="Arial" w:eastAsia="Arial" w:hAnsi="Arial"/>
          <w:sz w:val="25"/>
          <w:szCs w:val="25"/>
          <w:b w:val="1"/>
          <w:bCs w:val="1"/>
          <w:color w:val="auto"/>
        </w:rPr>
        <w:t>VI.</w:t>
      </w:r>
      <w:r>
        <w:rPr>
          <w:sz w:val="20"/>
          <w:szCs w:val="20"/>
          <w:color w:val="auto"/>
        </w:rPr>
        <w:tab/>
      </w:r>
      <w:r>
        <w:rPr>
          <w:rFonts w:ascii="Arial" w:cs="Arial" w:eastAsia="Arial" w:hAnsi="Arial"/>
          <w:sz w:val="25"/>
          <w:szCs w:val="25"/>
          <w:b w:val="1"/>
          <w:bCs w:val="1"/>
          <w:color w:val="auto"/>
        </w:rPr>
        <w:t>Appendix</w:t>
      </w:r>
    </w:p>
    <w:p>
      <w:pPr>
        <w:spacing w:after="0" w:line="254" w:lineRule="exact"/>
        <w:rPr>
          <w:sz w:val="20"/>
          <w:szCs w:val="20"/>
          <w:color w:val="auto"/>
        </w:rPr>
      </w:pPr>
    </w:p>
    <w:p>
      <w:pPr>
        <w:ind w:firstLine="162"/>
        <w:spacing w:after="0" w:line="290" w:lineRule="auto"/>
        <w:rPr>
          <w:sz w:val="20"/>
          <w:szCs w:val="20"/>
          <w:color w:val="auto"/>
        </w:rPr>
      </w:pPr>
      <w:r>
        <w:rPr>
          <w:rFonts w:ascii="Arial" w:cs="Arial" w:eastAsia="Arial" w:hAnsi="Arial"/>
          <w:sz w:val="19"/>
          <w:szCs w:val="19"/>
          <w:color w:val="auto"/>
        </w:rPr>
        <w:t>Utilizing the information provided by our first tier suppliers in their CMRT submissions, we compiled a list of smelters/refiners that may provide 3TG used in our products. The smelter/refiner list is provided as an appendix in this report. However, because most of our suppliers reported 3TG usage at a company-wide level, the information provided by our suppliers, including the identity of smelters/refiners included in the appendix, may relate to non-GM products. In addition, not all of our suppliers provided to us smelter/refiner identity and country of origin information for 3TG. Further, we understand that smelters/refiners generally commingle minerals from different mine sources, which may further impair our suppliers’ ability to track the source of 3TG. Accordingly, the attached appendix of potential smelters/refiners cannot be confirmed as accurate and complete, and we are unable to definitively determine the origin of all of the 3TG we utilize in our products.</w:t>
      </w:r>
    </w:p>
    <w:p>
      <w:pPr>
        <w:sectPr>
          <w:pgSz w:w="11900" w:h="16838" w:orient="portrait"/>
          <w:cols w:equalWidth="0" w:num="1">
            <w:col w:w="11360"/>
          </w:cols>
          <w:pgMar w:left="240" w:top="346"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6260" w:type="dxa"/>
            <w:vAlign w:val="bottom"/>
          </w:tcPr>
          <w:p>
            <w:pPr>
              <w:ind w:left="3680"/>
              <w:spacing w:after="0"/>
              <w:rPr>
                <w:sz w:val="20"/>
                <w:szCs w:val="20"/>
                <w:color w:val="auto"/>
              </w:rPr>
            </w:pPr>
            <w:r>
              <w:rPr>
                <w:rFonts w:ascii="Arial" w:cs="Arial" w:eastAsia="Arial" w:hAnsi="Arial"/>
                <w:sz w:val="18"/>
                <w:szCs w:val="18"/>
                <w:b w:val="1"/>
                <w:bCs w:val="1"/>
                <w:color w:val="auto"/>
              </w:rPr>
              <w:t>Appendix</w:t>
            </w:r>
          </w:p>
        </w:tc>
        <w:tc>
          <w:tcPr>
            <w:tcW w:w="2100" w:type="dxa"/>
            <w:vAlign w:val="bottom"/>
          </w:tcPr>
          <w:p>
            <w:pPr>
              <w:spacing w:after="0"/>
              <w:rPr>
                <w:sz w:val="20"/>
                <w:szCs w:val="20"/>
                <w:color w:val="auto"/>
              </w:rPr>
            </w:pPr>
          </w:p>
        </w:tc>
      </w:tr>
      <w:tr>
        <w:trPr>
          <w:trHeight w:val="594"/>
        </w:trPr>
        <w:tc>
          <w:tcPr>
            <w:tcW w:w="1620" w:type="dxa"/>
            <w:vAlign w:val="bottom"/>
          </w:tcPr>
          <w:p>
            <w:pPr>
              <w:spacing w:after="0"/>
              <w:rPr>
                <w:sz w:val="20"/>
                <w:szCs w:val="20"/>
                <w:color w:val="auto"/>
              </w:rPr>
            </w:pPr>
            <w:r>
              <w:rPr>
                <w:rFonts w:ascii="Arial" w:cs="Arial" w:eastAsia="Arial" w:hAnsi="Arial"/>
                <w:sz w:val="18"/>
                <w:szCs w:val="18"/>
                <w:b w:val="1"/>
                <w:bCs w:val="1"/>
                <w:color w:val="auto"/>
              </w:rPr>
              <w:t>Smelter Metal</w:t>
            </w:r>
          </w:p>
        </w:tc>
        <w:tc>
          <w:tcPr>
            <w:tcW w:w="6260" w:type="dxa"/>
            <w:vAlign w:val="bottom"/>
          </w:tcPr>
          <w:p>
            <w:pPr>
              <w:ind w:left="540"/>
              <w:spacing w:after="0"/>
              <w:rPr>
                <w:sz w:val="20"/>
                <w:szCs w:val="20"/>
                <w:color w:val="auto"/>
              </w:rPr>
            </w:pPr>
            <w:r>
              <w:rPr>
                <w:rFonts w:ascii="Arial" w:cs="Arial" w:eastAsia="Arial" w:hAnsi="Arial"/>
                <w:sz w:val="18"/>
                <w:szCs w:val="18"/>
                <w:b w:val="1"/>
                <w:bCs w:val="1"/>
                <w:color w:val="auto"/>
              </w:rPr>
              <w:t>Smelter Name</w:t>
            </w:r>
          </w:p>
        </w:tc>
        <w:tc>
          <w:tcPr>
            <w:tcW w:w="2100" w:type="dxa"/>
            <w:vAlign w:val="bottom"/>
          </w:tcPr>
          <w:p>
            <w:pPr>
              <w:ind w:left="1240"/>
              <w:spacing w:after="0"/>
              <w:rPr>
                <w:sz w:val="20"/>
                <w:szCs w:val="20"/>
                <w:color w:val="auto"/>
              </w:rPr>
            </w:pPr>
            <w:r>
              <w:rPr>
                <w:rFonts w:ascii="Arial" w:cs="Arial" w:eastAsia="Arial" w:hAnsi="Arial"/>
                <w:sz w:val="18"/>
                <w:szCs w:val="18"/>
                <w:b w:val="1"/>
                <w:bCs w:val="1"/>
                <w:color w:val="auto"/>
                <w:w w:val="94"/>
              </w:rPr>
              <w:t>Smelter ID</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Advanced Chemical Company</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CID000015</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Aida Chemical Industries Co., Ltd.</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CID000019</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Al Etihad Gold Refinery DMCC</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CID002560</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Allgemeine Gold-und Silberscheideanstalt A.G.</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CID000035</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Almalyk Mining and Metallurgical Complex (AMMC)</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CID000041</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AngloGold Ashanti Córrego do Sítio Mineração</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CID000058</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Argor-Heraeus S.A.</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CID000077</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Asahi Pretec Corp.</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CID000082</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Asahi Refining Canada Ltd.</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CID000924</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Asahi Refining USA Inc.</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CID000920</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Asaka Riken Co., Ltd.</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CID000090</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Atasay Kuyumculuk Sanayi Ve Ticaret A.S.</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CID000103</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AURA-II</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CID002851</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Aurubis AG</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CID000113</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Bangalore Refinery</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CID002863</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Bangko Sentral ng Pilipinas (Central Bank of the Philippines)</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CID000128</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Boliden AB</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CID000157</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C. Hafner GmbH + Co. KG</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CID000176</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Caridad</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CID000180</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CCR Refinery - Glencore Canada Corporation</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CID000185</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Cendres + Métaux S.A.</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CID000189</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Chimet S.p.A.</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CID000233</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Chugai Mining</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CID000264</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Daejin Indus Co., Ltd.</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CID000328</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Daye Non-Ferrous Metals Mining Ltd.</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CID000343</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DODUCO GmbH</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CID000362</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Dowa</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CID000401</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DSC (Do Sung Corporation)</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CID000359</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Eco-System Recycling Co., Ltd.</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CID000425</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Elemetal Refining, LLC</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CID001322</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Emirates Gold DMCC</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CID002561</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Faggi Enrico S.p.A.</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CID002355</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Fidelity Printers and Refiners Ltd.</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CID002515</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Gansu Seemine Material Hi-Tech Co., Ltd.</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CID000522</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Geib Refining Corporation</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CID002459</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Great Wall Precious Metals Co., Ltd. of CBPM</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CID001909</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Guangdong Jinding Gold Limited</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CID002312</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Guoda Safina High-Tech Environmental Refinery Co., Ltd.</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CID000651</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Hangzhou Fuchunjiang Smelting Co., Ltd.</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CID000671</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Heimerle + Meule GmbH</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CID000694</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Heraeus Ltd. Hong Kong</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CID000707</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Heraeus Precious Metals GmbH &amp; Co. KG</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CID000711</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Hunan Chenzhou Mining Co., Ltd.</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CID000767</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540"/>
              <w:spacing w:after="0"/>
              <w:rPr>
                <w:sz w:val="20"/>
                <w:szCs w:val="20"/>
                <w:color w:val="auto"/>
              </w:rPr>
            </w:pPr>
            <w:r>
              <w:rPr>
                <w:rFonts w:ascii="Arial" w:cs="Arial" w:eastAsia="Arial" w:hAnsi="Arial"/>
                <w:sz w:val="18"/>
                <w:szCs w:val="18"/>
                <w:color w:val="auto"/>
              </w:rPr>
              <w:t>Hwasung CJ Co., Ltd.</w:t>
            </w:r>
          </w:p>
        </w:tc>
        <w:tc>
          <w:tcPr>
            <w:tcW w:w="2100" w:type="dxa"/>
            <w:vAlign w:val="bottom"/>
          </w:tcPr>
          <w:p>
            <w:pPr>
              <w:ind w:left="1240"/>
              <w:spacing w:after="0"/>
              <w:rPr>
                <w:sz w:val="20"/>
                <w:szCs w:val="20"/>
                <w:color w:val="auto"/>
              </w:rPr>
            </w:pPr>
            <w:r>
              <w:rPr>
                <w:rFonts w:ascii="Arial" w:cs="Arial" w:eastAsia="Arial" w:hAnsi="Arial"/>
                <w:sz w:val="18"/>
                <w:szCs w:val="18"/>
                <w:color w:val="auto"/>
                <w:w w:val="92"/>
              </w:rPr>
              <w:t>CID000778</w:t>
            </w:r>
          </w:p>
        </w:tc>
      </w:tr>
    </w:tbl>
    <w:p>
      <w:pPr>
        <w:sectPr>
          <w:pgSz w:w="11900" w:h="16838" w:orient="portrait"/>
          <w:cols w:equalWidth="0" w:num="1">
            <w:col w:w="10179"/>
          </w:cols>
          <w:pgMar w:left="280" w:top="364"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Inner Mongolia Qiankun Gold and Silver Refinery Share Co., Ltd.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CID000801</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Ishifuku Metal Industry Co., Ltd.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CID000807</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Istanbul Gold Refinery</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CID000814</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Japan Mint</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CID000823</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Jiangxi Copper Co., Ltd.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CID000855</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JSC Ekaterinburg Non-Ferrous Metal Processing Plant</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CID000927</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JSC Uralelectromed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CID000929</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JX Nippon Mining &amp; Metals Co., Ltd.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CID000937</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Kaloti Precious Metals</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CID002563</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Kazakhmys Smelting LLC</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CID000956</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Kazzinc</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CID000957</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Kennecott Utah Copper LLC</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CID000969</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KGHM Polska Miedź Spółka Akcyjna</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CID002511</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Kojima Chemicals Co., Ltd.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CID000981</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Korea Metal Co., Ltd.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CID000988</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Korea Zinc Co., Ltd.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CID002605</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Kyrgyzaltyn JSC</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CID001029</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L'azurde Company For Jewelry</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CID001032</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Lingbao Gold Co., Ltd.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CID001056</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Lingbao Jinyuan Tonghui Refinery Co., Ltd.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CID001058</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LS-NIKKO Copper Inc.</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CID001078</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Luoyang Zijin Yinhui Gold Refinery Co., Ltd.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CID001093</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Materion</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CID001113</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Matsuda Sangyo Co., Ltd.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CID001119</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Metalor Technologies (Hong Kong) Ltd.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CID001149</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Metalor Technologies (Singapore) Pte., Ltd.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CID001152</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Metalor Technologies (Suzhou) Ltd.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CID001147</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Metalor Technologies S.A.</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CID001153</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Metalor USA Refining Corporation</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CID001157</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Metalúrgica Met-Mex Peñoles S.A. De C.V.</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CID001161</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Mitsubishi Materials Corporation</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CID001188</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Mitsui Mining and Smelting Co., Ltd.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CID001193</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MMTC-PAMP India Pvt., Ltd.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CID002509</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Morris and Watson</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CID002282</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Moscow Special Alloys Processing Plant</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CID001204</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Nadir Metal Rafineri San. Ve Tic. A.Ş.</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CID001220</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Navoi Mining and Metallurgical Combinat</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CID001236</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Nihon Material Co., Ltd.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CID001259</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Ögussa Österreichische Gold- und Silber-Scheideanstalt GmbH</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CID002779</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Ohura Precious Metal Industry Co., Ltd.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CID001325</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w w:val="98"/>
              </w:rPr>
              <w:t>OJSC "The Gulidov Krasnoyarsk Non-Ferrous Metals Plant" (OJSC Krastsvetmet)</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CID001326</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OJSC Novosibirsk Refinery</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CID000493</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PAMP S.A.</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CID001352</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Penglai Penggang Gold Industry Co., Ltd.</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CID001362</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Prioksky Plant of Non-Ferrous Metals</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CID001386</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Gold</w:t>
            </w:r>
          </w:p>
        </w:tc>
        <w:tc>
          <w:tcPr>
            <w:tcW w:w="7380" w:type="dxa"/>
            <w:vAlign w:val="bottom"/>
          </w:tcPr>
          <w:p>
            <w:pPr>
              <w:ind w:left="900"/>
              <w:spacing w:after="0"/>
              <w:rPr>
                <w:sz w:val="20"/>
                <w:szCs w:val="20"/>
                <w:color w:val="auto"/>
              </w:rPr>
            </w:pPr>
            <w:r>
              <w:rPr>
                <w:rFonts w:ascii="Arial" w:cs="Arial" w:eastAsia="Arial" w:hAnsi="Arial"/>
                <w:sz w:val="18"/>
                <w:szCs w:val="18"/>
                <w:color w:val="auto"/>
              </w:rPr>
              <w:t>PT Aneka Tambang (Persero) Tbk</w:t>
            </w:r>
          </w:p>
        </w:tc>
        <w:tc>
          <w:tcPr>
            <w:tcW w:w="1340" w:type="dxa"/>
            <w:vAlign w:val="bottom"/>
          </w:tcPr>
          <w:p>
            <w:pPr>
              <w:ind w:left="480"/>
              <w:spacing w:after="0"/>
              <w:rPr>
                <w:sz w:val="20"/>
                <w:szCs w:val="20"/>
                <w:color w:val="auto"/>
              </w:rPr>
            </w:pPr>
            <w:r>
              <w:rPr>
                <w:rFonts w:ascii="Arial" w:cs="Arial" w:eastAsia="Arial" w:hAnsi="Arial"/>
                <w:sz w:val="18"/>
                <w:szCs w:val="18"/>
                <w:color w:val="auto"/>
                <w:w w:val="92"/>
              </w:rPr>
              <w:t>CID001397</w:t>
            </w:r>
          </w:p>
        </w:tc>
      </w:tr>
    </w:tbl>
    <w:p>
      <w:pPr>
        <w:sectPr>
          <w:pgSz w:w="11900" w:h="16838" w:orient="portrait"/>
          <w:cols w:equalWidth="0" w:num="1">
            <w:col w:w="10179"/>
          </w:cols>
          <w:pgMar w:left="280" w:top="530"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PX Précinox S.A.</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CID001498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Rand Refinery (Pty) Ltd.</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CID001512</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Remondis Argentia B.V.</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CID002582</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Republic Metals Corporation</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CID002510</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Royal Canadian Mint</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CID001534</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SAAMP</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CID002761</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Sabin Metal Corp.</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CID001546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SAFINA A.S.</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CID002290</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Samduck Precious Metals</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CID001555</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SAMWON Metals Corp.</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CID001562</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SAXONIA Edelmetalle GmbH</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CID002777</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Schone Edelmetaal B.V.</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CID001573</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SEMPSA Joyería Platería S.A.</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CID001585</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Shandong Tiancheng Biological Gold Industrial Co., Ltd.</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CID001619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Shandong Zhaojin Gold &amp; Silver Refinery Co., Ltd.</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CID001622</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Sichuan Tianze Precious Metals Co., Ltd.</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CID001736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Singway Technology Co., Ltd.</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CID002516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So Accurate Group, Inc.</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CID001754</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SOE Shyolkovsky Factory of Secondary Precious Metals</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CID001756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Solar Applied Materials Technology Corp.</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CID001761</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Sumitomo Metal Mining Co., Ltd.</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CID001798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T.C.A S.p.A</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CID002580</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Tanaka Kikinzoku Kogyo K.K.</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CID001875</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The Refinery of Shandong Gold Mining Co., Ltd.</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CID001916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Tokuriki Honten Co., Ltd.</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CID001938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Tongling Nonferrous Metals Group Co., Ltd.</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CID001947</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Tony Goetz NV</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CID002587</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Torecom</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CID001955</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Umicore Brasil Ltda.</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CID001977</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Umicore Precious Metals Thailand</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CID002314</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Umicore S.A. Business Unit Precious Metals Refining</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CID001980</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United Precious Metal Refining, Inc.</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CID001993</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Valcambi S.A.</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CID002003</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Western Australian Mint trading as The Perth Mint</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CID002030</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WIELAND Edelmetalle GmbH</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CID002778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Yamamoto Precious Metal Co., Ltd.</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CID002100</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Yokohama Metal Co., Ltd.</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CID002129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Yunnan Copper Industry Co., Ltd.</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CID000197</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Zhongyuan Gold Smelter of Zhongjin Gold Corporation</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CID002224</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740"/>
              <w:spacing w:after="0"/>
              <w:rPr>
                <w:sz w:val="20"/>
                <w:szCs w:val="20"/>
                <w:color w:val="auto"/>
              </w:rPr>
            </w:pPr>
            <w:r>
              <w:rPr>
                <w:rFonts w:ascii="Arial" w:cs="Arial" w:eastAsia="Arial" w:hAnsi="Arial"/>
                <w:sz w:val="18"/>
                <w:szCs w:val="18"/>
                <w:color w:val="auto"/>
              </w:rPr>
              <w:t>Zijin Mining Group Co., Ltd. Gold Refinery</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CID002243</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300" w:type="dxa"/>
            <w:vAlign w:val="bottom"/>
          </w:tcPr>
          <w:p>
            <w:pPr>
              <w:ind w:left="740"/>
              <w:spacing w:after="0"/>
              <w:rPr>
                <w:sz w:val="20"/>
                <w:szCs w:val="20"/>
                <w:color w:val="auto"/>
              </w:rPr>
            </w:pPr>
            <w:r>
              <w:rPr>
                <w:rFonts w:ascii="Arial" w:cs="Arial" w:eastAsia="Arial" w:hAnsi="Arial"/>
                <w:sz w:val="18"/>
                <w:szCs w:val="18"/>
                <w:color w:val="auto"/>
              </w:rPr>
              <w:t>Changsha South Tantalum Niobium Co., Ltd.</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CID000211</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300" w:type="dxa"/>
            <w:vAlign w:val="bottom"/>
          </w:tcPr>
          <w:p>
            <w:pPr>
              <w:ind w:left="740"/>
              <w:spacing w:after="0"/>
              <w:rPr>
                <w:sz w:val="20"/>
                <w:szCs w:val="20"/>
                <w:color w:val="auto"/>
              </w:rPr>
            </w:pPr>
            <w:r>
              <w:rPr>
                <w:rFonts w:ascii="Arial" w:cs="Arial" w:eastAsia="Arial" w:hAnsi="Arial"/>
                <w:sz w:val="18"/>
                <w:szCs w:val="18"/>
                <w:color w:val="auto"/>
              </w:rPr>
              <w:t>Conghua Tantalum and Niobium Smeltry</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CID000291</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300" w:type="dxa"/>
            <w:vAlign w:val="bottom"/>
          </w:tcPr>
          <w:p>
            <w:pPr>
              <w:ind w:left="740"/>
              <w:spacing w:after="0"/>
              <w:rPr>
                <w:sz w:val="20"/>
                <w:szCs w:val="20"/>
                <w:color w:val="auto"/>
              </w:rPr>
            </w:pPr>
            <w:r>
              <w:rPr>
                <w:rFonts w:ascii="Arial" w:cs="Arial" w:eastAsia="Arial" w:hAnsi="Arial"/>
                <w:sz w:val="18"/>
                <w:szCs w:val="18"/>
                <w:color w:val="auto"/>
              </w:rPr>
              <w:t>D Block Metals, LLC</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CID002504</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300" w:type="dxa"/>
            <w:vAlign w:val="bottom"/>
          </w:tcPr>
          <w:p>
            <w:pPr>
              <w:ind w:left="740"/>
              <w:spacing w:after="0"/>
              <w:rPr>
                <w:sz w:val="20"/>
                <w:szCs w:val="20"/>
                <w:color w:val="auto"/>
              </w:rPr>
            </w:pPr>
            <w:r>
              <w:rPr>
                <w:rFonts w:ascii="Arial" w:cs="Arial" w:eastAsia="Arial" w:hAnsi="Arial"/>
                <w:sz w:val="18"/>
                <w:szCs w:val="18"/>
                <w:color w:val="auto"/>
              </w:rPr>
              <w:t>Duoluoshan</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CID000410</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300" w:type="dxa"/>
            <w:vAlign w:val="bottom"/>
          </w:tcPr>
          <w:p>
            <w:pPr>
              <w:ind w:left="740"/>
              <w:spacing w:after="0"/>
              <w:rPr>
                <w:sz w:val="20"/>
                <w:szCs w:val="20"/>
                <w:color w:val="auto"/>
              </w:rPr>
            </w:pPr>
            <w:r>
              <w:rPr>
                <w:rFonts w:ascii="Arial" w:cs="Arial" w:eastAsia="Arial" w:hAnsi="Arial"/>
                <w:sz w:val="18"/>
                <w:szCs w:val="18"/>
                <w:color w:val="auto"/>
              </w:rPr>
              <w:t>Exotech Inc.</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CID000456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300" w:type="dxa"/>
            <w:vAlign w:val="bottom"/>
          </w:tcPr>
          <w:p>
            <w:pPr>
              <w:ind w:left="740"/>
              <w:spacing w:after="0"/>
              <w:rPr>
                <w:sz w:val="20"/>
                <w:szCs w:val="20"/>
                <w:color w:val="auto"/>
              </w:rPr>
            </w:pPr>
            <w:r>
              <w:rPr>
                <w:rFonts w:ascii="Arial" w:cs="Arial" w:eastAsia="Arial" w:hAnsi="Arial"/>
                <w:sz w:val="18"/>
                <w:szCs w:val="18"/>
                <w:color w:val="auto"/>
              </w:rPr>
              <w:t>F&amp;X Electro-Materials Ltd.</w:t>
            </w:r>
          </w:p>
        </w:tc>
        <w:tc>
          <w:tcPr>
            <w:tcW w:w="2260" w:type="dxa"/>
            <w:vAlign w:val="bottom"/>
          </w:tcPr>
          <w:p>
            <w:pPr>
              <w:ind w:left="1400"/>
              <w:spacing w:after="0"/>
              <w:rPr>
                <w:sz w:val="20"/>
                <w:szCs w:val="20"/>
                <w:color w:val="auto"/>
              </w:rPr>
            </w:pPr>
            <w:r>
              <w:rPr>
                <w:rFonts w:ascii="Arial" w:cs="Arial" w:eastAsia="Arial" w:hAnsi="Arial"/>
                <w:sz w:val="18"/>
                <w:szCs w:val="18"/>
                <w:color w:val="auto"/>
                <w:w w:val="92"/>
              </w:rPr>
              <w:t>CID000460</w:t>
            </w:r>
          </w:p>
        </w:tc>
      </w:tr>
    </w:tbl>
    <w:p>
      <w:pPr>
        <w:sectPr>
          <w:pgSz w:w="11900" w:h="16838" w:orient="portrait"/>
          <w:cols w:equalWidth="0" w:num="1">
            <w:col w:w="10179"/>
          </w:cols>
          <w:pgMar w:left="280" w:top="530" w:right="144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FIR Metals &amp; Resource Ltd.</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CID002505</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Global Advanced Metals Aizu</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CID002558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Global Advanced Metals Boyertown</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CID002557</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Guangdong Zhiyuan New Material Co., Ltd.</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CID000616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H.C. Starck Co., Ltd.</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CID002544</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H.C. Starck GmbH Goslar</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CID002545</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H.C. Starck GmbH Laufenburg</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CID002546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H.C. Starck Hermsdorf GmbH</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CID002547</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H.C. Starck Inc.</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CID002548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H.C. Starck Ltd.</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CID002549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H.C. Starck Smelting GmbH &amp; Co. KG</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CID002550</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Hengyang King Xing Lifeng New Materials Co., Ltd.</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CID002492</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Hi-Temp Specialty Metals, Inc.</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CID000731</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Jiangxi Dinghai Tantalum &amp; Niobium Co., Ltd.</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CID002512</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JiuJiang JinXin Nonferrous Metals Co., Ltd.</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CID000914</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Jiujiang Tanbre Co., Ltd.</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CID000917</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Jiujiang Zhongao Tantalum &amp; Niobium Co., Ltd.</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CID002506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KEMET Blue Metals</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CID002539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KEMET Blue Powder</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CID002568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King-Tan Tantalum Industry Ltd.</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CID000973</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LSM Brasil S.A.</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CID001076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Metallurgical Products India Pvt., Ltd.</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CID001163</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Mineração Taboca S.A.</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CID001175</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Mitsui Mining &amp; Smelting</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CID001192</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Molycorp Silmet A.S.</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CID001200</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Ningxia Orient Tantalum Industry Co., Ltd.</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CID001277</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Plansee SE Liezen</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CID002540</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Plansee SE Reutte</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CID002556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QuantumClean</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CID001508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Resind Indústria e Comércio Ltda.</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CID002707</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RFH Tantalum Smeltry Co., Ltd.</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CID001522</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Solikamsk Magnesium Works OAO</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CID001769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Taki Chemicals</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CID001869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Telex Metals</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CID001891</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Tranzact, Inc.</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CID002571</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Ulba Metallurgical Plant JSC</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CID001969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XinXing HaoRong Electronic Material Co., Ltd.</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CID002508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Yichun Jin Yang Rare Metal Co., Ltd.</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CID002307</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Zhuzhou Cemented Carbide</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CID002232</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E.S.R. Electronics</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CID002590</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Tantalum</w:t>
            </w:r>
          </w:p>
        </w:tc>
        <w:tc>
          <w:tcPr>
            <w:tcW w:w="6160" w:type="dxa"/>
            <w:vAlign w:val="bottom"/>
          </w:tcPr>
          <w:p>
            <w:pPr>
              <w:ind w:left="740"/>
              <w:spacing w:after="0"/>
              <w:rPr>
                <w:sz w:val="20"/>
                <w:szCs w:val="20"/>
                <w:color w:val="auto"/>
              </w:rPr>
            </w:pPr>
            <w:r>
              <w:rPr>
                <w:rFonts w:ascii="Arial" w:cs="Arial" w:eastAsia="Arial" w:hAnsi="Arial"/>
                <w:sz w:val="18"/>
                <w:szCs w:val="18"/>
                <w:color w:val="auto"/>
              </w:rPr>
              <w:t>Jiangxi Tuohong New Raw Material</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CID002842</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160" w:type="dxa"/>
            <w:vAlign w:val="bottom"/>
          </w:tcPr>
          <w:p>
            <w:pPr>
              <w:ind w:left="740"/>
              <w:spacing w:after="0"/>
              <w:rPr>
                <w:sz w:val="20"/>
                <w:szCs w:val="20"/>
                <w:color w:val="auto"/>
              </w:rPr>
            </w:pPr>
            <w:r>
              <w:rPr>
                <w:rFonts w:ascii="Arial" w:cs="Arial" w:eastAsia="Arial" w:hAnsi="Arial"/>
                <w:sz w:val="18"/>
                <w:szCs w:val="18"/>
                <w:color w:val="auto"/>
              </w:rPr>
              <w:t>Alpha</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CID000292</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160" w:type="dxa"/>
            <w:vAlign w:val="bottom"/>
          </w:tcPr>
          <w:p>
            <w:pPr>
              <w:ind w:left="740"/>
              <w:spacing w:after="0"/>
              <w:rPr>
                <w:sz w:val="20"/>
                <w:szCs w:val="20"/>
                <w:color w:val="auto"/>
              </w:rPr>
            </w:pPr>
            <w:r>
              <w:rPr>
                <w:rFonts w:ascii="Arial" w:cs="Arial" w:eastAsia="Arial" w:hAnsi="Arial"/>
                <w:sz w:val="18"/>
                <w:szCs w:val="18"/>
                <w:color w:val="auto"/>
              </w:rPr>
              <w:t>An Vinh Joint Stock Mineral Processing Company</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CID002703</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160" w:type="dxa"/>
            <w:vAlign w:val="bottom"/>
          </w:tcPr>
          <w:p>
            <w:pPr>
              <w:ind w:left="740"/>
              <w:spacing w:after="0"/>
              <w:rPr>
                <w:sz w:val="20"/>
                <w:szCs w:val="20"/>
                <w:color w:val="auto"/>
              </w:rPr>
            </w:pPr>
            <w:r>
              <w:rPr>
                <w:rFonts w:ascii="Arial" w:cs="Arial" w:eastAsia="Arial" w:hAnsi="Arial"/>
                <w:sz w:val="18"/>
                <w:szCs w:val="18"/>
                <w:color w:val="auto"/>
              </w:rPr>
              <w:t>Jiangxi Ketai Advanced Material Co., Ltd.</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CID000244</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160" w:type="dxa"/>
            <w:vAlign w:val="bottom"/>
          </w:tcPr>
          <w:p>
            <w:pPr>
              <w:ind w:left="740"/>
              <w:spacing w:after="0"/>
              <w:rPr>
                <w:sz w:val="20"/>
                <w:szCs w:val="20"/>
                <w:color w:val="auto"/>
              </w:rPr>
            </w:pPr>
            <w:r>
              <w:rPr>
                <w:rFonts w:ascii="Arial" w:cs="Arial" w:eastAsia="Arial" w:hAnsi="Arial"/>
                <w:sz w:val="18"/>
                <w:szCs w:val="18"/>
                <w:color w:val="auto"/>
              </w:rPr>
              <w:t>China Tin Group Co., Ltd.</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CID001070</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160" w:type="dxa"/>
            <w:vAlign w:val="bottom"/>
          </w:tcPr>
          <w:p>
            <w:pPr>
              <w:ind w:left="740"/>
              <w:spacing w:after="0"/>
              <w:rPr>
                <w:sz w:val="20"/>
                <w:szCs w:val="20"/>
                <w:color w:val="auto"/>
              </w:rPr>
            </w:pPr>
            <w:r>
              <w:rPr>
                <w:rFonts w:ascii="Arial" w:cs="Arial" w:eastAsia="Arial" w:hAnsi="Arial"/>
                <w:sz w:val="18"/>
                <w:szCs w:val="18"/>
                <w:color w:val="auto"/>
              </w:rPr>
              <w:t>CNMC (Guangxi) PGMA Co., Ltd.</w:t>
            </w:r>
          </w:p>
        </w:tc>
        <w:tc>
          <w:tcPr>
            <w:tcW w:w="2400" w:type="dxa"/>
            <w:vAlign w:val="bottom"/>
          </w:tcPr>
          <w:p>
            <w:pPr>
              <w:ind w:left="1540"/>
              <w:spacing w:after="0"/>
              <w:rPr>
                <w:sz w:val="20"/>
                <w:szCs w:val="20"/>
                <w:color w:val="auto"/>
              </w:rPr>
            </w:pPr>
            <w:r>
              <w:rPr>
                <w:rFonts w:ascii="Arial" w:cs="Arial" w:eastAsia="Arial" w:hAnsi="Arial"/>
                <w:sz w:val="18"/>
                <w:szCs w:val="18"/>
                <w:color w:val="auto"/>
                <w:w w:val="92"/>
              </w:rPr>
              <w:t>CID000278</w:t>
            </w:r>
          </w:p>
        </w:tc>
      </w:tr>
    </w:tbl>
    <w:p>
      <w:pPr>
        <w:sectPr>
          <w:pgSz w:w="11900" w:h="16838" w:orient="portrait"/>
          <w:cols w:equalWidth="0" w:num="1">
            <w:col w:w="10179"/>
          </w:cols>
          <w:pgMar w:left="280" w:top="530" w:right="1440"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Cooperativa Metalurgica de Rondônia Ltda.</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CID000295</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CV Ayi Jaya</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CID002570</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CV Gita Pesona</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CID000306</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PT Justindo</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CID000307</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CV Serumpun Sebalai</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CID000313</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CV United Smelting</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CID000315</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CV Venus Inti Perkasa</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CID002455</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Dowa</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CID000402</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w w:val="95"/>
              </w:rPr>
              <w:t>Electro-Mechanical Facility of the Cao Bang Minerals &amp; Metallurgy Joint Stock Company</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CID002572</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Elmet S.L.U.</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CID002774</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EM Vinto</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CID000438</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Estanho de Rondônia S.A.</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CID000448</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Feinhütte Halsbrücke GmbH</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CID000466</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Fenix Metals</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CID000468</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Gejiu Kai Meng Industry and Trade LLC</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CID000942</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Gejiu Non-Ferrous Metal Processing Co., Ltd.</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CID000538</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Gejiu Yunxin Nonferrous Electrolysis Co., Ltd.</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CID001908</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Gejiu Zili Mining And Metallurgy Co., Ltd.</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CID000555</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HuiChang Hill Tin Industry Co., Ltd.</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CID002844</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Nankang Nanshan Tin Manufactory Co., Ltd.</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CID001231</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Linwu Xianggui Ore Smelting Co., Ltd.</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CID001063</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Magnu's Minerais Metais e Ligas Ltda.</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CID002468</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Malaysia Smelting Corporation (MSC)</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CID001105</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Melt Metais e Ligas S.A.</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CID002500</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Metallic Resources, Inc.</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CID001142</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Metallo-Chimique N.V.</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CID002773</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Mineração Taboca S.A.</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CID001173</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Minsur</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CID001182</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Mitsubishi Materials Corporation</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CID001191</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Nghe Tinh Non-Ferrous Metals Joint Stock Company</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CID002573</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O.M. Manufacturing (Thailand) Co., Ltd.</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CID001314</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O.M. Manufacturing Philippines, Inc.</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CID002517</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Operaciones Metalurgical S.A.</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CID001337</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Phoenix Metal Ltd.</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CID002507</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PT Aries Kencana Sejahtera</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CID000309</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PT Artha Cipta Langgeng</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CID001399</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PT ATD Makmur Mandiri Jaya</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CID002503</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PT Babel Inti Perkasa</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CID001402</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PT Bangka Prima Tin</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CID002776</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PT Bangka Tin Industry</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CID001419</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PT Belitung Industri Sejahtera</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CID001421</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PT BilliTin Makmur Lestari</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CID001424</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PT Bukit Timah</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CID001428</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PT Cipta Persada Mulia</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CID002696</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PT DS Jaya Abadi</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CID001434</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Tin</w:t>
            </w:r>
          </w:p>
        </w:tc>
        <w:tc>
          <w:tcPr>
            <w:tcW w:w="7720" w:type="dxa"/>
            <w:vAlign w:val="bottom"/>
          </w:tcPr>
          <w:p>
            <w:pPr>
              <w:ind w:left="960"/>
              <w:spacing w:after="0"/>
              <w:rPr>
                <w:sz w:val="20"/>
                <w:szCs w:val="20"/>
                <w:color w:val="auto"/>
              </w:rPr>
            </w:pPr>
            <w:r>
              <w:rPr>
                <w:rFonts w:ascii="Arial" w:cs="Arial" w:eastAsia="Arial" w:hAnsi="Arial"/>
                <w:sz w:val="18"/>
                <w:szCs w:val="18"/>
                <w:color w:val="auto"/>
              </w:rPr>
              <w:t>PT Eunindo Usaha Mandiri</w:t>
            </w:r>
          </w:p>
        </w:tc>
        <w:tc>
          <w:tcPr>
            <w:tcW w:w="1060" w:type="dxa"/>
            <w:vAlign w:val="bottom"/>
          </w:tcPr>
          <w:p>
            <w:pPr>
              <w:ind w:left="200"/>
              <w:spacing w:after="0"/>
              <w:rPr>
                <w:sz w:val="20"/>
                <w:szCs w:val="20"/>
                <w:color w:val="auto"/>
              </w:rPr>
            </w:pPr>
            <w:r>
              <w:rPr>
                <w:rFonts w:ascii="Arial" w:cs="Arial" w:eastAsia="Arial" w:hAnsi="Arial"/>
                <w:sz w:val="18"/>
                <w:szCs w:val="18"/>
                <w:color w:val="auto"/>
                <w:w w:val="92"/>
              </w:rPr>
              <w:t>CID001438</w:t>
            </w:r>
          </w:p>
        </w:tc>
      </w:tr>
    </w:tbl>
    <w:p>
      <w:pPr>
        <w:sectPr>
          <w:pgSz w:w="11900" w:h="16838" w:orient="portrait"/>
          <w:cols w:equalWidth="0" w:num="1">
            <w:col w:w="10179"/>
          </w:cols>
          <w:pgMar w:left="280" w:top="530"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Inti Stania Prima</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CID002530</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Mitra Stania Prima</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CID001453</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Panca Mega Persada</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CID001457</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Prima Timah Utama</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CID001458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Refined Bangka Tin</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CID001460</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Sariwiguna Binasentosa</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CID001463</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Stanindo Inti Perkasa</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CID001468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Sumber Jaya Indah</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CID001471</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Timah (Persero) Tbk Kundur</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CID001477</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Timah (Persero) Tbk Mentok</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CID001482</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Tinindo Inter Nusa</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CID001490</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Tirus Putra Mandiri</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CID002478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Tommy Utama</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CID001493</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Wahana Perkit Jaya</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CID002479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Resind Indústria e Comércio Ltda.</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CID002706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Rui Da Hung</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CID001539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Yunnan Chengfeng Non-ferrous Metals Co., Ltd.</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CID002158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Chenzhou Yunxiang Mining and Metallurgy Co., Ltd.</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CID000228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Gejiu Jinye Mineral Company</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CID002859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Huichang Jinshunda Tin Co., Ltd.</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CID000760</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Yunnan Tin Company Limited</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CID002180</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Soft Metais Ltda.</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CID001758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Thaisarco</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CID001898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Tuyen Quang Non-Ferrous Metals Joint Stock Company</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CID002574</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VQB Mineral and Trading Group JSC</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CID002015</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White Solder Metalurgia e Mineração Ltda.</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CID002036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Alam Lestari Kencana</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CID001393</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Bangka Kudai Tin</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CID001409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Bangka Timah Utama Sejahtera</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CID001416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Fang Di MulTindo</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CID001442</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Karimun Mining</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CID001448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Pelat Timah Nusantara Tbk</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CID001486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Seirama Tin Investment</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CID001466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Sukses Inti Makmur</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CID002816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CV Dua Sekawan</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CID002592</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An Thai Minerals Co., Ltd.</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CID002825</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CV Tiga Sekawan</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CID002593</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Gejiu Fengming Metallurgy Chemical Plant</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CID002848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Guanyang Guida Nonferrous Metal Smelting Plant</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CID002849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Tin</w:t>
            </w:r>
          </w:p>
        </w:tc>
        <w:tc>
          <w:tcPr>
            <w:tcW w:w="6260" w:type="dxa"/>
            <w:vAlign w:val="bottom"/>
          </w:tcPr>
          <w:p>
            <w:pPr>
              <w:ind w:left="740"/>
              <w:spacing w:after="0"/>
              <w:rPr>
                <w:sz w:val="20"/>
                <w:szCs w:val="20"/>
                <w:color w:val="auto"/>
              </w:rPr>
            </w:pPr>
            <w:r>
              <w:rPr>
                <w:rFonts w:ascii="Arial" w:cs="Arial" w:eastAsia="Arial" w:hAnsi="Arial"/>
                <w:sz w:val="18"/>
                <w:szCs w:val="18"/>
                <w:color w:val="auto"/>
              </w:rPr>
              <w:t>PT Kijang Jaya Mandiri</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CID002829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260" w:type="dxa"/>
            <w:vAlign w:val="bottom"/>
          </w:tcPr>
          <w:p>
            <w:pPr>
              <w:ind w:left="740"/>
              <w:spacing w:after="0"/>
              <w:rPr>
                <w:sz w:val="20"/>
                <w:szCs w:val="20"/>
                <w:color w:val="auto"/>
              </w:rPr>
            </w:pPr>
            <w:r>
              <w:rPr>
                <w:rFonts w:ascii="Arial" w:cs="Arial" w:eastAsia="Arial" w:hAnsi="Arial"/>
                <w:sz w:val="18"/>
                <w:szCs w:val="18"/>
                <w:color w:val="auto"/>
              </w:rPr>
              <w:t>A.L.M.T. TUNGSTEN Corp.</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CID000004</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260" w:type="dxa"/>
            <w:vAlign w:val="bottom"/>
          </w:tcPr>
          <w:p>
            <w:pPr>
              <w:ind w:left="740"/>
              <w:spacing w:after="0"/>
              <w:rPr>
                <w:sz w:val="20"/>
                <w:szCs w:val="20"/>
                <w:color w:val="auto"/>
              </w:rPr>
            </w:pPr>
            <w:r>
              <w:rPr>
                <w:rFonts w:ascii="Arial" w:cs="Arial" w:eastAsia="Arial" w:hAnsi="Arial"/>
                <w:sz w:val="18"/>
                <w:szCs w:val="18"/>
                <w:color w:val="auto"/>
              </w:rPr>
              <w:t>Asia Tungsten Products Vietnam Ltd.</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CID002502</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260" w:type="dxa"/>
            <w:vAlign w:val="bottom"/>
          </w:tcPr>
          <w:p>
            <w:pPr>
              <w:ind w:left="740"/>
              <w:spacing w:after="0"/>
              <w:rPr>
                <w:sz w:val="20"/>
                <w:szCs w:val="20"/>
                <w:color w:val="auto"/>
              </w:rPr>
            </w:pPr>
            <w:r>
              <w:rPr>
                <w:rFonts w:ascii="Arial" w:cs="Arial" w:eastAsia="Arial" w:hAnsi="Arial"/>
                <w:sz w:val="18"/>
                <w:szCs w:val="18"/>
                <w:color w:val="auto"/>
              </w:rPr>
              <w:t>Chenzhou Diamond Tungsten Products Co., Ltd.</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CID002513</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260" w:type="dxa"/>
            <w:vAlign w:val="bottom"/>
          </w:tcPr>
          <w:p>
            <w:pPr>
              <w:ind w:left="740"/>
              <w:spacing w:after="0"/>
              <w:rPr>
                <w:sz w:val="20"/>
                <w:szCs w:val="20"/>
                <w:color w:val="auto"/>
              </w:rPr>
            </w:pPr>
            <w:r>
              <w:rPr>
                <w:rFonts w:ascii="Arial" w:cs="Arial" w:eastAsia="Arial" w:hAnsi="Arial"/>
                <w:sz w:val="18"/>
                <w:szCs w:val="18"/>
                <w:color w:val="auto"/>
              </w:rPr>
              <w:t>Chongyi Zhangyuan Tungsten Co., Ltd.</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CID000258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260" w:type="dxa"/>
            <w:vAlign w:val="bottom"/>
          </w:tcPr>
          <w:p>
            <w:pPr>
              <w:ind w:left="740"/>
              <w:spacing w:after="0"/>
              <w:rPr>
                <w:sz w:val="20"/>
                <w:szCs w:val="20"/>
                <w:color w:val="auto"/>
              </w:rPr>
            </w:pPr>
            <w:r>
              <w:rPr>
                <w:rFonts w:ascii="Arial" w:cs="Arial" w:eastAsia="Arial" w:hAnsi="Arial"/>
                <w:sz w:val="18"/>
                <w:szCs w:val="18"/>
                <w:color w:val="auto"/>
              </w:rPr>
              <w:t>Dayu Jincheng Tungsten Industry Co., Ltd.</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CID002518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260" w:type="dxa"/>
            <w:vAlign w:val="bottom"/>
          </w:tcPr>
          <w:p>
            <w:pPr>
              <w:ind w:left="740"/>
              <w:spacing w:after="0"/>
              <w:rPr>
                <w:sz w:val="20"/>
                <w:szCs w:val="20"/>
                <w:color w:val="auto"/>
              </w:rPr>
            </w:pPr>
            <w:r>
              <w:rPr>
                <w:rFonts w:ascii="Arial" w:cs="Arial" w:eastAsia="Arial" w:hAnsi="Arial"/>
                <w:sz w:val="18"/>
                <w:szCs w:val="18"/>
                <w:color w:val="auto"/>
              </w:rPr>
              <w:t>Dayu Weiliang Tungsten Co., Ltd.</w:t>
            </w:r>
          </w:p>
        </w:tc>
        <w:tc>
          <w:tcPr>
            <w:tcW w:w="2300" w:type="dxa"/>
            <w:vAlign w:val="bottom"/>
          </w:tcPr>
          <w:p>
            <w:pPr>
              <w:ind w:left="1440"/>
              <w:spacing w:after="0"/>
              <w:rPr>
                <w:sz w:val="20"/>
                <w:szCs w:val="20"/>
                <w:color w:val="auto"/>
              </w:rPr>
            </w:pPr>
            <w:r>
              <w:rPr>
                <w:rFonts w:ascii="Arial" w:cs="Arial" w:eastAsia="Arial" w:hAnsi="Arial"/>
                <w:sz w:val="18"/>
                <w:szCs w:val="18"/>
                <w:color w:val="auto"/>
                <w:w w:val="92"/>
              </w:rPr>
              <w:t>CID000345</w:t>
            </w:r>
          </w:p>
        </w:tc>
      </w:tr>
    </w:tbl>
    <w:p>
      <w:pPr>
        <w:sectPr>
          <w:pgSz w:w="11900" w:h="16838" w:orient="portrait"/>
          <w:cols w:equalWidth="0" w:num="1">
            <w:col w:w="10179"/>
          </w:cols>
          <w:pgMar w:left="280" w:top="530" w:right="1440"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Fujian Jinxin Tungsten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CID000499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Ganxian Shirui New Material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CID002531</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Ganzhou Huaxing Tungsten Products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CID000875</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Ganzhou Jiangwu Ferrotungsten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CID002315</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Ganzhou Non-ferrous Metals Smelting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CID000868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Ganzhou Seadragon W &amp; Mo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CID002494</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Ganzhou Yatai Tungsten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CID002536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Global Tungsten &amp; Powders Corp.</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CID000568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Guangdong Xianglu Tungsten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CID000218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H.C. Starck GmbH</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CID002541</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H.C. Starck Smelting GmbH &amp; Co.KG</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CID002542</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Hunan Chenzhou Mining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CID000766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Hunan Chuangda Vanadium Tungsten Co., Ltd. Wuji</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CID002579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Hunan Chuangda Vanadium Tungsten Co., Ltd. Yanglin</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CID002578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Hunan Chunchang Nonferrous Metals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CID000769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Hydrometallurg, JSC</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CID002649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Japan New Metals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CID000825</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Jiangxi Gan Bei Tungsten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CID002321</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Jiangxi Minmetals Gao'an Non-ferrous Metals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CID002313</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Jiangxi Tonggu Non-ferrous Metallurgical &amp; Chemical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CID002318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Jiangxi Xinsheng Tungsten Industry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CID002317</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Jiangxi Xiushui Xianggan Nonferrous Metals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CID002535</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Jiangxi Yaosheng Tungsten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CID002316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Kennametal Fallon</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CID000966</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Kennametal Huntsville</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CID000105</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Malipo Haiyu Tungsten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CID002319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Niagara Refining LLC</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CID002589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Nui Phao H.C. Starck Tungsten Chemicals Manufacturing LLC</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CID002543</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Pobedit, JSC</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CID002532</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Sanher Tungsten Vietnam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CID002538</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Tejing (Vietnam) Tungsten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CID001889</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Vietnam Youngsun Tungsten Industry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CID002011</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Wolfram Bergbau und Hütten AG</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CID002044</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Xiamen Tungsten (H.C.)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CID002320</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Xiamen Tungsten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CID002082</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Xinhai Rendan Shaoguan Tungsten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CID002095</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Jiangwu H.C. Starck Tungsten Products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CID002551</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ACL Metais Eireli</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CID002833</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Jiangxi Dayu Longxintai Tungsten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CID002647</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Moliren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CID002845</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Philippine Chuangxin Industrial Co., Inc.</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CID002827</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South-East Nonferrous Metal Company Limited of Hengyang City</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CID002815</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Woltech Korea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CID002843</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Tungsten</w:t>
            </w:r>
          </w:p>
        </w:tc>
        <w:tc>
          <w:tcPr>
            <w:tcW w:w="6640" w:type="dxa"/>
            <w:vAlign w:val="bottom"/>
          </w:tcPr>
          <w:p>
            <w:pPr>
              <w:ind w:left="740"/>
              <w:spacing w:after="0"/>
              <w:rPr>
                <w:sz w:val="20"/>
                <w:szCs w:val="20"/>
                <w:color w:val="auto"/>
              </w:rPr>
            </w:pPr>
            <w:r>
              <w:rPr>
                <w:rFonts w:ascii="Arial" w:cs="Arial" w:eastAsia="Arial" w:hAnsi="Arial"/>
                <w:sz w:val="18"/>
                <w:szCs w:val="18"/>
                <w:color w:val="auto"/>
              </w:rPr>
              <w:t>Xinfeng Huarui Tungsten &amp; Molybdenum New Material Co., Ltd.</w:t>
            </w:r>
          </w:p>
        </w:tc>
        <w:tc>
          <w:tcPr>
            <w:tcW w:w="1920" w:type="dxa"/>
            <w:vAlign w:val="bottom"/>
          </w:tcPr>
          <w:p>
            <w:pPr>
              <w:ind w:left="1060"/>
              <w:spacing w:after="0"/>
              <w:rPr>
                <w:sz w:val="20"/>
                <w:szCs w:val="20"/>
                <w:color w:val="auto"/>
              </w:rPr>
            </w:pPr>
            <w:r>
              <w:rPr>
                <w:rFonts w:ascii="Arial" w:cs="Arial" w:eastAsia="Arial" w:hAnsi="Arial"/>
                <w:sz w:val="18"/>
                <w:szCs w:val="18"/>
                <w:color w:val="auto"/>
                <w:w w:val="92"/>
              </w:rPr>
              <w:t>CID002830</w:t>
            </w:r>
          </w:p>
        </w:tc>
      </w:tr>
    </w:tbl>
    <w:p>
      <w:pPr>
        <w:spacing w:after="0" w:line="1" w:lineRule="exact"/>
        <w:rPr>
          <w:sz w:val="20"/>
          <w:szCs w:val="20"/>
          <w:color w:val="auto"/>
        </w:rPr>
      </w:pPr>
    </w:p>
    <w:sectPr>
      <w:pgSz w:w="11900" w:h="16838" w:orient="portrait"/>
      <w:cols w:equalWidth="0" w:num="1">
        <w:col w:w="10179"/>
      </w:cols>
      <w:pgMar w:left="280" w:top="5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upperLetter"/>
      <w:start w:val="9"/>
    </w:lvl>
  </w:abstractNum>
  <w:abstractNum w:abstractNumId="2">
    <w:nsid w:val="515F007C"/>
    <w:multiLevelType w:val="hybridMultilevel"/>
    <w:lvl w:ilvl="0">
      <w:lvlJc w:val="left"/>
      <w:lvlText w:val="%1."/>
      <w:numFmt w:val="upperLetter"/>
      <w:start w:val="35"/>
    </w:lvl>
  </w:abstractNum>
  <w:abstractNum w:abstractNumId="3">
    <w:nsid w:val="5BD062C2"/>
    <w:multiLevelType w:val="hybridMultilevel"/>
    <w:lvl w:ilvl="0">
      <w:lvlJc w:val="left"/>
      <w:lvlText w:val="%1."/>
      <w:numFmt w:val="upperLetter"/>
      <w:start w:val="61"/>
    </w:lvl>
  </w:abstractNum>
  <w:abstractNum w:abstractNumId="4">
    <w:nsid w:val="12200854"/>
    <w:multiLevelType w:val="hybridMultilevel"/>
    <w:lvl w:ilvl="0">
      <w:lvlJc w:val="left"/>
      <w:lvlText w:val="%1."/>
      <w:numFmt w:val="upperLetter"/>
      <w:start w:val="1"/>
    </w:lvl>
    <w:lvl w:ilvl="1">
      <w:lvlJc w:val="left"/>
      <w:lvlText w:val="%2."/>
      <w:numFmt w:val="decimal"/>
      <w:start w:val="1"/>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4"/>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upperLetter"/>
      <w:start w:val="2"/>
    </w:lvl>
  </w:abstractNum>
  <w:abstractNum w:abstractNumId="10">
    <w:nsid w:val="140E0F76"/>
    <w:multiLevelType w:val="hybridMultilevel"/>
    <w:lvl w:ilvl="0">
      <w:lvlJc w:val="left"/>
      <w:lvlText w:val="%1."/>
      <w:numFmt w:val="upperLetter"/>
      <w:start w:val="3"/>
    </w:lvl>
  </w:abstractNum>
  <w:abstractNum w:abstractNumId="11">
    <w:nsid w:val="3352255A"/>
    <w:multiLevelType w:val="hybridMultilevel"/>
    <w:lvl w:ilvl="0">
      <w:lvlJc w:val="left"/>
      <w:lvlText w:val="%1."/>
      <w:numFmt w:val="upperLetter"/>
      <w:start w:val="4"/>
    </w:lvl>
  </w:abstractNum>
  <w:abstractNum w:abstractNumId="12">
    <w:nsid w:val="109CF92E"/>
    <w:multiLevelType w:val="hybridMultilevel"/>
    <w:lvl w:ilvl="0">
      <w:lvlJc w:val="left"/>
      <w:lvlText w:val="%1."/>
      <w:numFmt w:val="upperLetter"/>
      <w:start w:val="5"/>
    </w:lvl>
  </w:abstractNum>
  <w:abstractNum w:abstractNumId="13">
    <w:nsid w:val="DED7263"/>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2019-12-08T19:22:04Z</dcterms:created>
  <dcterms:modified xsi:type="dcterms:W3CDTF">2019-12-08T19:22:04Z</dcterms:modified>
</cp:coreProperties>
</file>