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172"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tbl>
      <w:tblPr>
        <w:tblLayout w:type="fixed"/>
        <w:tblInd w:w="1280" w:type="dxa"/>
        <w:tblCellMar>
          <w:top w:w="0" w:type="dxa"/>
          <w:left w:w="0" w:type="dxa"/>
          <w:bottom w:w="0" w:type="dxa"/>
          <w:right w:w="0" w:type="dxa"/>
        </w:tblCellMar>
      </w:tblPr>
      <w:tr>
        <w:trPr>
          <w:trHeight w:val="222"/>
        </w:trPr>
        <w:tc>
          <w:tcPr>
            <w:tcW w:w="6560" w:type="dxa"/>
            <w:vAlign w:val="bottom"/>
          </w:tcPr>
          <w:p>
            <w:pPr>
              <w:jc w:val="center"/>
              <w:ind w:left="2232"/>
              <w:spacing w:after="0"/>
              <w:rPr>
                <w:sz w:val="20"/>
                <w:szCs w:val="20"/>
                <w:color w:val="auto"/>
              </w:rPr>
            </w:pPr>
            <w:r>
              <w:rPr>
                <w:rFonts w:ascii="Arial" w:cs="Arial" w:eastAsia="Arial" w:hAnsi="Arial"/>
                <w:sz w:val="18"/>
                <w:szCs w:val="18"/>
                <w:i w:val="1"/>
                <w:iCs w:val="1"/>
                <w:color w:val="auto"/>
                <w:w w:val="88"/>
              </w:rPr>
              <w:t>(Exact Name of Registrant as Specified in its Charter)</w:t>
            </w:r>
          </w:p>
        </w:tc>
        <w:tc>
          <w:tcPr>
            <w:tcW w:w="1500" w:type="dxa"/>
            <w:vAlign w:val="bottom"/>
          </w:tcPr>
          <w:p>
            <w:pPr>
              <w:spacing w:after="0"/>
              <w:rPr>
                <w:sz w:val="19"/>
                <w:szCs w:val="19"/>
                <w:color w:val="auto"/>
              </w:rPr>
            </w:pPr>
          </w:p>
        </w:tc>
      </w:tr>
      <w:tr>
        <w:trPr>
          <w:trHeight w:val="398"/>
        </w:trPr>
        <w:tc>
          <w:tcPr>
            <w:tcW w:w="6560" w:type="dxa"/>
            <w:vAlign w:val="bottom"/>
          </w:tcPr>
          <w:p>
            <w:pPr>
              <w:jc w:val="center"/>
              <w:ind w:right="3312"/>
              <w:spacing w:after="0"/>
              <w:rPr>
                <w:sz w:val="20"/>
                <w:szCs w:val="20"/>
                <w:color w:val="auto"/>
              </w:rPr>
            </w:pPr>
            <w:r>
              <w:rPr>
                <w:rFonts w:ascii="Arial" w:cs="Arial" w:eastAsia="Arial" w:hAnsi="Arial"/>
                <w:sz w:val="18"/>
                <w:szCs w:val="18"/>
                <w:b w:val="1"/>
                <w:bCs w:val="1"/>
                <w:color w:val="auto"/>
                <w:w w:val="94"/>
              </w:rPr>
              <w:t>STATE OF DELAWARE</w:t>
            </w:r>
          </w:p>
        </w:tc>
        <w:tc>
          <w:tcPr>
            <w:tcW w:w="150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27-0756180</w:t>
            </w:r>
          </w:p>
        </w:tc>
      </w:tr>
      <w:tr>
        <w:trPr>
          <w:trHeight w:val="216"/>
        </w:trPr>
        <w:tc>
          <w:tcPr>
            <w:tcW w:w="6560" w:type="dxa"/>
            <w:vAlign w:val="bottom"/>
          </w:tcPr>
          <w:p>
            <w:pPr>
              <w:jc w:val="center"/>
              <w:ind w:right="3292"/>
              <w:spacing w:after="0"/>
              <w:rPr>
                <w:sz w:val="20"/>
                <w:szCs w:val="20"/>
                <w:color w:val="auto"/>
              </w:rPr>
            </w:pPr>
            <w:r>
              <w:rPr>
                <w:rFonts w:ascii="Arial" w:cs="Arial" w:eastAsia="Arial" w:hAnsi="Arial"/>
                <w:sz w:val="18"/>
                <w:szCs w:val="18"/>
                <w:i w:val="1"/>
                <w:iCs w:val="1"/>
                <w:color w:val="auto"/>
                <w:w w:val="91"/>
              </w:rPr>
              <w:t>(State or other jurisdiction of</w:t>
            </w:r>
          </w:p>
        </w:tc>
        <w:tc>
          <w:tcPr>
            <w:tcW w:w="1500" w:type="dxa"/>
            <w:vAlign w:val="bottom"/>
          </w:tcPr>
          <w:p>
            <w:pPr>
              <w:jc w:val="center"/>
              <w:ind w:left="1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6560" w:type="dxa"/>
            <w:vAlign w:val="bottom"/>
          </w:tcPr>
          <w:p>
            <w:pPr>
              <w:jc w:val="center"/>
              <w:ind w:right="3292"/>
              <w:spacing w:after="0"/>
              <w:rPr>
                <w:sz w:val="20"/>
                <w:szCs w:val="20"/>
                <w:color w:val="auto"/>
              </w:rPr>
            </w:pPr>
            <w:r>
              <w:rPr>
                <w:rFonts w:ascii="Arial" w:cs="Arial" w:eastAsia="Arial" w:hAnsi="Arial"/>
                <w:sz w:val="18"/>
                <w:szCs w:val="18"/>
                <w:i w:val="1"/>
                <w:iCs w:val="1"/>
                <w:color w:val="auto"/>
                <w:w w:val="92"/>
              </w:rPr>
              <w:t>Incorporation or Organization)</w:t>
            </w:r>
          </w:p>
        </w:tc>
        <w:tc>
          <w:tcPr>
            <w:tcW w:w="1500" w:type="dxa"/>
            <w:vAlign w:val="bottom"/>
          </w:tcPr>
          <w:p>
            <w:pPr>
              <w:jc w:val="center"/>
              <w:ind w:left="11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6560" w:type="dxa"/>
            <w:vAlign w:val="bottom"/>
          </w:tcPr>
          <w:p>
            <w:pPr>
              <w:jc w:val="center"/>
              <w:ind w:right="3292"/>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150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48265-3000</w:t>
            </w:r>
          </w:p>
        </w:tc>
      </w:tr>
      <w:tr>
        <w:trPr>
          <w:trHeight w:val="222"/>
        </w:trPr>
        <w:tc>
          <w:tcPr>
            <w:tcW w:w="6560" w:type="dxa"/>
            <w:vAlign w:val="bottom"/>
          </w:tcPr>
          <w:p>
            <w:pPr>
              <w:jc w:val="center"/>
              <w:ind w:right="331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1500" w:type="dxa"/>
            <w:vAlign w:val="bottom"/>
          </w:tcPr>
          <w:p>
            <w:pPr>
              <w:jc w:val="center"/>
              <w:ind w:left="92"/>
              <w:spacing w:after="0"/>
              <w:rPr>
                <w:sz w:val="20"/>
                <w:szCs w:val="20"/>
                <w:color w:val="auto"/>
              </w:rPr>
            </w:pPr>
            <w:r>
              <w:rPr>
                <w:rFonts w:ascii="Arial" w:cs="Arial" w:eastAsia="Arial" w:hAnsi="Arial"/>
                <w:sz w:val="18"/>
                <w:szCs w:val="18"/>
                <w:i w:val="1"/>
                <w:iCs w:val="1"/>
                <w:color w:val="auto"/>
                <w:w w:val="89"/>
              </w:rPr>
              <w:t>(Zip Code)</w:t>
            </w:r>
          </w:p>
        </w:tc>
      </w:tr>
      <w:tr>
        <w:trPr>
          <w:trHeight w:val="366"/>
        </w:trPr>
        <w:tc>
          <w:tcPr>
            <w:tcW w:w="6560" w:type="dxa"/>
            <w:vAlign w:val="bottom"/>
          </w:tcPr>
          <w:p>
            <w:pPr>
              <w:jc w:val="center"/>
              <w:ind w:left="223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500" w:type="dxa"/>
            <w:vAlign w:val="bottom"/>
          </w:tcPr>
          <w:p>
            <w:pPr>
              <w:spacing w:after="0"/>
              <w:rPr>
                <w:sz w:val="24"/>
                <w:szCs w:val="24"/>
                <w:color w:val="auto"/>
              </w:rPr>
            </w:pPr>
          </w:p>
        </w:tc>
      </w:tr>
      <w:tr>
        <w:trPr>
          <w:trHeight w:val="228"/>
        </w:trPr>
        <w:tc>
          <w:tcPr>
            <w:tcW w:w="6560" w:type="dxa"/>
            <w:vAlign w:val="bottom"/>
          </w:tcPr>
          <w:p>
            <w:pPr>
              <w:jc w:val="center"/>
              <w:ind w:left="2212"/>
              <w:spacing w:after="0"/>
              <w:rPr>
                <w:sz w:val="20"/>
                <w:szCs w:val="20"/>
                <w:color w:val="auto"/>
              </w:rPr>
            </w:pPr>
            <w:r>
              <w:rPr>
                <w:rFonts w:ascii="Arial" w:cs="Arial" w:eastAsia="Arial" w:hAnsi="Arial"/>
                <w:sz w:val="18"/>
                <w:szCs w:val="18"/>
                <w:b w:val="1"/>
                <w:bCs w:val="1"/>
                <w:color w:val="auto"/>
                <w:w w:val="89"/>
              </w:rPr>
              <w:t>(313) 556-5000</w:t>
            </w:r>
          </w:p>
        </w:tc>
        <w:tc>
          <w:tcPr>
            <w:tcW w:w="1500" w:type="dxa"/>
            <w:vAlign w:val="bottom"/>
          </w:tcPr>
          <w:p>
            <w:pPr>
              <w:spacing w:after="0"/>
              <w:rPr>
                <w:sz w:val="19"/>
                <w:szCs w:val="19"/>
                <w:color w:val="auto"/>
              </w:rPr>
            </w:pP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 None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7"/>
        </w:trPr>
        <w:tc>
          <w:tcPr>
            <w:tcW w:w="57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Title of Each Class to be so Registered</w:t>
            </w:r>
          </w:p>
        </w:tc>
        <w:tc>
          <w:tcPr>
            <w:tcW w:w="24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which Each Class is to be Registered</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Each Class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66040</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$0.01 par value</w:t>
      </w:r>
    </w:p>
    <w:p>
      <w:pPr>
        <w:spacing w:after="0" w:line="333" w:lineRule="exact"/>
        <w:rPr>
          <w:sz w:val="24"/>
          <w:szCs w:val="24"/>
          <w:color w:val="auto"/>
        </w:rPr>
      </w:pPr>
    </w:p>
    <w:p>
      <w:pPr>
        <w:ind w:right="440" w:firstLine="228"/>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3600" w:type="dxa"/>
            <w:vAlign w:val="bottom"/>
          </w:tcPr>
          <w:p>
            <w:pPr>
              <w:ind w:left="1620"/>
              <w:spacing w:after="0" w:line="207" w:lineRule="exact"/>
              <w:rPr>
                <w:sz w:val="20"/>
                <w:szCs w:val="20"/>
                <w:color w:val="auto"/>
              </w:rPr>
            </w:pPr>
            <w:r>
              <w:rPr>
                <w:rFonts w:ascii="Arial" w:cs="Arial" w:eastAsia="Arial" w:hAnsi="Arial"/>
                <w:sz w:val="18"/>
                <w:szCs w:val="18"/>
                <w:color w:val="auto"/>
                <w:w w:val="97"/>
              </w:rPr>
              <w:t xml:space="preserve">Large accelerated filer </w:t>
            </w:r>
            <w:r>
              <w:rPr>
                <w:rFonts w:ascii="MS PGothic" w:cs="MS PGothic" w:eastAsia="MS PGothic" w:hAnsi="MS PGothic"/>
                <w:sz w:val="18"/>
                <w:szCs w:val="18"/>
                <w:color w:val="auto"/>
                <w:w w:val="97"/>
              </w:rPr>
              <w:t>☐</w:t>
            </w:r>
          </w:p>
        </w:tc>
        <w:tc>
          <w:tcPr>
            <w:tcW w:w="1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080" w:type="dxa"/>
            <w:vAlign w:val="bottom"/>
          </w:tcPr>
          <w:p>
            <w:pPr>
              <w:ind w:left="180"/>
              <w:spacing w:after="0" w:line="207" w:lineRule="exact"/>
              <w:rPr>
                <w:sz w:val="20"/>
                <w:szCs w:val="20"/>
                <w:color w:val="auto"/>
              </w:rPr>
            </w:pPr>
            <w:r>
              <w:rPr>
                <w:rFonts w:ascii="Arial" w:cs="Arial" w:eastAsia="Arial" w:hAnsi="Arial"/>
                <w:sz w:val="18"/>
                <w:szCs w:val="18"/>
                <w:color w:val="auto"/>
                <w:w w:val="99"/>
              </w:rPr>
              <w:t xml:space="preserve">Non-accelerated filer </w:t>
            </w:r>
            <w:r>
              <w:rPr>
                <w:rFonts w:ascii="MS PGothic" w:cs="MS PGothic" w:eastAsia="MS PGothic" w:hAnsi="MS PGothic"/>
                <w:sz w:val="18"/>
                <w:szCs w:val="18"/>
                <w:color w:val="auto"/>
                <w:w w:val="99"/>
              </w:rPr>
              <w:t>☑</w:t>
            </w:r>
          </w:p>
        </w:tc>
        <w:tc>
          <w:tcPr>
            <w:tcW w:w="3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22"/>
        </w:trPr>
        <w:tc>
          <w:tcPr>
            <w:tcW w:w="3600" w:type="dxa"/>
            <w:vAlign w:val="bottom"/>
          </w:tcPr>
          <w:p>
            <w:pPr>
              <w:spacing w:after="0"/>
              <w:rPr>
                <w:sz w:val="19"/>
                <w:szCs w:val="19"/>
                <w:color w:val="auto"/>
              </w:rPr>
            </w:pPr>
          </w:p>
        </w:tc>
        <w:tc>
          <w:tcPr>
            <w:tcW w:w="3860" w:type="dxa"/>
            <w:vAlign w:val="bottom"/>
            <w:gridSpan w:val="2"/>
          </w:tcPr>
          <w:p>
            <w:pPr>
              <w:ind w:left="600"/>
              <w:spacing w:after="0"/>
              <w:rPr>
                <w:sz w:val="20"/>
                <w:szCs w:val="20"/>
                <w:color w:val="auto"/>
              </w:rPr>
            </w:pPr>
            <w:r>
              <w:rPr>
                <w:rFonts w:ascii="Arial" w:cs="Arial" w:eastAsia="Arial" w:hAnsi="Arial"/>
                <w:sz w:val="18"/>
                <w:szCs w:val="18"/>
                <w:color w:val="auto"/>
                <w:w w:val="96"/>
              </w:rPr>
              <w:t>Do not check if smaller reporting company</w:t>
            </w:r>
          </w:p>
        </w:tc>
        <w:tc>
          <w:tcPr>
            <w:tcW w:w="3960" w:type="dxa"/>
            <w:vAlign w:val="bottom"/>
          </w:tcPr>
          <w:p>
            <w:pPr>
              <w:spacing w:after="0"/>
              <w:rPr>
                <w:sz w:val="19"/>
                <w:szCs w:val="19"/>
                <w:color w:val="auto"/>
              </w:rPr>
            </w:pPr>
          </w:p>
        </w:tc>
      </w:tr>
      <w:tr>
        <w:trPr>
          <w:trHeight w:val="245"/>
        </w:trPr>
        <w:tc>
          <w:tcPr>
            <w:tcW w:w="36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of the liabilities of General Motors Corporation (363 Sale) and changed its name to General Motors Company, is sometimes referred to in this Registration Statement on Form 10 for the periods on or subsequent to July 10, 2009 as “we,” “our,” “us,” “ourselves,” the “Company,” “General Motors,” or “GM.” General Motors Corporation is sometimes referred to in this Registration Statement on Form 10, for the periods on or before July 9, 2009, as “Old GM.” On July 10, 2009, in connection with the 363 Sale General Motors Corporation changed its name to Motors Liquidation Company, which is sometimes referred to in this Registration Statement on Form 10, for the periods on or after July 10, 2009, as “MLC.”</w:t>
      </w:r>
    </w:p>
    <w:p>
      <w:pPr>
        <w:spacing w:after="0" w:line="118"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are a private company and were not previously subject to the filing requirements of Section 13 or 15(d) of the Securities Exchange Act of 1934. On April 7, 2010, we filed an Annual Report on Form 10-K for the year ended December 31, 2009, a Quarterly Report on Form 10-Q for the quarter ended September 30, 2009 and a Registration Statement on Form 10 (the Form 10) pursuant to an agreement with the SEC Staff, as described in a no-action letter issued to Old GM by the SEC Staff on July 9, 2009 regarding our filing requirements and those of MLC. We are filing this amendment to the Form 10 to reflect certain of the information included within our Quarterly Report on Form 10-Q for the quarterly period ended March 31, 2010, as filed with the SEC on May 17, 2010, and to make other updating changes. This amendment amends and restates the Form 10 in its entirety.</w:t>
      </w:r>
    </w:p>
    <w:p>
      <w:pPr>
        <w:spacing w:after="0" w:line="120" w:lineRule="exact"/>
        <w:rPr>
          <w:sz w:val="20"/>
          <w:szCs w:val="20"/>
          <w:color w:val="auto"/>
        </w:rPr>
      </w:pPr>
    </w:p>
    <w:p>
      <w:pPr>
        <w:ind w:right="420" w:firstLine="228"/>
        <w:spacing w:after="0" w:line="259" w:lineRule="auto"/>
        <w:rPr>
          <w:sz w:val="20"/>
          <w:szCs w:val="20"/>
          <w:color w:val="auto"/>
        </w:rPr>
      </w:pPr>
      <w:r>
        <w:rPr>
          <w:rFonts w:ascii="Arial" w:cs="Arial" w:eastAsia="Arial" w:hAnsi="Arial"/>
          <w:sz w:val="18"/>
          <w:szCs w:val="18"/>
          <w:color w:val="auto"/>
        </w:rPr>
        <w:t>Prior to July 10, 2009 Old GM operated the business of the Company, and pursuant to the agreement with the SEC Staff, the accompanying consolidated financial statements include the financial statements and related information of Old GM as it is our predecessor entity solely for accounting and financial reporting purposes.</w:t>
      </w:r>
    </w:p>
    <w:p>
      <w:pPr>
        <w:spacing w:after="0" w:line="140" w:lineRule="exact"/>
        <w:rPr>
          <w:sz w:val="20"/>
          <w:szCs w:val="20"/>
          <w:color w:val="auto"/>
        </w:rPr>
      </w:pPr>
    </w:p>
    <w:p>
      <w:pPr>
        <w:ind w:right="580" w:firstLine="228"/>
        <w:spacing w:after="0" w:line="332" w:lineRule="auto"/>
        <w:rPr>
          <w:sz w:val="20"/>
          <w:szCs w:val="20"/>
          <w:color w:val="auto"/>
        </w:rPr>
      </w:pPr>
      <w:r>
        <w:rPr>
          <w:rFonts w:ascii="Arial" w:cs="Arial" w:eastAsia="Arial" w:hAnsi="Arial"/>
          <w:sz w:val="16"/>
          <w:szCs w:val="16"/>
          <w:color w:val="auto"/>
        </w:rPr>
        <w:t>The 363 Sale resulted in a new entity, General Motors Company, which is the successor entity to Old GM solely for accounting and financial reporting purposes. Because we are a new reporting entity, our financial statements are not comparable to the financial statements of Old GM.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this report and in reports we subsequently file with the Securities and Exchange Commission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60"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234" w:lineRule="exact"/>
        <w:rPr>
          <w:rFonts w:ascii="Arial" w:cs="Arial" w:eastAsia="Arial" w:hAnsi="Arial"/>
          <w:sz w:val="16"/>
          <w:szCs w:val="16"/>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211" w:lineRule="exact"/>
        <w:rPr>
          <w:rFonts w:ascii="Arial" w:cs="Arial" w:eastAsia="Arial" w:hAnsi="Arial"/>
          <w:sz w:val="18"/>
          <w:szCs w:val="18"/>
          <w:color w:val="auto"/>
        </w:rPr>
      </w:pPr>
    </w:p>
    <w:p>
      <w:pPr>
        <w:ind w:left="660" w:right="200" w:hanging="436"/>
        <w:spacing w:after="0" w:line="33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125" w:lineRule="exact"/>
        <w:rPr>
          <w:rFonts w:ascii="Arial" w:cs="Arial" w:eastAsia="Arial" w:hAnsi="Arial"/>
          <w:sz w:val="16"/>
          <w:szCs w:val="16"/>
          <w:color w:val="auto"/>
        </w:rPr>
      </w:pPr>
    </w:p>
    <w:p>
      <w:pPr>
        <w:ind w:left="660" w:hanging="43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ability of our new executive management team to quickly learn the automotive industry, and adapt and excel in their new management roles;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left="440" w:right="600" w:hanging="43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172" w:lineRule="exact"/>
        <w:rPr>
          <w:rFonts w:ascii="Arial" w:cs="Arial" w:eastAsia="Arial" w:hAnsi="Arial"/>
          <w:sz w:val="18"/>
          <w:szCs w:val="18"/>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211" w:lineRule="exact"/>
        <w:rPr>
          <w:rFonts w:ascii="Arial" w:cs="Arial" w:eastAsia="Arial" w:hAnsi="Arial"/>
          <w:sz w:val="18"/>
          <w:szCs w:val="18"/>
          <w:color w:val="auto"/>
        </w:rPr>
      </w:pPr>
    </w:p>
    <w:p>
      <w:pPr>
        <w:ind w:left="440" w:right="260" w:hanging="43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172" w:lineRule="exact"/>
        <w:rPr>
          <w:rFonts w:ascii="Arial" w:cs="Arial" w:eastAsia="Arial" w:hAnsi="Arial"/>
          <w:sz w:val="18"/>
          <w:szCs w:val="18"/>
          <w:color w:val="auto"/>
        </w:rPr>
      </w:pPr>
    </w:p>
    <w:p>
      <w:pPr>
        <w:ind w:left="440" w:hanging="436"/>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234" w:lineRule="exact"/>
        <w:rPr>
          <w:rFonts w:ascii="Arial" w:cs="Arial" w:eastAsia="Arial" w:hAnsi="Arial"/>
          <w:sz w:val="16"/>
          <w:szCs w:val="16"/>
          <w:color w:val="auto"/>
        </w:rPr>
      </w:pPr>
    </w:p>
    <w:p>
      <w:pPr>
        <w:ind w:left="440" w:right="100" w:hanging="436"/>
        <w:spacing w:after="0" w:line="332"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the VEBA Note Agreement;</w:t>
      </w:r>
    </w:p>
    <w:p>
      <w:pPr>
        <w:spacing w:after="0" w:line="125" w:lineRule="exact"/>
        <w:rPr>
          <w:rFonts w:ascii="Arial" w:cs="Arial" w:eastAsia="Arial" w:hAnsi="Arial"/>
          <w:sz w:val="16"/>
          <w:szCs w:val="16"/>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211" w:lineRule="exact"/>
        <w:rPr>
          <w:rFonts w:ascii="Arial" w:cs="Arial" w:eastAsia="Arial" w:hAnsi="Arial"/>
          <w:sz w:val="18"/>
          <w:szCs w:val="18"/>
          <w:color w:val="auto"/>
        </w:rPr>
      </w:pPr>
    </w:p>
    <w:p>
      <w:pPr>
        <w:ind w:left="440" w:hanging="43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qualify for federal funding of our advanced technology vehicle programs under Section 136 of the Energy Independence and Security Act of 2007 (EISA);</w:t>
      </w:r>
    </w:p>
    <w:p>
      <w:pPr>
        <w:spacing w:after="0" w:line="172" w:lineRule="exact"/>
        <w:rPr>
          <w:rFonts w:ascii="Arial" w:cs="Arial" w:eastAsia="Arial" w:hAnsi="Arial"/>
          <w:sz w:val="18"/>
          <w:szCs w:val="18"/>
          <w:color w:val="auto"/>
        </w:rPr>
      </w:pPr>
    </w:p>
    <w:p>
      <w:pPr>
        <w:ind w:left="440" w:right="120" w:hanging="43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European operations to successfully restructure and receive adequate financial support from various European governments or other sources;</w:t>
      </w:r>
    </w:p>
    <w:p>
      <w:pPr>
        <w:spacing w:after="0" w:line="172" w:lineRule="exact"/>
        <w:rPr>
          <w:rFonts w:ascii="Arial" w:cs="Arial" w:eastAsia="Arial" w:hAnsi="Arial"/>
          <w:sz w:val="18"/>
          <w:szCs w:val="18"/>
          <w:color w:val="auto"/>
        </w:rPr>
      </w:pPr>
    </w:p>
    <w:p>
      <w:pPr>
        <w:jc w:val="both"/>
        <w:ind w:left="440" w:right="200" w:hanging="436"/>
        <w:spacing w:after="0" w:line="306"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continued availability of both wholesale and retail financing from GMAC and its affiliates in the United States, Canada and the other markets in which we operate to support our ability to sell vehicles in those markets, which is dependent on GMAC’s ability to obtain funding and which may be suspended by GMAC if GMAC’s credit exposure to us exceeds certain limitations provided in our operating arrangements with GMAC;</w:t>
      </w:r>
    </w:p>
    <w:p>
      <w:pPr>
        <w:spacing w:after="0" w:line="147" w:lineRule="exact"/>
        <w:rPr>
          <w:rFonts w:ascii="Arial" w:cs="Arial" w:eastAsia="Arial" w:hAnsi="Arial"/>
          <w:sz w:val="16"/>
          <w:szCs w:val="16"/>
          <w:color w:val="auto"/>
        </w:rPr>
      </w:pPr>
    </w:p>
    <w:p>
      <w:pPr>
        <w:ind w:left="440" w:hanging="436"/>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234" w:lineRule="exact"/>
        <w:rPr>
          <w:rFonts w:ascii="Arial" w:cs="Arial" w:eastAsia="Arial" w:hAnsi="Arial"/>
          <w:sz w:val="16"/>
          <w:szCs w:val="16"/>
          <w:color w:val="auto"/>
        </w:rPr>
      </w:pPr>
    </w:p>
    <w:p>
      <w:pPr>
        <w:ind w:left="440" w:right="160" w:hanging="436"/>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economic and automotive industry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180" w:lineRule="exact"/>
        <w:rPr>
          <w:rFonts w:ascii="Arial" w:cs="Arial" w:eastAsia="Arial" w:hAnsi="Arial"/>
          <w:sz w:val="18"/>
          <w:szCs w:val="18"/>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w:t>
      </w:r>
    </w:p>
    <w:p>
      <w:pPr>
        <w:spacing w:after="0" w:line="211" w:lineRule="exact"/>
        <w:rPr>
          <w:rFonts w:ascii="Arial" w:cs="Arial" w:eastAsia="Arial" w:hAnsi="Arial"/>
          <w:sz w:val="18"/>
          <w:szCs w:val="18"/>
          <w:color w:val="auto"/>
        </w:rPr>
      </w:pPr>
    </w:p>
    <w:p>
      <w:pPr>
        <w:ind w:left="440" w:right="80" w:hanging="43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in our markets, on our pricing policies or use of incentives and the introduction of new and improved vehicle models by our competitors;</w:t>
      </w:r>
    </w:p>
    <w:p>
      <w:pPr>
        <w:spacing w:after="0" w:line="172" w:lineRule="exact"/>
        <w:rPr>
          <w:rFonts w:ascii="Arial" w:cs="Arial" w:eastAsia="Arial" w:hAnsi="Arial"/>
          <w:sz w:val="18"/>
          <w:szCs w:val="18"/>
          <w:color w:val="auto"/>
        </w:rPr>
      </w:pPr>
    </w:p>
    <w:p>
      <w:pPr>
        <w:ind w:left="440" w:right="60" w:hanging="436"/>
        <w:spacing w:after="0" w:line="332"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where such actions may affect the production, licensing, distribution or sale of our products, the cost thereof or applicable tax rates;</w:t>
      </w:r>
    </w:p>
    <w:p>
      <w:pPr>
        <w:spacing w:after="0" w:line="125" w:lineRule="exact"/>
        <w:rPr>
          <w:rFonts w:ascii="Arial" w:cs="Arial" w:eastAsia="Arial" w:hAnsi="Arial"/>
          <w:sz w:val="16"/>
          <w:szCs w:val="16"/>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211" w:lineRule="exact"/>
        <w:rPr>
          <w:rFonts w:ascii="Arial" w:cs="Arial" w:eastAsia="Arial" w:hAnsi="Arial"/>
          <w:sz w:val="18"/>
          <w:szCs w:val="18"/>
          <w:color w:val="auto"/>
        </w:rPr>
      </w:pPr>
    </w:p>
    <w:p>
      <w:pPr>
        <w:ind w:left="440" w:right="360" w:hanging="43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w:t>
      </w:r>
    </w:p>
    <w:p>
      <w:pPr>
        <w:spacing w:after="0" w:line="11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460" w:top="274"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left="660" w:right="100" w:hanging="43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including the estimates for Delphi pension benefit guarantees, which could have an effect on earnings; and</w:t>
      </w:r>
    </w:p>
    <w:p>
      <w:pPr>
        <w:spacing w:after="0" w:line="172"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from time to time in periodic and current reports that we file with the SEC.</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7"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The information required by this item is contained within the section entitled “Item 1. Business” in our annual report on Form 10-K for the year ended December 31, 2009 as filed with the SEC on April 7, 2010 and attached hereto as Exhibit 99.l (the 2009 Form 10-K), which section is incorporated herein by reference.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The information required by this item is contained within the section entitled “Item 1A. Risk Factors” in the 2009 Form 10-K and the section entitled “Part II —Other Information—Item 1A. Risk Factors” in our Quarterly Report on Form 10-Q for the quarterly period ended March 31, 2010, as filed with the SEC on May 17, 2010 and attached hereto as Exhibit 99.3 (the First Quarter 2010 10-Q), which sections are incorporated herein by reference.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Financial Information</w:t>
      </w:r>
    </w:p>
    <w:p>
      <w:pPr>
        <w:spacing w:after="0" w:line="177"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 information required by this item is contained within the sections entitled “Item 6. Selected Financial Data,” “Item 7. Management’s Discussion and Analysis of Financial Condition and Results of Operations,” and “Item 7A. Quantitative and Qualitative Disclosures About Market Risk” in the 2009 Form 10-K and the section entitled “Part I—Financial Information—Item 2. Management’s Discussion and Analysis of Financial Condition and Results of Operations” in the First Quarter 2010 10-Q, which sections are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Properties</w:t>
      </w:r>
    </w:p>
    <w:p>
      <w:pPr>
        <w:spacing w:after="0" w:line="1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information required by this item is contained within the section entitled “Item 2. Properties” in the 2009 Form 10-K, which section is incorporated herein by reference.</w:t>
      </w:r>
    </w:p>
    <w:p>
      <w:pPr>
        <w:spacing w:after="0" w:line="1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Security Ownership of Certain Beneficial Owners and Management</w:t>
      </w:r>
    </w:p>
    <w:p>
      <w:pPr>
        <w:spacing w:after="0" w:line="17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information required by this item is contained within the section entitled “Item 12. Security Ownership of Certain Beneficial Owners and Management and Related Stockholder Matters” in the 2009 Form 10-K, which section is incorporated herein by reference.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Directors and Executive Officers</w:t>
      </w:r>
    </w:p>
    <w:p>
      <w:pPr>
        <w:spacing w:after="0" w:line="177"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Cynthia A. Telles, 57, has been a member of our Board of Directors since April 13, 2010. She has been on the faculty of the University of California, Los Angeles School of Medicine Department of Psychiatry since 1986 and the Director of the UCLA Neuropsychiatric Institute Spanish-Speaking Psychosocial Clinic since 1980. Among many corporate and non-profit board memberships, Dr. Telles was recently appointed to the White House Commission on Presidential Scholars by President Obama. She has held several governmental and public service appointments that include serving as a Commissioner for the City of Los Angeles for 13 years. Dr. Telles currently is a member of the board of the Kaiser Foundation Health Plan and Hospitals and Americas United Bank, the largest Hispanic-owned bank based in California. She previously served on the boards of Burlington Northern Santa Fe Corporation from 2009 to 2010 and California United Bank (formerly Sanwa Bank California) from 1994 to 2002. In concluding that Dr. Telles should serve as a director, the Board considered her extensive experience in public and governmental service, as well as public policy and governmental and community relations. In addition, her in-depth understanding of the Hispanic community, which represents the nation’s largest and fastest growing consumer market segment, provides the Board with valuable insight. Moreover, her previous and current board positions in companies in the health care, transportation and financial industries and in non-profit organizations involved with, among other areas, community development, environmental issues, health care reform, and education, have developed her broad perspective on issues related to corporate responsibility and governance.</w:t>
      </w:r>
    </w:p>
    <w:p>
      <w:pPr>
        <w:spacing w:after="0" w:line="124"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remainder of the information required by this item is contained within the section entitled “Item 10. Directors, Executive Officers and Corporate Governance” in the 2009 Form 10-K, which section is incorporated herein by reference.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Executive Compensation</w:t>
      </w:r>
    </w:p>
    <w:p>
      <w:pPr>
        <w:spacing w:after="0" w:line="177"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The information required by this item is contained within the section entitled “Item 11. Executive Compensation” in the 2009 Form 10-K, which section is incorporated herein by reference.</w:t>
      </w:r>
    </w:p>
    <w:p>
      <w:pPr>
        <w:spacing w:after="0" w:line="1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Certain Relationships and Related Transactions, and Director Independence</w:t>
      </w:r>
    </w:p>
    <w:p>
      <w:pPr>
        <w:spacing w:after="0" w:line="177"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The information required by this item is contained within the section entitled “Item 13. Certain Relationships and Related Transactions and Director Independence” in the 2009 Form 10-K, which section is incorporated herein by reference.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The information required by this item is contained within the section entitled “Item 3. Legal Proceedings” in the 2009 Form 10-K and the section entitled “Part II—Other Information—Item 1. Legal Proceedings” in the First Quarter 2010 10-Q, which sections are incorporated herein by reference</w:t>
      </w:r>
      <w:r>
        <w:rPr>
          <w:rFonts w:ascii="Arial" w:cs="Arial" w:eastAsia="Arial" w:hAnsi="Arial"/>
          <w:sz w:val="16"/>
          <w:szCs w:val="16"/>
          <w:i w:val="1"/>
          <w:iCs w:val="1"/>
          <w:color w:val="auto"/>
        </w:rPr>
        <w: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177" w:lineRule="exact"/>
        <w:rPr>
          <w:sz w:val="20"/>
          <w:szCs w:val="20"/>
          <w:color w:val="auto"/>
        </w:rPr>
      </w:pPr>
    </w:p>
    <w:p>
      <w:pPr>
        <w:ind w:right="520" w:firstLine="228"/>
        <w:spacing w:after="0" w:line="332" w:lineRule="auto"/>
        <w:rPr>
          <w:sz w:val="20"/>
          <w:szCs w:val="20"/>
          <w:color w:val="auto"/>
        </w:rPr>
      </w:pPr>
      <w:r>
        <w:rPr>
          <w:rFonts w:ascii="Arial" w:cs="Arial" w:eastAsia="Arial" w:hAnsi="Arial"/>
          <w:sz w:val="16"/>
          <w:szCs w:val="16"/>
          <w:color w:val="auto"/>
        </w:rPr>
        <w:t>The information required by this item is contained within the section entitled “Item 5. Market for the Registrant’s Common Equity, Related Stockholder Matters and Issuer Purchases of Equity Securities” in the 2009 Form 10-K, which section is incorporated herein by reference.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Recent Sales of Unregistered Securities</w:t>
      </w:r>
    </w:p>
    <w:p>
      <w:pPr>
        <w:spacing w:after="0" w:line="177" w:lineRule="exact"/>
        <w:rPr>
          <w:sz w:val="20"/>
          <w:szCs w:val="20"/>
          <w:color w:val="auto"/>
        </w:rPr>
      </w:pPr>
    </w:p>
    <w:p>
      <w:pPr>
        <w:ind w:right="500" w:firstLine="228"/>
        <w:spacing w:after="0" w:line="332" w:lineRule="auto"/>
        <w:rPr>
          <w:sz w:val="20"/>
          <w:szCs w:val="20"/>
          <w:color w:val="auto"/>
        </w:rPr>
      </w:pPr>
      <w:r>
        <w:rPr>
          <w:rFonts w:ascii="Arial" w:cs="Arial" w:eastAsia="Arial" w:hAnsi="Arial"/>
          <w:sz w:val="16"/>
          <w:szCs w:val="16"/>
          <w:color w:val="auto"/>
        </w:rPr>
        <w:t>The information required by this item is contained within the section entitled “Item 5. Market for the Registrant’s Common Equity, Related Stockholder Matters and Issuer Purchases of Equity Securities” in the 2009 Form 10-K, which section is incorporated herein by reference.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Description of Registrant’s Securities to be Registered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following description of our capital stock is based upon our amended and restated certificate of incorporation, as amended (Certificate of Incorporation), our amended and restated bylaws (Bylaws), the Amended and Restated Warrant Agreements dated as of October 16, 2009 between us and U.S. Bank National Association, as Warrant Agent (Warrant Agreements), the Certificate of Designations (Certificate of Designations) for the Series A Preferred Stock and applicable provisions of law, in each case as currently in effect. The following is a description of the material provisions regarding our capital stock contained in our Certificate of Incorporation, our Bylaws, the Warrant Agreements and the Certificate of Designations and is qualified in its entirety by reference to the provisions of those documents. A description of the Stockholders Agreement dated as of October 15, 2009 (Stockholders Agreement) among us, the UST, the New VEBA, Canada Holdings and our previous legal entity prior to our October 2009 holding company reorganization (Prior GM), which includes among other things various voting agreements among the parties thereto, is contained within the section entitled “Item 10. Directors, Executive Officers and Corporate Governance— Stockholders Agreement” in the 2009 Form 10-K, which section is incorporated herein by reference.</w:t>
      </w:r>
    </w:p>
    <w:p>
      <w:pPr>
        <w:spacing w:after="0" w:line="120" w:lineRule="exact"/>
        <w:rPr>
          <w:sz w:val="20"/>
          <w:szCs w:val="20"/>
          <w:color w:val="auto"/>
        </w:rPr>
      </w:pPr>
    </w:p>
    <w:p>
      <w:pPr>
        <w:ind w:right="420" w:firstLine="228"/>
        <w:spacing w:after="0" w:line="259" w:lineRule="auto"/>
        <w:rPr>
          <w:sz w:val="20"/>
          <w:szCs w:val="20"/>
          <w:color w:val="auto"/>
        </w:rPr>
      </w:pPr>
      <w:r>
        <w:rPr>
          <w:rFonts w:ascii="Arial" w:cs="Arial" w:eastAsia="Arial" w:hAnsi="Arial"/>
          <w:sz w:val="18"/>
          <w:szCs w:val="18"/>
          <w:color w:val="auto"/>
        </w:rPr>
        <w:t>Certain provisions of the Delaware General Corporation Law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Certificate of Incorporation currently authorizes us to issue 3,500,000,000 shares of capital stock, consisting of:</w:t>
      </w:r>
    </w:p>
    <w:p>
      <w:pPr>
        <w:spacing w:after="0" w:line="21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2,500,000,000 shares of common stock, par value $0.01 per share; and</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1,000,000,000 shares of preferred stock, par value $0.01 per share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May 1, 2010 the following shares of capital stock and warrants to acquire shares of capital stock were issued and outstanding:</w:t>
      </w:r>
    </w:p>
    <w:p>
      <w:pPr>
        <w:spacing w:after="0" w:line="21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500,000,000 shares of common stock;</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360,000,000 shares of Series A Preferred Stock; and</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for the purchase of up to 106,060,605 shares of common stock.</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Provisions of Our Certificate of Incorporation and Bylaws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Our Certificate of Incorporation</w:t>
      </w:r>
    </w:p>
    <w:p>
      <w:pPr>
        <w:spacing w:after="0" w:line="171"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DGCL, the holders of the outstanding shares of a class of our capital stock shall be entitled to vote as a class upon a proposed amendment, whether or not entitled to vote thereon by the certificate of incorporation, if the amendment would:</w:t>
      </w:r>
    </w:p>
    <w:p>
      <w:pPr>
        <w:spacing w:after="0" w:line="17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Vacancies in the Board of Directors</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Our Bylaws provide that, subject to limitations, any vacancy occurring in our Board of Directors for any reason may be filled by a majority of the remaining members of our Board of Directors then in office, even if such majority is less than a quorum. Each director so elected shall hold office until the expiration of the term of the other directors. Each such director shall hold office until his or her successor is elected and qualified, or until the earlier of his or her death, resignation or removal.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Special Meetings of Stockholders</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15% of the voting power of the outstanding shares of all classes of stock entitled to vote at such a meeting, subject to certain requirements and limitations set forth in our Bylaws that may be applicable to such a written request.</w:t>
      </w:r>
    </w:p>
    <w:p>
      <w:pPr>
        <w:spacing w:after="0" w:line="143"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Requirements for Notice of Stockholder Director Nominations and Stockholder Business</w:t>
      </w:r>
    </w:p>
    <w:p>
      <w:pPr>
        <w:spacing w:after="0" w:line="171"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Prior to the earlier to occur of (i) the initial public offering of our common stock that is underwritten by a nationally recognized investment bank or (ii) the later of (x) the date on which a Company registration statement filed under the Exchange Act becomes effective and (y) the date of distribution of the shares of our common stock beneficially owned by MLC pursuant to its plan of reorganization (we refer to the earlier to occur of clauses (i) and (ii) as the Public Distribution), nominations for the election of directors may be made only by the Board of Directors, which nominations shall be consistent with the Stockholders Agreement. Following a Public Distribution, nominations for the election of directors may be made by the Board of Directors in accordance with the Stockholders Agreement or by any stockholder entitled to vote for the election of directors who complies with the applicable notice requirements.</w:t>
      </w:r>
    </w:p>
    <w:p>
      <w:pPr>
        <w:spacing w:after="0" w:line="120"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Prior to a Public Distribution, a stockholder need not give notice of his, her or its intent to bring any matter before a meeting of stockholders. Following a Public Distribution, 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representation that the stockholder is a holder of our voting stock and intends to appear in person or by proxy at the meeting to make the nomination or bring up the matter specified in the notice. For the timing of the stockholder notice, our Bylaws require that the notice must be received by our secretary:</w:t>
      </w:r>
    </w:p>
    <w:p>
      <w:pPr>
        <w:spacing w:after="0" w:line="126"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Stockholder Action by Written Consent without a Meeting</w:t>
      </w:r>
    </w:p>
    <w:p>
      <w:pPr>
        <w:spacing w:after="0" w:line="171"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Our Certificate of Incorporation provides that, following the time of the Public Distribution,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This unanimity requirement does not apply prior to the time of the Public Distribution. Our Bylaws also contain notice and procedural requirements applicable to persons seeking to have the stockholders authorize or take corporate action by written consent without a meeting.</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Anti-Takeover Effects of Delaware Law</w:t>
      </w:r>
    </w:p>
    <w:p>
      <w:pPr>
        <w:spacing w:after="0" w:line="171"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126" w:lineRule="exact"/>
        <w:rPr>
          <w:sz w:val="20"/>
          <w:szCs w:val="20"/>
          <w:color w:val="auto"/>
        </w:rPr>
      </w:pPr>
    </w:p>
    <w:p>
      <w:pPr>
        <w:ind w:left="660" w:right="40" w:hanging="43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172" w:lineRule="exact"/>
        <w:rPr>
          <w:rFonts w:ascii="Arial" w:cs="Arial" w:eastAsia="Arial" w:hAnsi="Arial"/>
          <w:sz w:val="18"/>
          <w:szCs w:val="18"/>
          <w:color w:val="auto"/>
        </w:rPr>
      </w:pPr>
    </w:p>
    <w:p>
      <w:pPr>
        <w:ind w:left="660" w:right="180" w:hanging="43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72" w:lineRule="exact"/>
        <w:rPr>
          <w:rFonts w:ascii="Arial" w:cs="Arial" w:eastAsia="Arial" w:hAnsi="Arial"/>
          <w:sz w:val="18"/>
          <w:szCs w:val="18"/>
          <w:color w:val="auto"/>
        </w:rPr>
      </w:pPr>
    </w:p>
    <w:p>
      <w:pPr>
        <w:ind w:left="660" w:right="640" w:hanging="436"/>
        <w:spacing w:after="0" w:line="33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8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a corporation’s voting stock.</w:t>
      </w:r>
    </w:p>
    <w:p>
      <w:pPr>
        <w:spacing w:after="0" w:line="140"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As of May 1, 2010, we are not subject to Section 203 of the DGCL because we do not have a class of voting stock that is listed on a national securities exchange or held of record by more than 2,000 stockholders and we have not elected by a provision in our original Certificate of Incorporation or any amendment thereto to be governed by Section 203. Unless we adopt an amendment to our Certificate of Incorporation by action of our stockholders expressly electing not to be governed by Section 203, we would generally become subject to Section 203 of the DGCL at such time that we have a class of voting stock that is either listed on a national securities exchange or held of record by more than 2,000 stockholders, except that the restrictions contained in Section 203 would not apply if the business combination is with an interested stockholder who became an interested stockholder before the time that we have a class of voting stock that is either listed on a national securities exchange or held of record by more than 2,000 stockholders.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Common Stock</w:t>
      </w:r>
    </w:p>
    <w:p>
      <w:pPr>
        <w:spacing w:after="0" w:line="171"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Our only class of common stock is our common stock, par value $0.01 per share. There are no redemption or sinking fund provisions applicable to our common stock. All outstanding shares of common stock are fully paid and non-assessable.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We have no current plans to commence payment of a dividend. Our payment of dividends in the future will be determined by our Board of Directors in its sole discretion and will depend on business conditions, our financial condition, earnings and liquidity and other factors.</w:t>
      </w:r>
    </w:p>
    <w:p>
      <w:pPr>
        <w:spacing w:after="0" w:line="143"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Under our Bylaws in uncontested elections of directors, those nominees receiving a majority of the votes cast by holders of shares entitled to vote with respect to that director’s election at the meeting shall be elected. A majority of votes cast means that the number of votes for a director must exceed 50% of the votes cast with respect to that director. Votes against will count as a vote cast with respect to a director, but abstentions will not count as a vote cast with respect to that director. In certain contested elections, the nominees who receive a plurality of votes cast by holders of shares entitled to vote in the election at a meeting shall be elected. Under our Bylaws, any other corporate action put to a stockholder vote shall be decided by the vote of the holders of a majority of the voting power of the shares of stock entitled to vote thereon present in person or by proxy at the meeting, unless otherwise provided by applicable law.</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Liquidation Rights</w:t>
      </w:r>
    </w:p>
    <w:p>
      <w:pPr>
        <w:spacing w:after="0" w:line="171" w:lineRule="exact"/>
        <w:rPr>
          <w:sz w:val="20"/>
          <w:szCs w:val="20"/>
          <w:color w:val="auto"/>
        </w:rPr>
      </w:pPr>
    </w:p>
    <w:p>
      <w:pPr>
        <w:ind w:right="360" w:firstLine="228"/>
        <w:spacing w:after="0" w:line="306" w:lineRule="auto"/>
        <w:rPr>
          <w:sz w:val="20"/>
          <w:szCs w:val="20"/>
          <w:color w:val="auto"/>
        </w:rPr>
      </w:pPr>
      <w:r>
        <w:rPr>
          <w:rFonts w:ascii="Arial" w:cs="Arial" w:eastAsia="Arial" w:hAnsi="Arial"/>
          <w:sz w:val="16"/>
          <w:szCs w:val="16"/>
          <w:color w:val="auto"/>
        </w:rPr>
        <w:t>In the event of any liquidation, dissolution or winding up of the Company, the holders of our common stock would be entitled to receive, after payment or provision for payment of all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Preferred Stock</w:t>
      </w:r>
    </w:p>
    <w:p>
      <w:pPr>
        <w:spacing w:after="0" w:line="171"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Under our Certificate of Incorporation and the DGCL, our Board of Directors has the authority to issue shares of preferred stock from time to time in one or more series. The certificate of designations establishing a series of preferred stock will describe the terms of the series of preferred stock, including:</w:t>
      </w:r>
    </w:p>
    <w:p>
      <w:pPr>
        <w:spacing w:after="0" w:line="126"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11" w:lineRule="exact"/>
        <w:rPr>
          <w:rFonts w:ascii="Arial" w:cs="Arial" w:eastAsia="Arial" w:hAnsi="Arial"/>
          <w:sz w:val="18"/>
          <w:szCs w:val="18"/>
          <w:color w:val="auto"/>
        </w:rPr>
      </w:pPr>
    </w:p>
    <w:p>
      <w:pPr>
        <w:ind w:left="660" w:right="700" w:hanging="43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respect of dividends, and whether such dividends, if any, shall be cumulative or noncumulative;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Dates at which dividends, if any, shall be payable;</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pacing w:after="0" w:line="211" w:lineRule="exact"/>
        <w:rPr>
          <w:rFonts w:ascii="Arial" w:cs="Arial" w:eastAsia="Arial" w:hAnsi="Arial"/>
          <w:sz w:val="18"/>
          <w:szCs w:val="18"/>
          <w:color w:val="auto"/>
        </w:rPr>
      </w:pPr>
    </w:p>
    <w:p>
      <w:pPr>
        <w:ind w:left="660" w:right="520" w:hanging="43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Company;</w:t>
      </w:r>
    </w:p>
    <w:p>
      <w:pPr>
        <w:spacing w:after="0" w:line="172" w:lineRule="exact"/>
        <w:rPr>
          <w:rFonts w:ascii="Arial" w:cs="Arial" w:eastAsia="Arial" w:hAnsi="Arial"/>
          <w:sz w:val="18"/>
          <w:szCs w:val="18"/>
          <w:color w:val="auto"/>
        </w:rPr>
      </w:pPr>
    </w:p>
    <w:p>
      <w:pPr>
        <w:jc w:val="both"/>
        <w:ind w:left="660" w:right="20" w:hanging="436"/>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Company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3"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w:t>
      </w:r>
    </w:p>
    <w:p>
      <w:pPr>
        <w:spacing w:after="0" w:line="171"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Holders of our preferred stock will not be entitled to vote except as may otherwise be provided in the Certificate of Designations establishing a series of preferred stock and except as may otherwise be provided under applicable law.</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Series A Preferred Stock</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all of which are outstanding as of May 1, 2010. There are no sinking fund provisions applicable to our Series A Preferred Stock. All outstanding shares of Series A Preferred Stock are fully paid and non-assessable.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Ranking</w:t>
      </w:r>
    </w:p>
    <w:p>
      <w:pPr>
        <w:spacing w:after="0" w:line="171" w:lineRule="exact"/>
        <w:rPr>
          <w:sz w:val="20"/>
          <w:szCs w:val="20"/>
          <w:color w:val="auto"/>
        </w:rPr>
      </w:pPr>
    </w:p>
    <w:p>
      <w:pPr>
        <w:ind w:right="380" w:firstLine="228"/>
        <w:spacing w:after="0" w:line="332" w:lineRule="auto"/>
        <w:rPr>
          <w:sz w:val="20"/>
          <w:szCs w:val="20"/>
          <w:color w:val="auto"/>
        </w:rPr>
      </w:pPr>
      <w:r>
        <w:rPr>
          <w:rFonts w:ascii="Arial" w:cs="Arial" w:eastAsia="Arial" w:hAnsi="Arial"/>
          <w:sz w:val="16"/>
          <w:szCs w:val="16"/>
          <w:color w:val="auto"/>
        </w:rPr>
        <w:t>As described more fully below, the Series A Preferred Stock ranks senior with respect to liquidation preference and dividend rights to any “Junior Stock,” which means the common stock, any preferred stock other than the Series A Preferred Stock and any other class or series of stock that we may issue.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Liquidation Preference</w:t>
      </w:r>
    </w:p>
    <w:p>
      <w:pPr>
        <w:spacing w:after="0" w:line="171"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a holder of Series A Preferred Stock will be entitled to be paid, before any distribution or payment may be made to any holders of Junior Stock: (1) the liquidation preference amount of $25.00 per share; and (2) the amount of any accrued and unpaid dividends, if any, whether or not declared, prior to such distribution or payment date.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Holders of the Series A Preferred Stock are entitled to receive, on each share, if, as and when declared by the Board of Directors or any duly authorized committee of the Board of Directors out of assets legally available, cumulative cash dividends with respect to each quarterly dividend period at a rate of 9.0% per annum on: (1) the liquidation preference amount of $25.00 per share; and (2) the amount of accrued and unpaid dividends for any prior dividend periods on such share, if any. Unless all accrued and unpaid dividends on the Series A Preferred Stock are paid in full, no dividends or distributions may be paid on common stock or any other Junior Stock, and no shares of common stock or any other Junior Stock may be repurchased or redeemed by us (subject to certain exceptions that are specified in the Certificate of Designations for the Series A Preferred Stock). Dividends, if declared, will be payable on March 15, June 15, September 15 and December 15 of each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w:t>
      </w:r>
    </w:p>
    <w:p>
      <w:pPr>
        <w:spacing w:after="0" w:line="171"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We may not redeem the Series A Preferred Stock prior to December 31, 2014. On or after December 31, 2014, the Series A Preferred Stock may be redeemed, in whole or in part, for cash at a price per share equal to the $25.00 per share liquidation amount, plus any accrued and unpaid dividends.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Series A Preferred Stock Directors</w:t>
      </w:r>
    </w:p>
    <w:p>
      <w:pPr>
        <w:spacing w:after="0" w:line="171" w:lineRule="exact"/>
        <w:rPr>
          <w:sz w:val="20"/>
          <w:szCs w:val="20"/>
          <w:color w:val="auto"/>
        </w:rPr>
      </w:pPr>
    </w:p>
    <w:p>
      <w:pPr>
        <w:ind w:right="140" w:firstLine="228"/>
        <w:spacing w:after="0" w:line="288" w:lineRule="auto"/>
        <w:rPr>
          <w:sz w:val="20"/>
          <w:szCs w:val="20"/>
          <w:color w:val="auto"/>
        </w:rPr>
      </w:pPr>
      <w:r>
        <w:rPr>
          <w:rFonts w:ascii="Arial" w:cs="Arial" w:eastAsia="Arial" w:hAnsi="Arial"/>
          <w:sz w:val="16"/>
          <w:szCs w:val="16"/>
          <w:color w:val="auto"/>
        </w:rPr>
        <w:t>Whenever, at any time or times, dividends payable on the shares of Series A Preferred Stock have not been paid for an aggregate of six quarterly dividend periods or more, whether or not consecutive, the authorized number of our directors will automatically be increased by two, and the holders of the Series A Preferred Stock will have the right, voting as a class, to elect two directors to our Board of Directors to fill the newly created directorships at the next annual meeting of stockholders (or at a special meeting called for that purpose prior to the next annual meeting) and at each subsequent annual meeting of stockholders until all accrued and unpaid dividends for all past dividend periods on all outstanding shares of Series A Preferred Stock have been declared and paid in full, at which time such right shall terminate with respect to the Series A Preferred Stock subject to revesting in the event of each and every subsequent payment failure of the character mentioned above. Upon any termination of the rights of the holders of shares of the Series A Preferred Stock as a class to vote for directors as described above, the preferred directors so elected to our Board of Directors shall cease to be qualified as directors and the term of their office shall terminate immediately.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Voting Rights on Certain Matters</w:t>
      </w:r>
    </w:p>
    <w:p>
      <w:pPr>
        <w:spacing w:after="0" w:line="171"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 xml:space="preserve">The vote or consent of the holders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shares of the Series A Preferred Stock at the time outstanding, voting as a separate class, shall be necessary for effecting:</w:t>
      </w:r>
    </w:p>
    <w:p>
      <w:pPr>
        <w:spacing w:after="0" w:line="172" w:lineRule="exact"/>
        <w:rPr>
          <w:sz w:val="20"/>
          <w:szCs w:val="20"/>
          <w:color w:val="auto"/>
        </w:rPr>
      </w:pPr>
    </w:p>
    <w:p>
      <w:pPr>
        <w:ind w:left="660" w:right="20" w:hanging="436"/>
        <w:spacing w:after="0" w:line="29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amendment or alteration of the Certificate of Designations for the Series A Preferred Stock or our Certificate of Incorporation to authorize or create or increase the authorized amount of, or any issuance of, any shares of, or any securities convertible into or exchangeable or exercisable for shares of, any class or series of our capital stock ranking senior to or pari passu with the Series A Preferred Stock with respect to either or both the payment of dividends and/or the distribution of assets on any liquidation, dissolution or winding up of the Company;</w:t>
      </w:r>
    </w:p>
    <w:p>
      <w:pPr>
        <w:spacing w:after="0" w:line="153" w:lineRule="exact"/>
        <w:rPr>
          <w:rFonts w:ascii="Arial" w:cs="Arial" w:eastAsia="Arial" w:hAnsi="Arial"/>
          <w:sz w:val="16"/>
          <w:szCs w:val="16"/>
          <w:color w:val="auto"/>
        </w:rPr>
      </w:pPr>
    </w:p>
    <w:p>
      <w:pPr>
        <w:ind w:left="660" w:hanging="436"/>
        <w:spacing w:after="0" w:line="302"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amendment, alteration or repeal of any provision of the Certificate of Designations for the Series A Preferred Stock or our Certificate of Incorporation (subject to certain exceptions) so as to adversely affect the rights, preferences, privileges or voting powers of the Series A Preferred Stock; provided, however, that the vote of 100% of the shares of the Series A Preferred Stock at the time outstanding shall be necessary to: (1) reduce the $25.00 per share liquidation preference amount; (2) reduce the applicable 9.0% dividend rate; (3) provide for the payment of dividends on the Series A Preferred Stock to be made in other than U.S. dollars; (4) change any dividend payment date or the December 31, 2014 first optional redemption date; or</w:t>
      </w:r>
    </w:p>
    <w:p>
      <w:pPr>
        <w:spacing w:after="0" w:line="1"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8"/>
          <w:szCs w:val="18"/>
          <w:color w:val="auto"/>
        </w:rPr>
        <w:t>(5) make dividends on the Series A Preferred Stock non-cumulative; or</w:t>
      </w:r>
    </w:p>
    <w:p>
      <w:pPr>
        <w:spacing w:after="0" w:line="205" w:lineRule="exact"/>
        <w:rPr>
          <w:rFonts w:ascii="Arial" w:cs="Arial" w:eastAsia="Arial" w:hAnsi="Arial"/>
          <w:sz w:val="15"/>
          <w:szCs w:val="15"/>
          <w:color w:val="auto"/>
        </w:rPr>
      </w:pPr>
    </w:p>
    <w:p>
      <w:pPr>
        <w:ind w:left="660" w:right="60" w:hanging="436"/>
        <w:spacing w:after="0" w:line="308"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consummation of a binding share exchange or reclassification involving the Series A Preferred Stock, or of a merger or consolidation of us with or into another corporation or other entity, unless in each case: (1) the shares of the Series A Preferred Stock remain outstanding and are not amended in any respect or, in the case of any such merger or consolidation with respect to which we are not the surviving or resulting entity, are converted into or exchanged for preference securities of the surviving or resulting entity or its ultimate parent; and (2)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the Series A Preferred Stock immediately prior to such consummation, taken as a whole; provided, however, that any increase in the amount of our authorized preferred stock, or the creation and issuance, or an increase in the authorized or issued amount of any other series of our preferred stock, or any securities convertible into or exchangeable or exercisable for any other series of our preferred stock, ranking junior to the Series A Preferred Stock with respect to the payment of dividends (whether such dividends are cumulative or non-cumulative) and the distribution of assets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64" w:lineRule="exact"/>
        <w:rPr>
          <w:sz w:val="20"/>
          <w:szCs w:val="20"/>
          <w:color w:val="auto"/>
        </w:rPr>
      </w:pPr>
    </w:p>
    <w:p>
      <w:pPr>
        <w:ind w:left="680" w:right="100"/>
        <w:spacing w:after="0" w:line="332" w:lineRule="auto"/>
        <w:rPr>
          <w:sz w:val="20"/>
          <w:szCs w:val="20"/>
          <w:color w:val="auto"/>
        </w:rPr>
      </w:pPr>
      <w:r>
        <w:rPr>
          <w:rFonts w:ascii="Arial" w:cs="Arial" w:eastAsia="Arial" w:hAnsi="Arial"/>
          <w:sz w:val="16"/>
          <w:szCs w:val="16"/>
          <w:color w:val="auto"/>
        </w:rPr>
        <w:t>upon liquidation, dissolution or winding up of the Company will not be deemed to adversely affect the rights, preferences, privileges or voting powers, and shall not require the affirmative vote or consent of, the holders of outstanding shares of the Series A Preferred Stock.</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the Warrants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Warrant Agreements, we issued two warrants, each to acquire 45,454,545 shares of common stock, to MLC and one warrant to acquire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15,151,515 shares of common stock to the New VEBA. The first of the MLC Warrants is exercisable at any time prior to July 10, 2016 at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per share, and the second of the MLC Warrants is exercisable at any time prior to July 10, 2019 at an exercise price of $55.00 per share. The New VEBA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Warrant is exercisable at any time prior to December 31, 2015 at an exercise price of $126.92 per share. The number of shares of common stock underlying each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the warrants and the per share exercise price thereof are subject to adjustment as a result of certain events specified in the Warrant Agreements, including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splits, reverse stock splits and stock dividends.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Indemnification of Directors and Officers</w:t>
      </w:r>
    </w:p>
    <w:p>
      <w:pPr>
        <w:spacing w:after="0" w:line="177"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The information required by this item is contained within the section entitled “Indemnification of Directors and Officers” in our current report on Form 8-K filed with the SEC on August 7, 2009 and attached hereto as Exhibit 99.2, which section is incorporated herein by reference.</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Financial Statements and Supplementary Data</w:t>
      </w:r>
    </w:p>
    <w:p>
      <w:pPr>
        <w:spacing w:after="0" w:line="177"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The information required by this item is contained within the section entitled “Item 8. Financial Statements and Supplementary Data” in the 2009 Form 10-K and the section entitled “Part I—Financial Information—Item 1. Condensed Consolidated Financial Statements” in the First Quarter 2010 10-Q, which sections are incorporated herein by reference.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Changes in and Disagreements with Accountants on Accounting and Financial Disclosures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2" w:name="page13"/>
    <w:bookmarkEnd w:id="12"/>
    <w:p>
      <w:pPr>
        <w:ind w:left="3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Financial Statements and Supplemental Information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82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8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89"/>
              </w:rPr>
              <w:t>Amended and Restated Certificate of Incorporation of General Motors Company, as amended, incorporated herein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by reference to Exhibit 3.1 to the Current Report on Form 8-K of General Motors Company filed November 16,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General Motors Company Amended and Restated Bylaws dated March 2, 2010,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Exhibit 3.2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6"/>
              </w:rPr>
              <w:t>Certificate of Designations of Series A Fixed Rate Cumulative Perpetual Preferred Stock of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Company, incorporated herein by reference to Exhibit 4.1 to the Current Report on Form 8-K of General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Second Amended and Restated Secured Credit Agreement among General Motors Company, as Borrower,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Guarantors, and the United States Department of the Treasury, as Lender, dated August 12, 2009,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herein by reference to Exhibit 10.1 to the Current Report on Form 8-K of General Motors Company filed November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Assignment and Assumption Agreement and Third Amendment to Second Amended and Restated Secured Credit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Agreement among General Motors LLC, General Motors Holdings LLC, General Motors Company and the United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States Department of the Treasury, as Lender, dated as of October 19, 2009,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Exhibit 10.3 to the Current Report on 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Amended and Restated Secured Note Agreement among General Motors Company, as Issuer, the Guarantors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UAW Retiree Medical Benefits Trust, as Noteholder, dated August 14, 2009 (refer also to Exhibit 10.1 which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includes Schedule 3.25 referenced herein), incorporated herein by reference to Exhibit 10.2 to the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Assignment and Assumption Agreement and Third Amendment to Amended and Restated Secured Note Agreement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among General Motors LLC, General Motors Holdings LLC, General Motors Company and UAW Retiree Medical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Benefits Trust, as Noteholder, dated as of October 19, 2009, incorporated herein by reference to Exhibit 10.4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Current Report on 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Second Amended and Restated Loan Agreement by and among General Motors of Canada Limited, as Borrower,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and the other loan parties and Export Development of Canada, as Lender, dated July 10, 2009, incorporated herein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by reference to Exhibit 10.8 to the Current Report on Form 8-K of General 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Amendment to Second Amended and Restated Loan Agreement by and among General Motors of Canada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as Borrower, and the other loan parties and Export Development of Canada, as Lender, dated October 15, 2009,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incorporated herein by reference to Exhibit 10.1 to the Current Report on Form 8-K of General Motors Company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filed October 23,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Settlement Agreement dated as of September 10, 2009, incorporated herein by reference to Exhibit 10.1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Current Report on Form 8-K of General Motors Company filed September 17, 2009</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8620" w:type="dxa"/>
            <w:vAlign w:val="bottom"/>
            <w:gridSpan w:val="2"/>
          </w:tcPr>
          <w:p>
            <w:pPr>
              <w:ind w:left="5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ectPr>
          <w:pgSz w:w="11900" w:h="16838" w:orient="portrait"/>
          <w:cols w:equalWidth="0" w:num="2">
            <w:col w:w="9120" w:space="220"/>
            <w:col w:w="1880"/>
          </w:cols>
          <w:pgMar w:left="240" w:top="274"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tcPr>
          <w:p>
            <w:pPr>
              <w:ind w:left="2620"/>
              <w:spacing w:after="0"/>
              <w:rPr>
                <w:sz w:val="20"/>
                <w:szCs w:val="20"/>
                <w:color w:val="auto"/>
              </w:rPr>
            </w:pPr>
            <w:r>
              <w:rPr>
                <w:rFonts w:ascii="Arial" w:cs="Arial" w:eastAsia="Arial" w:hAnsi="Arial"/>
                <w:sz w:val="18"/>
                <w:szCs w:val="18"/>
                <w:b w:val="1"/>
                <w:bCs w:val="1"/>
                <w:color w:val="auto"/>
              </w:rPr>
              <w:t>GENERAL MOTORS COMPANY AND SUBSIDIARIES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82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8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10.8</w:t>
            </w:r>
          </w:p>
        </w:tc>
        <w:tc>
          <w:tcPr>
            <w:tcW w:w="4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90"/>
              </w:rPr>
              <w:t>Agreement, dated as of October 15, 2009 between General Motors Company (formerly known as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Holding Company), General Motors LLC (formerly known as General Motors Company) and Motors Liquidation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Company, incorporated herein by reference to Exhibit 10.7 to the Current Report on Form 8-K of General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Stockholders Agreement, dated as of October 15, 2009 between General Motors Company, the United States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Department of the Treasury, Canada GEN Investment Corporation (formerly known as 7176384 Canada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the UAW Retiree Medical Benefits Trust, incorporated herein by reference to Exhibit 10.8 to the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Master Disposition Agreement among Delphi Corporation, GM Components Holdings, LLC,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Company, Motors Liquidation Company (fka General Motors Corporation), DIP Holdco 3, LLC, and the other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sellers and other buyers party thereto dated July 26, 2009, incorporated herein by reference to Exhibit 10.9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Current Report on Form 8-K of General 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Investment Commitment Agreement by and among Silver Point Capital Fund, LP, Silver Point Capital Offshore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7"/>
              </w:rPr>
              <w:t>Fund, Ltd., Elliott Associates, LP, DIP Holdco 3, LLC, and General Motors Company dated July 26, 2009,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incorporated herein by reference to Exhibit 10.10 to the Current Report on Form 8-K of General Motors Company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UAW Retiree Settlement Agreement, dated July 10, 2009, between General Motors Company and the 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Union, United Automobile, Aerospace and Agricultural Implement Workers of America (the UAW), with the UAW</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4"/>
              </w:rPr>
              <w:t>also entering into the agreement as the authorized representative of certain persons receiving retiree benefits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pursuant to collectively bargained plans, programs and/or agreement between General Motors Company and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UAW, incorporated herein by reference to Exhibit 10.12 to the Annual Report on Form 10-K of General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9"/>
              </w:rPr>
              <w:t>Amended and Restated Global Settlement Agreement Between Delphi Corporation and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Corporation, Dated September 12, 2008, incorporated by reference to Exhibit 10(b) to the Quarterly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10-Q of Motors Liquidation Company filed November 10,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Form of Compensation Statement, incorporated herein by reference to Exhibit 10.14 to the Annual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Employment Agreement for Kenneth W. Cole, incorporated herein by reference to Exhibit 10.15 to the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Consulting Agreement for Frederick A. Henderson, incorporated herein by reference to Exhibit 10.16 to the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Summary of Consulting Arrangement between General Motors Company and Stephen J. Girsky, incorporated herein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by reference to Item 1.01 of the Current Report on Form 8-K of General Motors Company filed January 15,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General Motors Company 2009 Long-Term Incentive Plan, incorporated herein by reference to Exhibit 10.18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Annual Report on Form 10-K of General Motors Company filed April 7, 2010</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8620" w:type="dxa"/>
            <w:vAlign w:val="bottom"/>
            <w:gridSpan w:val="2"/>
          </w:tcPr>
          <w:p>
            <w:pPr>
              <w:ind w:left="5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Incorporate by Reference</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ectPr>
          <w:pgSz w:w="11900" w:h="16838" w:orient="portrait"/>
          <w:cols w:equalWidth="0" w:num="2">
            <w:col w:w="9120" w:space="220"/>
            <w:col w:w="1880"/>
          </w:cols>
          <w:pgMar w:left="240" w:top="274"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jc w:val="center"/>
              <w:ind w:left="1373"/>
              <w:spacing w:after="0"/>
              <w:rPr>
                <w:sz w:val="20"/>
                <w:szCs w:val="20"/>
                <w:color w:val="auto"/>
              </w:rPr>
            </w:pPr>
            <w:r>
              <w:rPr>
                <w:rFonts w:ascii="Arial" w:cs="Arial" w:eastAsia="Arial" w:hAnsi="Arial"/>
                <w:sz w:val="18"/>
                <w:szCs w:val="18"/>
                <w:b w:val="1"/>
                <w:bCs w:val="1"/>
                <w:color w:val="auto"/>
                <w:w w:val="97"/>
              </w:rPr>
              <w:t>GENERAL MOTORS COMPANY AND SUBSIDIARIES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808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8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10.19</w:t>
            </w:r>
          </w:p>
        </w:tc>
        <w:tc>
          <w:tcPr>
            <w:tcW w:w="44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w w:val="93"/>
              </w:rPr>
              <w:t>General Motors Company Salary Stock Plan, incorporated herein by reference to Exhibit 10.19 to the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Form of Restricted Stock Unit Grant made to top 25 highly compensated employees under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Company 2009 Long-Term Incentive Plan, as Amended March 1, 2010,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Exhibit 10.20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Form of Restricted Stock Unit Grant (Cash Settlement) made to top 25 highly compensated employees under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General Motors Company 2009 Long-Term Incentive Plan, as Amended March 1, 2010, incorporated herein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reference to Exhibit 10.21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Form of Restricted Stock Unit Grant made to certain executive officers incorporated by reference to Exhibit 10.a</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to the Quarterly Report on Form 10-Q of Motors Liquidation Company filed May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General Motors Company Vehicle Operations—Senior Management Vehicle Program (SMVP) Supplement,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revised December 15, 2005, incorporated herein by reference to Exhibit 10(g) to the Annual Report on Form 10-K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of Motors Liquidation Company filed March 28,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10.24†</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Amended and Restated United States Consumer Financing Services Agreement between GMAC LLC and General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Motors Corporation dated May 22, 2009 incorporated herein by reference to Exhibit 10.1 to the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Form 8-K of General 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Amended and Restated Master Services Agreement between GMAC LLC and General Motors Corporation dated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May 22, 2009 incorporated herein by reference to Exhibit 10.2 to the Current Report on Form 8-K of General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General Motors Executive Retirement Plan, as amended August 4, 2008,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Exhibit 10(a) to the Quarterly Report on Form 10-Q of Motors Liquidation Company filed November 10,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Agreement, dated as of October 22, 2001, between General Motors Corporation and General Motors Acceptance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6"/>
              </w:rPr>
              <w:t>Corporation, incorporated herein by reference to Exhibit 10 to the Annual Report on Form 10-K of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Liquidation Company filed March 28,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Agreement, dated as of November 30, 2006, between General Motors Corporation and GMAC LLC,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herein by reference to Exhibit 10.1 to the Current Report on Form 8-K of Motors Liquidation Company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November 30,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7"/>
              </w:rPr>
              <w:t>Amended and Restated Warrant Agreement, dated as of October 16, 2009, between General Motors Company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U.S. Bank National Association, including Form of Warrant Certificate attached as Exhibit D thereto, relating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warrants with a $30 original exercise price and a July 10, 2016 expiration date,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Exhibit 10.29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7"/>
              </w:rPr>
              <w:t>Amended and Restated Warrant Agreement, dated as of October 16, 2009, between General Motors Company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U.S. Bank National Association, including Form of Warrant Certificate attached as Exhibit D thereto, relating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warrants with a $55 original exercise price and a July 10, 2019 expiration date,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Exhibit 10.30 to the Annual Report on Form 10-K of General Motors Company filed April 7, 2010</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8520" w:type="dxa"/>
            <w:vAlign w:val="bottom"/>
            <w:gridSpan w:val="2"/>
          </w:tcPr>
          <w:p>
            <w:pPr>
              <w:jc w:val="right"/>
              <w:ind w:right="31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ectPr>
          <w:pgSz w:w="11900" w:h="16838" w:orient="portrait"/>
          <w:cols w:equalWidth="0" w:num="2">
            <w:col w:w="9020" w:space="220"/>
            <w:col w:w="1880"/>
          </w:cols>
          <w:pgMar w:left="240" w:top="274" w:right="539" w:bottom="1440" w:gutter="0" w:footer="0" w:header="0"/>
        </w:sectPr>
      </w:pPr>
    </w:p>
    <w:bookmarkStart w:id="15" w:name="page16"/>
    <w:bookmarkEnd w:id="1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82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Exhibit Name</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8200" w:type="dxa"/>
            <w:vAlign w:val="bottom"/>
            <w:tcBorders>
              <w:bottom w:val="single" w:sz="8" w:color="auto"/>
            </w:tcBorders>
            <w:vMerge w:val="continue"/>
          </w:tcPr>
          <w:p>
            <w:pPr>
              <w:spacing w:after="0"/>
              <w:rPr>
                <w:sz w:val="14"/>
                <w:szCs w:val="14"/>
                <w:color w:val="auto"/>
              </w:rPr>
            </w:pP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10.31</w:t>
            </w:r>
          </w:p>
        </w:tc>
        <w:tc>
          <w:tcPr>
            <w:tcW w:w="4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89"/>
              </w:rPr>
              <w:t>Amended and Restated Warrant Agreement, dated as of October 16, 2009, between General Motors Company and</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U.S. Bank National Association, including Form of Warrant Certificate attached as Exhibit D thereto, relating to</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warrants with a $126.92 original exercise price and a December 31, 2015 expiration date, incorporated herein by</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4"/>
              </w:rPr>
              <w:t>reference to Exhibit 10.31 to the Annual Report on Form 10-K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8"/>
              </w:rPr>
              <w:t>Summary of Employment Arrangement between General Motors Company and Edward E. Whitacre, Jr.,</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incorporated herein by reference to Item 5.02 of the Current Report on Form 8-K of General Motors Company filed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February 19,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Summary of Employment Arrangement between General Motors Company and Stephen J. Girsky, incorporated</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herein by reference to Item 1.01 of the Current Report on Form 8-K of General Motors Company filed March 5,</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Employment Agreement for Christopher P. Liddell, incorporated by reference to Exhibit 10.3 to the Quarterly</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10-Q filed May 17,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General Motors Executive Retirement Plan, as amended March 1, 2010, incorporated by reference to Exhibit 10.4 to</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the Quarterly Report on Form 10-Q filed May 17,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Computation of Ratios of Earnings to Fixed Charges for the Periods July 10, 2009 through December 31, 2009 and</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6"/>
              </w:rPr>
              <w:t>January 1, 2009 through July 9, 2009 and for the Years Ended December 31, 2008, 2007, 2006 and 2005,</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incorporated herein by reference to Exhibit 12 to the Annual Report on Form 10-K of General Motors Company</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Subsidiaries of the Registrant as of December 31, 2009, incorporated herein by reference to Exhibit 21 to the Annual</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10-K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Consolidated Financial Statements of Ally Financial Inc. (formerly GMAC Inc.) and subsidiaries at December 31,</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2009 and 2008 and for each of the three years in the period ended December 31, 2009, incorporated herein by</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7"/>
              </w:rPr>
              <w:t>reference to Exhibit 99 to the Annual Report on Form 10-K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Annual Report on Form 10-K of General Motors Company for the year ended December 31, 2009, incorporated</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herein by reference to Exhibit 99.1 to the Registration Statement on Form 10 of General Motors Company filed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Current Report on Form 8-K of General Motors Company, dated August 7, 2009, incorporated herein by reference</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9"/>
              </w:rPr>
              <w:t>to Exhibit 99.2 to the Registration Statement on Form 10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Quarterly Report on Form 10-Q of General Motors Company for the quarterly period ended March 31, 2010</w:t>
            </w:r>
          </w:p>
        </w:tc>
        <w:tc>
          <w:tcPr>
            <w:tcW w:w="2100" w:type="dxa"/>
            <w:vAlign w:val="bottom"/>
          </w:tcPr>
          <w:p>
            <w:pPr>
              <w:ind w:left="2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confidential portions have been omitted pursuant to a request for confidential treatment, which has been separately filed with the Securities and Exchange Commission.</w:t>
      </w:r>
    </w:p>
    <w:p>
      <w:pPr>
        <w:spacing w:after="0" w:line="131"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274"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tcPr>
          <w:p>
            <w:pPr>
              <w:jc w:val="center"/>
              <w:ind w:left="1297"/>
              <w:spacing w:after="0"/>
              <w:rPr>
                <w:sz w:val="20"/>
                <w:szCs w:val="20"/>
                <w:color w:val="auto"/>
              </w:rPr>
            </w:pPr>
            <w:r>
              <w:rPr>
                <w:rFonts w:ascii="Arial" w:cs="Arial" w:eastAsia="Arial" w:hAnsi="Arial"/>
                <w:sz w:val="18"/>
                <w:szCs w:val="18"/>
                <w:b w:val="1"/>
                <w:bCs w:val="1"/>
                <w:color w:val="auto"/>
                <w:w w:val="97"/>
              </w:rPr>
              <w:t>GENERAL MOTORS COMPANY AND SUBSIDIARIES</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tcPr>
          <w:p>
            <w:pPr>
              <w:jc w:val="center"/>
              <w:ind w:left="1317"/>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82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8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89"/>
              </w:rPr>
              <w:t>Amended and Restated Certificate of Incorporation of General Motors Company, as amended, incorporated herein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by reference to Exhibit 3.1 to the Current Report on Form 8-K of General Motors Company filed November 16,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General Motors Company Amended and Restated Bylaws dated March 2, 2010,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Exhibit 3.2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6"/>
              </w:rPr>
              <w:t>Certificate of Designations of Series A Fixed Rate Cumulative Perpetual Preferred Stock of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Company, incorporated herein by reference to Exhibit 4.1 to the Current Report on Form 8-K of General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Second Amended and Restated Secured Credit Agreement among General Motors Company, as Borrower,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Guarantors, and the United States Department of the Treasury, as Lender, dated August 12, 2009,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herein by reference to Exhibit 10.1 to the Current Report on Form 8-K of General Motors Company filed November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Assignment and Assumption Agreement and Third Amendment to Second Amended and Restated Secured Credit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Agreement among General Motors LLC, General Motors Holdings LLC, General Motors Company and the United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States Department of the Treasury, as Lender, dated as of October 19, 2009,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Exhibit 10.3 to the Current Report on 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Amended and Restated Secured Note Agreement among General Motors Company, as Issuer, the Guarantors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UAW Retiree Medical Benefits Trust, as Noteholder, dated August 14, 2009 (refer also to Exhibit 10.1 which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includes Schedule 3.25 referenced herein), incorporated herein by reference to Exhibit 10.2 to the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Assignment and Assumption Agreement and Third Amendment to Amended and Restated Secured Note Agreement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among General Motors LLC, General Motors Holdings LLC, General Motors Company and UAW Retiree Medical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Benefits Trust, as Noteholder, dated as of October 19, 2009, incorporated herein by reference to Exhibit 10.4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Current Report on 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Second Amended and Restated Loan Agreement by and among General Motors of Canada Limited, as Borrower,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and the other loan parties and Export Development of Canada, as Lender, dated July 10, 2009, incorporated herein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by reference to Exhibit 10.8 to the Current Report on Form 8-K of General 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Amendment to Second Amended and Restated Loan Agreement by and among General Motors of Canada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as Borrower, and the other loan parties and Export Development of Canada, as Lender, dated October 15, 2009,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incorporated herein by reference to Exhibit 10.1 to the Current Report on Form 8-K of General Motors Company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filed October 23,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Settlement Agreement dated as of September 10, 2009, incorporated herein by reference to Exhibit 10.1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Current Report on Form 8-K of General Motors Company filed September 17,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Agreement, dated as of October 15, 2009 between General Motors Company (formerly known as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Holding Company), General Motors LLC (formerly known as General Motors Company) and Motors Liquidation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Company, incorporated herein by reference to Exhibit 10.7 to the Current Report on Form 8-K of General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Company filed November 16, 2009</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8620" w:type="dxa"/>
            <w:vAlign w:val="bottom"/>
            <w:gridSpan w:val="2"/>
          </w:tcPr>
          <w:p>
            <w:pPr>
              <w:jc w:val="center"/>
              <w:ind w:left="1712"/>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ectPr>
          <w:pgSz w:w="11900" w:h="16838" w:orient="portrait"/>
          <w:cols w:equalWidth="0" w:num="2">
            <w:col w:w="9120" w:space="220"/>
            <w:col w:w="1880"/>
          </w:cols>
          <w:pgMar w:left="240" w:top="274"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tcPr>
          <w:p>
            <w:pPr>
              <w:ind w:left="2620"/>
              <w:spacing w:after="0"/>
              <w:rPr>
                <w:sz w:val="20"/>
                <w:szCs w:val="20"/>
                <w:color w:val="auto"/>
              </w:rPr>
            </w:pPr>
            <w:r>
              <w:rPr>
                <w:rFonts w:ascii="Arial" w:cs="Arial" w:eastAsia="Arial" w:hAnsi="Arial"/>
                <w:sz w:val="18"/>
                <w:szCs w:val="18"/>
                <w:b w:val="1"/>
                <w:bCs w:val="1"/>
                <w:color w:val="auto"/>
              </w:rPr>
              <w:t>GENERAL MOTORS COMPANY AND SUBSIDIARIES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82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8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10.9</w:t>
            </w:r>
          </w:p>
        </w:tc>
        <w:tc>
          <w:tcPr>
            <w:tcW w:w="4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93"/>
              </w:rPr>
              <w:t>Stockholders Agreement, dated as of October 15, 2009 between General Motors Company, the United States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Department of the Treasury, Canada GEN Investment Corporation (formerly known as 7176384 Canada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the UAW Retiree Medical Benefits Trust, incorporated herein by reference to Exhibit 10.8 to the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Form 8-K of General Motors Company filed November 16,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Master Disposition Agreement among Delphi Corporation, GM Components Holdings, LLC,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Company, Motors Liquidation Company (fka General Motors Corporation), DIP Holdco 3, LLC, and the other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sellers and other buyers party thereto dated July 26, 2009, incorporated herein by reference to Exhibit 10.9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Current Report on Form 8-K of General 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Investment Commitment Agreement by and among Silver Point Capital Fund, LP, Silver Point Capital Offshore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7"/>
              </w:rPr>
              <w:t>Fund, Ltd., Elliott Associates, LP, DIP Holdco 3, LLC, and General Motors Company dated July 26, 2009,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incorporated herein by reference to Exhibit 10.10 to the Current Report on Form 8-K of General Motors Company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UAW Retiree Settlement Agreement, dated July 10, 2009, between General Motors Company and the 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Union, United Automobile, Aerospace and Agricultural Implement Workers of America (the UAW), with the UAW</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4"/>
              </w:rPr>
              <w:t>also entering into the agreement as the authorized representative of certain persons receiving retiree benefits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pursuant to collectively bargained plans, programs and/or agreement between General Motors Company and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UAW, incorporated herein by reference to Exhibit 10.12 to the Annual Report on Form 10-K of General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9"/>
              </w:rPr>
              <w:t>Amended and Restated Global Settlement Agreement Between Delphi Corporation and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Corporation, Dated September 12, 2008, incorporated by reference to Exhibit 10(b) to the Quarterly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10-Q of Motors Liquidation Company filed November 10,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Form of Compensation Statement, incorporated herein by reference to Exhibit 10.14 to the Annual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Employment Agreement for Kenneth W. Cole, incorporated herein by reference to Exhibit 10.15 to the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Consulting Agreement for Frederick A. Henderson, incorporated herein by reference to Exhibit 10.16 to the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Summary of Consulting Arrangement between General Motors Company and Stephen J. Girsky, incorporated herein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by reference to Item 1.01 of the Current Report on Form 8-K of General Motors Company filed January 15,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General Motors Company 2009 Long-Term Incentive Plan, incorporated herein by reference to Exhibit 10.18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General Motors Company Salary Stock Plan, incorporated herein by reference to Exhibit 10.19 to the Annual Report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6"/>
              </w:rPr>
              <w:t>Form of Restricted Stock Unit Grant made to top 25 highly compensated employees under General Motors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Company 2009 Long-Term Incentive Plan, as Amended March 1, 2010, incorporated herein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10.20 to the Annual Report on Form 10-K of General Motors Company filed April 7, 2010</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8620" w:type="dxa"/>
            <w:vAlign w:val="bottom"/>
            <w:gridSpan w:val="2"/>
          </w:tcPr>
          <w:p>
            <w:pPr>
              <w:ind w:left="5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Incorporate by Reference</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ectPr>
          <w:pgSz w:w="11900" w:h="16838" w:orient="portrait"/>
          <w:cols w:equalWidth="0" w:num="2">
            <w:col w:w="9120" w:space="220"/>
            <w:col w:w="1880"/>
          </w:cols>
          <w:pgMar w:left="240" w:top="274"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ind w:left="2600"/>
              <w:spacing w:after="0"/>
              <w:rPr>
                <w:sz w:val="20"/>
                <w:szCs w:val="20"/>
                <w:color w:val="auto"/>
              </w:rPr>
            </w:pPr>
            <w:r>
              <w:rPr>
                <w:rFonts w:ascii="Arial" w:cs="Arial" w:eastAsia="Arial" w:hAnsi="Arial"/>
                <w:sz w:val="18"/>
                <w:szCs w:val="18"/>
                <w:b w:val="1"/>
                <w:bCs w:val="1"/>
                <w:color w:val="auto"/>
              </w:rPr>
              <w:t>GENERAL MOTORS COMPANY AND SUBSIDIARIES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808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8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10.21</w:t>
            </w:r>
          </w:p>
        </w:tc>
        <w:tc>
          <w:tcPr>
            <w:tcW w:w="44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w w:val="92"/>
              </w:rPr>
              <w:t>Form of Restricted Stock Unit Grant (Cash Settlement) made to top 25 highly compensated employees under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General Motors Company 2009 Long-Term Incentive Plan, as Amended March 1, 2010, incorporated herein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reference to Exhibit 10.21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Form of Restricted Stock Unit Grant made to certain executive officers incorporated by reference to Exhibit 10.a</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to the Quarterly Report on Form 10-Q of Motors Liquidation Company filed May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General Motors Company Vehicle Operations—Senior Management Vehicle Program (SMVP) Supplement,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revised December 15, 2005, incorporated herein by reference to Exhibit 10(g) to the Annual Report on Form 10-K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of Motors Liquidation Company filed March 28,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10.24†</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Amended and Restated United States Consumer Financing Services Agreement between GMAC LLC and General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Motors Corporation dated May 22, 2009 incorporated herein by reference to Exhibit 10.1 to the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Form 8-K of General 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Amended and Restated Master Services Agreement between GMAC LLC and General Motors Corporation dated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May 22, 2009 incorporated herein by reference to Exhibit 10.2 to the Current Report on Form 8-K of General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Motors Company filed August 7,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General Motors Executive Retirement Plan, as amended August 4, 2008,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Exhibit 10(a) to the Quarterly Report on Form 10-Q of Motors Liquidation Company filed November 10,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Agreement, dated as of October 22, 2001, between General Motors Corporation and General Motors Acceptance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6"/>
              </w:rPr>
              <w:t>Corporation, incorporated herein by reference to Exhibit 10 to the Annual Report on Form 10-K of Motors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Liquidation Company filed March 28,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Agreement, dated as of November 30, 2006, between General Motors Corporation and GMAC LLC,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herein by reference to Exhibit 10.1 to the Current Report on Form 8-K of Motors Liquidation Company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November 30,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7"/>
              </w:rPr>
              <w:t>Amended and Restated Warrant Agreement, dated as of October 16, 2009, between General Motors Company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U.S. Bank National Association, including Form of Warrant Certificate attached as Exhibit D thereto, relating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warrants with a $30 original exercise price and a July 10, 2016 expiration date,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Exhibit 10.29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7"/>
              </w:rPr>
              <w:t>Amended and Restated Warrant Agreement, dated as of October 16, 2009, between General Motors Company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U.S. Bank National Association, including Form of Warrant Certificate attached as Exhibit D thereto, relating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warrants with a $55 original exercise price and a July 10, 2019 expiration date, incorporated herein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Exhibit 10.30 to the Annual Report on Form 10-K of General Motors Company filed April 7,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4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7"/>
              </w:rPr>
              <w:t>Amended and Restated Warrant Agreement, dated as of October 16, 2009, between General Motors Company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U.S. Bank National Association, including Form of Warrant Certificate attached as Exhibit D thereto, relating to</w:t>
            </w:r>
          </w:p>
        </w:tc>
        <w:tc>
          <w:tcPr>
            <w:tcW w:w="0" w:type="dxa"/>
            <w:vAlign w:val="bottom"/>
          </w:tcPr>
          <w:p>
            <w:pPr>
              <w:spacing w:after="0"/>
              <w:rPr>
                <w:sz w:val="1"/>
                <w:szCs w:val="1"/>
                <w:color w:val="auto"/>
              </w:rPr>
            </w:pPr>
          </w:p>
        </w:tc>
      </w:tr>
    </w:tbl>
    <w:p>
      <w:pPr>
        <w:ind w:left="940" w:right="16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warrants with a $126.92 original exercise price and a December 31, 2015 expiration date, incorporated herein by reference to Exhibit 10.31 to the Annual Report on Form 10-K of General Motors Company filed April 7, 2010</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ectPr>
          <w:pgSz w:w="11900" w:h="16838" w:orient="portrait"/>
          <w:cols w:equalWidth="0" w:num="2">
            <w:col w:w="9020" w:space="220"/>
            <w:col w:w="1880"/>
          </w:cols>
          <w:pgMar w:left="240" w:top="274" w:right="539" w:bottom="1440" w:gutter="0" w:footer="0" w:header="0"/>
        </w:sectPr>
      </w:pPr>
    </w:p>
    <w:bookmarkStart w:id="19" w:name="page20"/>
    <w:bookmarkEnd w:id="19"/>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82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Exhibit Name</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8200" w:type="dxa"/>
            <w:vAlign w:val="bottom"/>
            <w:tcBorders>
              <w:bottom w:val="single" w:sz="8" w:color="auto"/>
            </w:tcBorders>
            <w:vMerge w:val="continue"/>
          </w:tcPr>
          <w:p>
            <w:pPr>
              <w:spacing w:after="0"/>
              <w:rPr>
                <w:sz w:val="14"/>
                <w:szCs w:val="14"/>
                <w:color w:val="auto"/>
              </w:rPr>
            </w:pP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10.32</w:t>
            </w:r>
          </w:p>
        </w:tc>
        <w:tc>
          <w:tcPr>
            <w:tcW w:w="4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98"/>
              </w:rPr>
              <w:t>Summary of Employment Arrangement between General Motors Company and Edward E. Whitacre, Jr.,</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incorporated herein by reference to Item 5.02 of the Current Report on Form 8-K of General Motors Company filed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February 19,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Summary of Employment Arrangement between General Motors Company and Stephen J. Girsky, incorporated</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herein by reference to Item 1.01 of the Current Report on Form 8-K of General Motors Company filed March 5,</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Employment Agreement for Christopher P. Liddell, incorporated by reference to Exhibit 10.3 to the Quarterly</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10-Q filed May 17,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General Motors Executive Retirement Plan, as amended March 1, 2010, incorporated by reference to Exhibit 10.4 to</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the Quarterly Report on Form 10-Q filed May 17,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9"/>
              </w:rPr>
              <w:t>Computation of Ratios of Earnings to Fixed Charges for the Periods July 10, 2009 through December 31, 2009 and</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6"/>
              </w:rPr>
              <w:t>January 1, 2009 through July 9, 2009 and for the Years Ended December 31, 2008, 2007, 2006 and 2005,</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incorporated herein by reference to Exhibit 12 to the Annual Report on Form 10-K of General Motors Company</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88"/>
              </w:rPr>
              <w:t>Subsidiaries of the Registrant as of December 31, 2009, incorporated herein by reference to Exhibit 21 to the Annual</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Report on Form 10-K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1"/>
              </w:rPr>
              <w:t>Consolidated Financial Statements of Ally Financial Inc. (formerly GMAC Inc.) and subsidiaries at December 31,</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2009 and 2008 and for each of the three years in the period ended December 31, 2009, incorporated herein by</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7"/>
              </w:rPr>
              <w:t>reference to Exhibit 99 to the Annual Report on Form 10-K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2"/>
              </w:rPr>
              <w:t>Annual Report on Form 10-K of General Motors Company for the year ended December 31, 2009, incorporated</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herein by reference to Exhibit 99.1 to the Registration Statement on Form 10 of General Motors Company filed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0"/>
              </w:rPr>
              <w:t>Current Report on Form 8-K of General Motors Company, dated August 7, 2009, incorporated herein by reference</w:t>
            </w:r>
          </w:p>
        </w:tc>
        <w:tc>
          <w:tcPr>
            <w:tcW w:w="2100" w:type="dxa"/>
            <w:vAlign w:val="bottom"/>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9"/>
              </w:rPr>
              <w:t>to Exhibit 99.2 to the Registration Statement on Form 10 of General Motors Company filed April 7, 2010</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5"/>
              </w:rPr>
              <w:t>Quarterly Report on Form 10-Q of General Motors Company for the quarterly period ended March 31, 2010</w:t>
            </w:r>
          </w:p>
        </w:tc>
        <w:tc>
          <w:tcPr>
            <w:tcW w:w="2100" w:type="dxa"/>
            <w:vAlign w:val="bottom"/>
          </w:tcPr>
          <w:p>
            <w:pPr>
              <w:ind w:left="2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confidential portions have been omitted pursuant to a request for confidential treatment, which has been separately filed with the Securities and Exchange Commission.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274" w:right="439" w:bottom="1440" w:gutter="0" w:footer="0" w:header="0"/>
        </w:sectPr>
      </w:pPr>
    </w:p>
    <w:bookmarkStart w:id="20" w:name="page21"/>
    <w:bookmarkEnd w:id="2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800" w:val="left"/>
          <w:tab w:leader="none" w:pos="8000" w:val="left"/>
        </w:tabs>
        <w:rPr>
          <w:sz w:val="20"/>
          <w:szCs w:val="20"/>
          <w:color w:val="auto"/>
        </w:rPr>
      </w:pPr>
      <w:r>
        <w:rPr>
          <w:rFonts w:ascii="Arial" w:cs="Arial" w:eastAsia="Arial" w:hAnsi="Arial"/>
          <w:sz w:val="18"/>
          <w:szCs w:val="18"/>
          <w:color w:val="auto"/>
        </w:rPr>
        <w:t>Date: 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Vice President, Controller and Chief Accounting Officer</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274"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0"/>
          <w:szCs w:val="20"/>
          <w:color w:val="auto"/>
        </w:rPr>
      </w:pPr>
    </w:p>
    <w:p>
      <w:pPr>
        <w:ind w:left="460" w:right="2040" w:hanging="452"/>
        <w:spacing w:after="0" w:line="344" w:lineRule="auto"/>
        <w:tabs>
          <w:tab w:leader="none" w:pos="454"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16"/>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000-53930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0"/>
          <w:szCs w:val="20"/>
          <w:color w:val="auto"/>
        </w:rPr>
      </w:pPr>
    </w:p>
    <w:p>
      <w:pPr>
        <w:sectPr>
          <w:pgSz w:w="11900" w:h="16838" w:orient="portrait"/>
          <w:cols w:equalWidth="0" w:num="2">
            <w:col w:w="7540" w:space="720"/>
            <w:col w:w="3160"/>
          </w:cols>
          <w:pgMar w:left="240" w:top="122"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0"/>
          <w:szCs w:val="20"/>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0"/>
          <w:szCs w:val="20"/>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0"/>
          <w:szCs w:val="20"/>
          <w:color w:val="auto"/>
        </w:rPr>
      </w:pPr>
    </w:p>
    <w:p>
      <w:pPr>
        <w:sectPr>
          <w:pgSz w:w="11900" w:h="16838" w:orient="portrait"/>
          <w:cols w:equalWidth="0" w:num="2">
            <w:col w:w="7460" w:space="720"/>
            <w:col w:w="3240"/>
          </w:cols>
          <w:pgMar w:left="240" w:top="122"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0"/>
          <w:szCs w:val="20"/>
          <w:color w:val="auto"/>
        </w:rPr>
      </w:pPr>
    </w:p>
    <w:p>
      <w:pPr>
        <w:sectPr>
          <w:pgSz w:w="11900" w:h="16838" w:orient="portrait"/>
          <w:cols w:equalWidth="0" w:num="2">
            <w:col w:w="7540" w:space="720"/>
            <w:col w:w="3160"/>
          </w:cols>
          <w:pgMar w:left="240" w:top="122"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0"/>
          <w:szCs w:val="20"/>
          <w:color w:val="auto"/>
        </w:rPr>
      </w:pPr>
    </w:p>
    <w:p>
      <w:pPr>
        <w:sectPr>
          <w:pgSz w:w="11900" w:h="16838" w:orient="portrait"/>
          <w:cols w:equalWidth="0" w:num="2">
            <w:col w:w="7680" w:space="720"/>
            <w:col w:w="3020"/>
          </w:cols>
          <w:pgMar w:left="240" w:top="12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122" w:right="2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0"/>
          <w:szCs w:val="20"/>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14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0"/>
          <w:szCs w:val="20"/>
          <w:color w:val="auto"/>
        </w:rPr>
      </w:pPr>
    </w:p>
    <w:p>
      <w:pPr>
        <w:jc w:val="center"/>
        <w:ind w:right="1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check if smaller reporting company</w:t>
      </w:r>
    </w:p>
    <w:p>
      <w:pPr>
        <w:spacing w:after="0" w:line="125"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May 1, 2010, the number of shares outstanding of $0.01 par value common stock was 500,000,000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0"/>
          <w:szCs w:val="20"/>
          <w:color w:val="auto"/>
        </w:rPr>
      </w:pPr>
    </w:p>
    <w:p>
      <w:pPr>
        <w:jc w:val="both"/>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9"/>
            <w:vMerge w:val="restart"/>
          </w:tcPr>
          <w:p>
            <w:pPr>
              <w:jc w:val="center"/>
              <w:spacing w:after="0"/>
              <w:rPr>
                <w:rFonts w:ascii="Arial" w:cs="Arial" w:eastAsia="Arial" w:hAnsi="Arial"/>
                <w:sz w:val="18"/>
                <w:szCs w:val="18"/>
                <w:b w:val="1"/>
                <w:bCs w:val="1"/>
                <w:color w:val="0000EE"/>
                <w:w w:val="93"/>
              </w:rPr>
            </w:pPr>
            <w:hyperlink w:anchor="page24">
              <w:r>
                <w:rPr>
                  <w:rFonts w:ascii="Arial" w:cs="Arial" w:eastAsia="Arial" w:hAnsi="Arial"/>
                  <w:sz w:val="18"/>
                  <w:szCs w:val="18"/>
                  <w:b w:val="1"/>
                  <w:bCs w:val="1"/>
                  <w:color w:val="0000EE"/>
                  <w:w w:val="93"/>
                </w:rPr>
                <w:t>Part I — Financial Information</w:t>
              </w:r>
            </w:hyperlink>
          </w:p>
        </w:tc>
        <w:tc>
          <w:tcPr>
            <w:tcW w:w="3260" w:type="dxa"/>
            <w:vAlign w:val="bottom"/>
            <w:vMerge w:val="restart"/>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74"/>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0000EE"/>
            </w:tcBorders>
            <w:gridSpan w:val="9"/>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4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Condensed Consolidated Financial Statements (Unaudited)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Condensed Consolidated Statements of Operations</w:t>
              </w:r>
            </w:hyperlink>
          </w:p>
        </w:tc>
        <w:tc>
          <w:tcPr>
            <w:tcW w:w="560" w:type="dxa"/>
            <w:vAlign w:val="bottom"/>
            <w:tcBorders>
              <w:top w:val="single" w:sz="8" w:color="0000EE"/>
            </w:tcBorders>
            <w:gridSpan w:val="5"/>
          </w:tcPr>
          <w:p>
            <w:pPr>
              <w:spacing w:after="0"/>
              <w:rPr>
                <w:sz w:val="17"/>
                <w:szCs w:val="17"/>
                <w:color w:val="auto"/>
              </w:rPr>
            </w:pPr>
          </w:p>
        </w:tc>
        <w:tc>
          <w:tcPr>
            <w:tcW w:w="566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Condensed Consolidated Balance Sheets</w:t>
              </w:r>
            </w:hyperlink>
          </w:p>
        </w:tc>
        <w:tc>
          <w:tcPr>
            <w:tcW w:w="694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20" w:type="dxa"/>
            <w:vAlign w:val="bottom"/>
            <w:gridSpan w:val="4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Condensed Consolidated Statements of Equity (Deficit)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Condensed Consolidated Statements of Cash Flows</w:t>
              </w:r>
            </w:hyperlink>
          </w:p>
        </w:tc>
        <w:tc>
          <w:tcPr>
            <w:tcW w:w="280" w:type="dxa"/>
            <w:vAlign w:val="bottom"/>
            <w:tcBorders>
              <w:top w:val="single" w:sz="8" w:color="0000EE"/>
            </w:tcBorders>
            <w:gridSpan w:val="2"/>
          </w:tcPr>
          <w:p>
            <w:pPr>
              <w:spacing w:after="0"/>
              <w:rPr>
                <w:sz w:val="17"/>
                <w:szCs w:val="17"/>
                <w:color w:val="auto"/>
              </w:rPr>
            </w:pPr>
          </w:p>
        </w:tc>
        <w:tc>
          <w:tcPr>
            <w:tcW w:w="590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20" w:type="dxa"/>
            <w:vAlign w:val="bottom"/>
            <w:gridSpan w:val="4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tcBorders>
              <w:top w:val="single" w:sz="8" w:color="0000EE"/>
            </w:tcBorders>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Nature of Operations</w:t>
              </w:r>
            </w:hyperlink>
          </w:p>
        </w:tc>
        <w:tc>
          <w:tcPr>
            <w:tcW w:w="1280" w:type="dxa"/>
            <w:vAlign w:val="bottom"/>
            <w:tcBorders>
              <w:top w:val="single" w:sz="8" w:color="0000EE"/>
            </w:tcBorders>
            <w:gridSpan w:val="14"/>
          </w:tcPr>
          <w:p>
            <w:pPr>
              <w:spacing w:after="0"/>
              <w:rPr>
                <w:sz w:val="17"/>
                <w:szCs w:val="17"/>
                <w:color w:val="auto"/>
              </w:rPr>
            </w:pPr>
          </w:p>
        </w:tc>
        <w:tc>
          <w:tcPr>
            <w:tcW w:w="592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8700" w:type="dxa"/>
            <w:vAlign w:val="bottom"/>
            <w:gridSpan w:val="3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Chapter 11 Proceedings and the 363 Sale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8700" w:type="dxa"/>
            <w:vAlign w:val="bottom"/>
            <w:gridSpan w:val="3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Basis of Presentation and Recent Accounting Standards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28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Acquisition and Disposals of Businesses</w:t>
              </w:r>
            </w:hyperlink>
          </w:p>
        </w:tc>
        <w:tc>
          <w:tcPr>
            <w:tcW w:w="1040" w:type="dxa"/>
            <w:vAlign w:val="bottom"/>
            <w:tcBorders>
              <w:top w:val="single" w:sz="8" w:color="0000EE"/>
            </w:tcBorders>
            <w:gridSpan w:val="7"/>
          </w:tcPr>
          <w:p>
            <w:pPr>
              <w:spacing w:after="0"/>
              <w:rPr>
                <w:sz w:val="17"/>
                <w:szCs w:val="17"/>
                <w:color w:val="auto"/>
              </w:rPr>
            </w:pPr>
          </w:p>
        </w:tc>
        <w:tc>
          <w:tcPr>
            <w:tcW w:w="478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Inventories</w:t>
              </w:r>
            </w:hyperlink>
          </w:p>
        </w:tc>
        <w:tc>
          <w:tcPr>
            <w:tcW w:w="7900" w:type="dxa"/>
            <w:vAlign w:val="bottom"/>
            <w:gridSpan w:val="3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8700" w:type="dxa"/>
            <w:vAlign w:val="bottom"/>
            <w:gridSpan w:val="3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Equity in Net Assets of Nonconsolidated Affiliates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Goodwill</w:t>
              </w:r>
            </w:hyperlink>
          </w:p>
        </w:tc>
        <w:tc>
          <w:tcPr>
            <w:tcW w:w="2900" w:type="dxa"/>
            <w:vAlign w:val="bottom"/>
            <w:tcBorders>
              <w:top w:val="single" w:sz="8" w:color="0000EE"/>
            </w:tcBorders>
            <w:gridSpan w:val="29"/>
          </w:tcPr>
          <w:p>
            <w:pPr>
              <w:spacing w:after="0"/>
              <w:rPr>
                <w:sz w:val="17"/>
                <w:szCs w:val="17"/>
                <w:color w:val="auto"/>
              </w:rPr>
            </w:pPr>
          </w:p>
        </w:tc>
        <w:tc>
          <w:tcPr>
            <w:tcW w:w="512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870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Intangible Assets, net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870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Variable Interest Entities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2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Depreciation and Amortization</w:t>
              </w:r>
            </w:hyperlink>
          </w:p>
        </w:tc>
        <w:tc>
          <w:tcPr>
            <w:tcW w:w="650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11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Restricted Cash</w:t>
              </w:r>
            </w:hyperlink>
          </w:p>
        </w:tc>
        <w:tc>
          <w:tcPr>
            <w:tcW w:w="7580" w:type="dxa"/>
            <w:vAlign w:val="bottom"/>
            <w:gridSpan w:val="3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23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Short-Term and Long-Term Debt</w:t>
              </w:r>
            </w:hyperlink>
          </w:p>
        </w:tc>
        <w:tc>
          <w:tcPr>
            <w:tcW w:w="636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19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Product Warranty Liability</w:t>
              </w:r>
            </w:hyperlink>
          </w:p>
        </w:tc>
        <w:tc>
          <w:tcPr>
            <w:tcW w:w="680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308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Pensions and Other Postretirement Benefits</w:t>
              </w:r>
            </w:hyperlink>
          </w:p>
        </w:tc>
        <w:tc>
          <w:tcPr>
            <w:tcW w:w="562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8700" w:type="dxa"/>
            <w:vAlign w:val="bottom"/>
            <w:gridSpan w:val="3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Derivative Financial Instruments and Risk Management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23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Commitments and Contingencies</w:t>
              </w:r>
            </w:hyperlink>
          </w:p>
        </w:tc>
        <w:tc>
          <w:tcPr>
            <w:tcW w:w="1580" w:type="dxa"/>
            <w:vAlign w:val="bottom"/>
            <w:tcBorders>
              <w:top w:val="single" w:sz="8" w:color="0000EE"/>
            </w:tcBorders>
            <w:gridSpan w:val="14"/>
          </w:tcPr>
          <w:p>
            <w:pPr>
              <w:spacing w:after="0"/>
              <w:rPr>
                <w:sz w:val="17"/>
                <w:szCs w:val="17"/>
                <w:color w:val="auto"/>
              </w:rPr>
            </w:pPr>
          </w:p>
        </w:tc>
        <w:tc>
          <w:tcPr>
            <w:tcW w:w="47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8700" w:type="dxa"/>
            <w:vAlign w:val="bottom"/>
            <w:gridSpan w:val="3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Income Taxes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8700" w:type="dxa"/>
            <w:vAlign w:val="bottom"/>
            <w:gridSpan w:val="3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Fair Value Measurements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2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Restructuring and Other Initiatives</w:t>
              </w:r>
            </w:hyperlink>
          </w:p>
        </w:tc>
        <w:tc>
          <w:tcPr>
            <w:tcW w:w="624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Impairments</w:t>
              </w:r>
            </w:hyperlink>
          </w:p>
        </w:tc>
        <w:tc>
          <w:tcPr>
            <w:tcW w:w="7800" w:type="dxa"/>
            <w:vAlign w:val="bottom"/>
            <w:gridSpan w:val="3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8700" w:type="dxa"/>
            <w:vAlign w:val="bottom"/>
            <w:gridSpan w:val="3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Earnings (Loss) Per Share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184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Transactions with GMAC</w:t>
              </w:r>
            </w:hyperlink>
          </w:p>
        </w:tc>
        <w:tc>
          <w:tcPr>
            <w:tcW w:w="686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182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Transactions with MLC</w:t>
              </w:r>
            </w:hyperlink>
          </w:p>
        </w:tc>
        <w:tc>
          <w:tcPr>
            <w:tcW w:w="688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1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Segment Reporting</w:t>
              </w:r>
            </w:hyperlink>
          </w:p>
        </w:tc>
        <w:tc>
          <w:tcPr>
            <w:tcW w:w="696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1360" w:type="dxa"/>
            <w:vAlign w:val="bottom"/>
            <w:tcBorders>
              <w:top w:val="single" w:sz="8" w:color="0000EE"/>
            </w:tcBorders>
            <w:gridSpan w:val="9"/>
          </w:tcPr>
          <w:p>
            <w:pPr>
              <w:spacing w:after="0" w:line="19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Subsequent Events</w:t>
              </w:r>
            </w:hyperlink>
          </w:p>
        </w:tc>
        <w:tc>
          <w:tcPr>
            <w:tcW w:w="7340" w:type="dxa"/>
            <w:vAlign w:val="bottom"/>
            <w:gridSpan w:val="2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80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4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Quantitative and Qualitative Disclosures About Market Risk</w:t>
              </w:r>
            </w:hyperlink>
          </w:p>
        </w:tc>
        <w:tc>
          <w:tcPr>
            <w:tcW w:w="35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556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7"/>
          </w:tcPr>
          <w:p>
            <w:pPr>
              <w:jc w:val="center"/>
              <w:ind w:right="3360"/>
              <w:spacing w:after="0" w:line="196" w:lineRule="exact"/>
              <w:rPr>
                <w:rFonts w:ascii="Arial" w:cs="Arial" w:eastAsia="Arial" w:hAnsi="Arial"/>
                <w:sz w:val="18"/>
                <w:szCs w:val="18"/>
                <w:b w:val="1"/>
                <w:bCs w:val="1"/>
                <w:color w:val="0000EE"/>
                <w:w w:val="94"/>
              </w:rPr>
            </w:pPr>
            <w:hyperlink w:anchor="page108">
              <w:r>
                <w:rPr>
                  <w:rFonts w:ascii="Arial" w:cs="Arial" w:eastAsia="Arial" w:hAnsi="Arial"/>
                  <w:sz w:val="18"/>
                  <w:szCs w:val="18"/>
                  <w:b w:val="1"/>
                  <w:bCs w:val="1"/>
                  <w:color w:val="0000EE"/>
                  <w:w w:val="94"/>
                </w:rPr>
                <w:t>Part II — Other Information</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280" w:type="dxa"/>
            <w:vAlign w:val="bottom"/>
            <w:gridSpan w:val="3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Legal Proceedings</w:t>
              </w:r>
            </w:hyperlink>
          </w:p>
        </w:tc>
        <w:tc>
          <w:tcPr>
            <w:tcW w:w="2180" w:type="dxa"/>
            <w:vAlign w:val="bottom"/>
            <w:tcBorders>
              <w:top w:val="single" w:sz="8" w:color="0000EE"/>
            </w:tcBorders>
            <w:gridSpan w:val="5"/>
          </w:tcPr>
          <w:p>
            <w:pPr>
              <w:spacing w:after="0"/>
              <w:rPr>
                <w:sz w:val="17"/>
                <w:szCs w:val="17"/>
                <w:color w:val="auto"/>
              </w:rPr>
            </w:pPr>
          </w:p>
        </w:tc>
        <w:tc>
          <w:tcPr>
            <w:tcW w:w="33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Risk Factors</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Exhibits</w:t>
              </w:r>
            </w:hyperlink>
          </w:p>
        </w:tc>
        <w:tc>
          <w:tcPr>
            <w:tcW w:w="5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Signature</w:t>
              </w:r>
            </w:hyperlink>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5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2010</w:t>
            </w:r>
          </w:p>
        </w:tc>
        <w:tc>
          <w:tcPr>
            <w:tcW w:w="3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31,476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2,684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200"/>
              <w:spacing w:after="0"/>
              <w:rPr>
                <w:sz w:val="20"/>
                <w:szCs w:val="20"/>
                <w:color w:val="auto"/>
              </w:rPr>
            </w:pPr>
            <w:r>
              <w:rPr>
                <w:rFonts w:ascii="Arial" w:cs="Arial" w:eastAsia="Arial" w:hAnsi="Arial"/>
                <w:sz w:val="18"/>
                <w:szCs w:val="18"/>
                <w:color w:val="auto"/>
              </w:rPr>
              <w:t>Total costs and expenses</w:t>
            </w: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30,321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Equity in loss of GMAC</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 and equity income</w:t>
            </w: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Cumulative dividends on preferred stock</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(loss) per share (Note 21)</w:t>
            </w: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8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1.73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1"/>
              </w:rPr>
              <w:t>Successor</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2010</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shd w:val="clear" w:color="auto" w:fill="CCEEFF"/>
          </w:tcPr>
          <w:p>
            <w:pPr>
              <w:ind w:left="4320"/>
              <w:spacing w:after="0" w:line="142"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23,310</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cash, cash equivalents and marketable securities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23,463</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12,741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$188 and $250)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8,694</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11,192</w:t>
            </w: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 for sale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2,319</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1,888</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60,357</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59,247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8,430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 for sale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18,432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30,487</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13,690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4,625</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75,664</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77,048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136,021</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20,450</w:t>
            </w:r>
          </w:p>
        </w:tc>
        <w:tc>
          <w:tcPr>
            <w:tcW w:w="4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Short-term debt and current portion of long-term debt (including debt at GM Daewoo of $1,308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at March 31, 2010; Note 9)</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8,773</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Liabilities held for sale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(including derivative liabilities at GM Daewoo of $339 at March 31, 2010; Note 9)</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22,755</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52,038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debt at GM Daewoo of $740 at March 31, 2010; Note 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8,794</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26,492</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13,245</w:t>
            </w: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liabilities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53,932</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105,970</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107,340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60" w:type="dxa"/>
            <w:vAlign w:val="bottom"/>
          </w:tcPr>
          <w:p>
            <w:pPr>
              <w:spacing w:after="0" w:line="138" w:lineRule="exact"/>
              <w:rPr>
                <w:sz w:val="20"/>
                <w:szCs w:val="20"/>
                <w:color w:val="auto"/>
              </w:rPr>
            </w:pPr>
            <w:r>
              <w:rPr>
                <w:rFonts w:ascii="Arial" w:cs="Arial" w:eastAsia="Arial" w:hAnsi="Arial"/>
                <w:sz w:val="14"/>
                <w:szCs w:val="14"/>
                <w:color w:val="auto"/>
                <w:w w:val="88"/>
              </w:rPr>
              <w:t>Preferred stock, $0.01 par value (1,000,000,000 shares authorized, 360,000,000 shares issued and outstanding (each with a $25.00 liquidation preference) at March 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tcPr>
          <w:p>
            <w:pPr>
              <w:ind w:left="200"/>
              <w:spacing w:after="0" w:line="159" w:lineRule="exact"/>
              <w:rPr>
                <w:sz w:val="20"/>
                <w:szCs w:val="20"/>
                <w:color w:val="auto"/>
              </w:rPr>
            </w:pPr>
            <w:r>
              <w:rPr>
                <w:rFonts w:ascii="Arial" w:cs="Arial" w:eastAsia="Arial" w:hAnsi="Arial"/>
                <w:sz w:val="14"/>
                <w:szCs w:val="14"/>
                <w:color w:val="auto"/>
              </w:rPr>
              <w:t>2010 and December 31, 2009)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6,998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w w:val="93"/>
              </w:rPr>
              <w:t>Common stock, $0.01 par value (2,500,000,000 shares authorized, 500,000,000 shares issued and outstanding at March 31, 2010 and December 31, 2009)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24,050</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(3,529)</w:t>
            </w:r>
          </w:p>
        </w:tc>
        <w:tc>
          <w:tcPr>
            <w:tcW w:w="2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1,713</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22,239</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23,053</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136,021</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Common Stockholders’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Capital</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Surplus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Deficit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2008,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1,017</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(70,727)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(5,899)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 hedging gains,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Net prior service benefit</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Net transition asset / obligation</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(5,417)</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declared or paid to noncontrolling interests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2009,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1,018</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(31,946)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(90,520)</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2009, Successor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$24,050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(4,394)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$ 21,957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Cash flow hedging gains, net</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prior service cost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Net actuarial gain</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Effects of adoption of amendments to ASC 810-10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regarding variable interest entities (Note 3)</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dividends paid to GM preferred stockholders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declared or paid to noncontrolling interests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2010, Successor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March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31, 2010</w:t>
            </w:r>
          </w:p>
        </w:tc>
        <w:tc>
          <w:tcPr>
            <w:tcW w:w="5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4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Investments in marketable securities, acquisitions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 liquidations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 in GMAC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companies, net of cash acquired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leases, liquidations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short-term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debt owed to UST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on debt owed to UST and EDC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Fees paid for debt modification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to GM preferred stockholders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(1,688)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reclassified as assets held for sale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54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Securities and Exchange Commission (SEC) Staff, the accompanying condensed consolidated financial statements include the financial statements and related information of Old GM as it is our predecessor entity solely for accounting and financial reporting purposes (Predecessor).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27"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We develop, produce and market cars, trucks and parts worldwide. We analyze the results of our business through our three segments: General Motors North America (GMNA), General Motors International Operations (GMIO) and General Motors Europe (GME). Nonsegment operations are classified as Corporate. Corporate includes investments in GMAC Inc. (GMAC), certain centrally recorded income and costs, such as interest, income taxes and corporate expenditures, certain nonsegment specific revenues and expenses, including costs related to the Delphi Benefit Guarantee Agreements (as subsequently defined in Note 16) and a portfolio of automotive retail leases.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Chapter 11 Proceedings and the 363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also received funding from Export Development Canada (EDC), a corporation wholly-owned by the government of Canada, under a loan and security agreement entered into in April 2009 (EDC Loan Facility).</w:t>
      </w:r>
    </w:p>
    <w:p>
      <w:pPr>
        <w:spacing w:after="0" w:line="113"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As a condition to obtaining the loans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85"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On March 30, 2009 the President’s Designee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0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President’s Designee’s requirement that it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370" w:lineRule="auto"/>
        <w:rPr>
          <w:sz w:val="20"/>
          <w:szCs w:val="20"/>
          <w:color w:val="auto"/>
        </w:rPr>
      </w:pPr>
      <w:r>
        <w:rPr>
          <w:rFonts w:ascii="Arial" w:cs="Arial" w:eastAsia="Arial" w:hAnsi="Arial"/>
          <w:sz w:val="15"/>
          <w:szCs w:val="15"/>
          <w:color w:val="auto"/>
        </w:rPr>
        <w:t>Our Annual Report on Form 10-K for the year ended December 31, 2009 (2009 Form 10-K) provides additional detail on Old GM’s liquidity constraints, the terms and conditions of its various funding arrangements with U.S. and Canadian governmental entities, and its various cost reduction and restructuring activities.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Proceedings</w:t>
      </w:r>
    </w:p>
    <w:p>
      <w:pPr>
        <w:spacing w:after="0" w:line="177" w:lineRule="exact"/>
        <w:rPr>
          <w:sz w:val="20"/>
          <w:szCs w:val="20"/>
          <w:color w:val="auto"/>
        </w:rPr>
      </w:pPr>
    </w:p>
    <w:p>
      <w:pPr>
        <w:jc w:val="both"/>
        <w:ind w:right="460" w:firstLine="228"/>
        <w:spacing w:after="0" w:line="256" w:lineRule="auto"/>
        <w:rPr>
          <w:sz w:val="20"/>
          <w:szCs w:val="20"/>
          <w:color w:val="auto"/>
        </w:rPr>
      </w:pPr>
      <w:r>
        <w:rPr>
          <w:rFonts w:ascii="Arial" w:cs="Arial" w:eastAsia="Arial" w:hAnsi="Arial"/>
          <w:sz w:val="18"/>
          <w:szCs w:val="18"/>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43"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363 Sale</w:t>
      </w:r>
    </w:p>
    <w:p>
      <w:pPr>
        <w:spacing w:after="0" w:line="177"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Effects of the Chapter 11 Proceedings and the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in the period June 1, 2009 through July 9, 2009.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were separately disclosed in the statement of cash flows.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Application of Fresh-Start Reporting</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 our 2009 Form 10-K. These adjustments are final and no determinations of fair value are considered provisional.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Recent Accounting Standards</w:t>
      </w:r>
    </w:p>
    <w:p>
      <w:pPr>
        <w:spacing w:after="0" w:line="17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On April 7, 2010 we filed a Registration Statement on Form 10 pursuant to an agreement with the SEC Staff, as described in a no-action letter issued to Old GM by the SEC Staff on July 9, 2009 regarding our filing requirements and those of MLC. After the expiration of 60 days from the filing date we will be subject to the filing requirements of Section 13 and 15(d) of the Securities Exchange Act of 1934. In accordance with the agreement with the SEC Staff, the accompanying unaudited condensed consolidated financial statements include the financial statements and related information of Old GM, for the period prior to July 10, 2009, the entity from whom we purchased substantially all of its assets and assumed certain of its liabilities.</w:t>
      </w:r>
    </w:p>
    <w:p>
      <w:pPr>
        <w:spacing w:after="0" w:line="11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363 Sale resulted in a new entity, General Motors Company, which is the successor entity solely for accounting and financial reporting purposes. Because we are a new reporting entity, our financial statements are not comparable to the financial statements of Old GM.</w:t>
      </w:r>
    </w:p>
    <w:p>
      <w:pPr>
        <w:spacing w:after="0" w:line="13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 for interim financial information. Accordingly, they do not include all of the information and footnotes required by U.S. GAAP for complete financial statements. The accompanying condensed consolidated financial statements include all adjustments, comprised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2009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The condensed consolidated financial statements are prepared in conformity with U.S. GAAP, which requires the use of estimates, judgments, and assumptions that affect the reported amounts of assets and liabilities at the date of the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Our unaudited condensed consolidated financial statements include our accounts and those of our subsidiaries that we control due to ownership of a majority voting interest. In addition, we consolidate variable interest entities (VIEs) when we are the VIE’s primary beneficiary. Our share of earnings or losses of nonconsolidated affiliates are included in our consolidated operating results using the equity method of accounting when we are able to exercise significant influence over their operating and financial decisions. When we are not able to exercise significant influence over such affiliates, we use the cost method of accounting. All intercompany balances and transactions have been eliminated in consolidation. Old GM utilized the same principles of consolidation in its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71"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January 2010 we adopted certain amendments to ASC 860-10, “Transfers and Servicing.” ASC 860-10 eliminates the concept of a qualifying special-purpose entity (SPE), establishes a new definition of participating interest that must be met for transfers of portions of financial assets to be eligible for sale accounting, clarifies and amends the derecognition criteria for a transfer of financial assets to be accounted for as a sale, and changes the amount that can be recorded as a gain or loss on a transfer accounted for as a sale when beneficial interests are received by the transferor. The adoption of these amendments did not have a material effect on the condensed consolidated financial statements.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January 2010 we adopted amendments to ASC 810-10, “Consolidation” (ASC 810-10). These amendments require an enterprise to qualitatively assess the determination of the primary beneficiary of a VIE based on whether the enterprise: (1) has the power to direct the activities of a VIE that most significantly affect the entity’s economic performance; and (2) has the obligation to absorb losses of the entity or the right to receive benefits from the entity that could potentially be significant to the VIE. These amendments also require, among other considerations, an ongoing reconsideration of the primary beneficiary. In February 2010 the Financial Accounting Standards Board (FASB) issued guidance that permitted an indefinite deferral of these amendments for entities that have all the attributes of an investment company or that apply measurement principles consistent with those followed by investment companies. An entity that qualifies for the deferral will continue to be assessed under the overall guidance on the consolidation of VIEs in effect prior to the adoption of these amendments. This deferral was applicable to certain investment funds associated with our employee benefit plans and investment funds managing investments on behalf of unrelated third parties.</w:t>
      </w:r>
    </w:p>
    <w:p>
      <w:pPr>
        <w:spacing w:after="0" w:line="120"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The amendments were adopted prospectively. Upon adoption, we consolidated General Motors Egypt (GM Egypt). Due to our application of fresh-start reporting on July 10, 2009 and because our investment in GM Egypt was accounted for using the equity method of accounting, there was no difference between the net assets added to the Condensed consolidated balance sheet upon consolidation and the amount of previously recorded interest in GM Egypt. As a result, there is no cumulative effect of a change in accounting principle to Accumulated deficit. However, the consolidation of GM Egypt resulted in an increase in Total assets of $254 million, an increase in Total liabilities of $178 million, and an increase in Noncontrolling interests of $76 million. The effect of these amendments was measured based on the amount at which the asset, liability and noncontrolling interest would have been carried or recorded in the condensed consolidated financial statements if these amendments had been effective since inception of our relationship with GM Egypt. Refer to Note 9 for additional information regarding the effect of the adoption of these amendments.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In September 2009 the FASB issued Accounting Standards Update (ASU) 2009-13, “Multiple-Deliverable Revenue Arrangements.” ASU 2009-13 addresses the unit of accounting for multiple-element arrangements. In addition, ASU 2009-13 revises the method by which consideration is allocated among the units of accounting. The overall consideration is allocated to each deliverable by establishing a selling price for individual deliverables based on a hierarchy of evidence, including vendor-specific objective evidence, other third party evidence of the selling price, or the reporting entity’s best estimate of the selling price of individual deliverables in the arrangement. ASU 2009-13 will be effective prospectively for revenue arrangements entered into or materially modified in fiscal years beginning on or after June 15, 2010. We are currently evaluating the effects, if any, that ASU 2009-13 will have on the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 and Disposals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Delphi Businesses</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July 2009 we entered into the Delphi Master Disposition Agreement (DMDA) with Delphi Corporation (Delphi) and other parties, which was consummated in October 2009. Under the DMDA, we agreed to acquire Delphi’s global steering business (Nexteer) and four domestic component manufacturing facilities as well as make an investment in a new entity, New Delphi, which acquired substantially all of Delphi’s remaining assets. At October 6, 2009 the fair value of Nexteer and the four domestic facilities was $287 million and the assets acquired and liabilities assumed were consolidated and included in the results of our GMNA segment. Total assets of $1.2 billion were comprised primarily of accounts and notes receivables, inventories and property, plant and equipment. Total liabilities of $0.9 billion were comprised primarily of accounts payable, accrued expenses, short-term debt and other liabilities.</w:t>
      </w:r>
    </w:p>
    <w:p>
      <w:pPr>
        <w:spacing w:after="0" w:line="12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We funded the acquisitions, transaction related costs and settlements of certain pre-existing arrangements through net cash payments of $2.7 billion. We also assumed liabilities and wind-down obligations of $120 million, waived our claims associated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Delphi liquidity support agreements of $850 million and waived our rights to claims associated with previously transferred pension costs for hourly employees. Of these amounts, we contributed $1.7 billion to New Delphi and paid the Pension Benefit Guarantee Corporation (PBGC) $70 million in October 2009. Our investment in New Delphi is accounted for using the equity method.</w:t>
      </w:r>
    </w:p>
    <w:p>
      <w:pPr>
        <w:spacing w:after="0" w:line="140"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In January 2010 we announced that we intend to pursue a sale of Nexteer. We continue to pursue this sale and have not entered into a definitive sales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India Operations</w:t>
      </w:r>
    </w:p>
    <w:p>
      <w:pPr>
        <w:spacing w:after="0" w:line="177" w:lineRule="exact"/>
        <w:rPr>
          <w:sz w:val="20"/>
          <w:szCs w:val="20"/>
          <w:color w:val="auto"/>
        </w:rPr>
      </w:pPr>
    </w:p>
    <w:p>
      <w:pPr>
        <w:ind w:right="12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(India Operations), part of our GMIO segment, in exchange for a promissory note due in 2013. The amount due under the promissory note may be partially reduced, or increased, based on the India Operation’s cumulative earnings before interest and taxes for the three year period ending December 31, 2012. In connection with the sale we recorded net consideration of $194 million and an insignificant gain. The sale transaction resulted in a loss of control and the deconsolidation of the India Operations on February 1, 2010. Accordingly, we removed the assets and liabilities of the India Operations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have recorded a corresponding liability to reflect our obligation to provide additional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Bankruptcy and Sale</w:t>
      </w:r>
    </w:p>
    <w:p>
      <w:pPr>
        <w:spacing w:after="0" w:line="177"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In February 2009 Saab Automobile AB (Saab), part of the GME segment, filed for protection under the reorganization laws of Sweden in order to reorganize itself into a stand-alone entity. Old GM determined that the reorganization proceeding resulted in a loss of the elements of control necessary for consolidation and therefore Old GM deconsolidated Saab in February 2009. Old GM recorded a loss of $824 million in Other expenses related to the deconsolidation. The loss reflects the remeasurement of Old GM’s net investment in Saab to its estimated fair value of $0, costs associated with commitments and obligations to suppliers and others, and a commitment to provide up to $150 million of DIP financing. We acquired Old GM’s investment in Saab in connection with the 363 Sale. In August 2009 Saab exited its reorganization proceeding, and we regained the elements of control and consolidated Saab at an insignificant fair value.</w:t>
      </w:r>
    </w:p>
    <w:p>
      <w:pPr>
        <w:spacing w:after="0" w:line="120" w:lineRule="exact"/>
        <w:rPr>
          <w:sz w:val="20"/>
          <w:szCs w:val="20"/>
          <w:color w:val="auto"/>
        </w:rPr>
      </w:pPr>
    </w:p>
    <w:p>
      <w:pPr>
        <w:jc w:val="both"/>
        <w:ind w:right="120" w:firstLine="228"/>
        <w:spacing w:after="0" w:line="303" w:lineRule="auto"/>
        <w:rPr>
          <w:sz w:val="20"/>
          <w:szCs w:val="20"/>
          <w:color w:val="auto"/>
        </w:rPr>
      </w:pPr>
      <w:r>
        <w:rPr>
          <w:rFonts w:ascii="Arial" w:cs="Arial" w:eastAsia="Arial" w:hAnsi="Arial"/>
          <w:sz w:val="15"/>
          <w:szCs w:val="15"/>
          <w:color w:val="auto"/>
        </w:rPr>
        <w:t>In February 2010 we completed the sale of Saab to Spyker Cars NV. Of the negotiated cash purchase price of $74 million, we received $50 million at closing and expect to receive the remaining $24 million in July 2010. We also received preference shares in Saab with a face value of $326 million and an estimated fair value that is insignificant and received $114 million as repayment of the DIP financing that we provided to Saab during 2009. In the three months ended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March 31, 2010 we recorded a gain of $123 million in Interest income and other non-operating income, net reflecting cash received of $166 million less net assets with a book value of $43 million.</w:t>
      </w:r>
    </w:p>
    <w:p>
      <w:pPr>
        <w:spacing w:after="0" w:line="138"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At March 31, 2010 the assets and liabilities of Saab’s UK sales company (Saab GB) are classified as held for sale. Saab GB’s assets of $60 million include cash, inventory and receivables, and its total liabilities of $60 million primarily include accounts payable. The sale is expected to close in the three months ended June 30, 2010 once the conditions precedent in the share purchase agreement are completed.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1% Interest in Shanghai General Motors Co., Ltd.</w:t>
      </w:r>
    </w:p>
    <w:p>
      <w:pPr>
        <w:spacing w:after="0" w:line="177"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February 2010 we sold a 1% ownership interest in Shanghai General Motors Co., Ltd. (SGM) to SAIC-HK, reducing our ownership interest to 49%. The sale of the 1% ownership interest to SAIC was predicated on our ability to work with SAIC to obtain a $400 million loan from a commercial bank to us. We also received a call option to repurchase the 1% which is contingently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 in the three months ended March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our inventories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4"/>
              </w:rPr>
              <w:t>Successor</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December</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Productive material, work in process, and supplies</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following table summarizes adjustments recorded to inventories related to company vehicles and vehicles returned from lease awaiting sale at auction as a result of lower of cost or market (LCM) analyses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54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5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March</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w:t>
            </w:r>
          </w:p>
        </w:tc>
      </w:tr>
      <w:tr>
        <w:trPr>
          <w:trHeight w:val="161"/>
        </w:trPr>
        <w:tc>
          <w:tcPr>
            <w:tcW w:w="5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4"/>
              </w:rPr>
              <w:t>31, 2009</w:t>
            </w:r>
          </w:p>
        </w:tc>
        <w:tc>
          <w:tcPr>
            <w:tcW w:w="20" w:type="dxa"/>
            <w:vAlign w:val="bottom"/>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LCM adjustments on inventories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in Net Assets of Nonconsolidated Affiliates</w:t>
      </w:r>
    </w:p>
    <w:p>
      <w:pPr>
        <w:spacing w:after="0" w:line="177" w:lineRule="exact"/>
        <w:rPr>
          <w:sz w:val="20"/>
          <w:szCs w:val="20"/>
          <w:color w:val="auto"/>
        </w:rPr>
      </w:pPr>
    </w:p>
    <w:p>
      <w:pPr>
        <w:jc w:val="both"/>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regarding equity in income (loss) of nonconsolidated affiliates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6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SGM and SGMW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GMAC (b)</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Total equity in income (loss) of nonconsolidated affiliates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SGM (49%) and (50%) in the three months ended March 31, 2010 and 2009 and SAIC-GM-Wuling Automobile Co., Ltd. (SGMW) (34%). In February 2010 we sold a 1% ownership interest in SGM to SAIC, reducing our ownership interest to 49%. Refer to Note 4 for additional information regarding our ownership interest in SGM.</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GMAC converted its status to a C corporation effective June 30, 2009. At that date, Old GM began to account for its investment in GMAC using the cost method rather than the equity method as Old GM no longer exercised significant influence over GMAC. In connection with GMAC’s conversion into a C corporation, each unit of each class of GMAC Membership Interests was converted into shares of capital stock of GMAC with substantially the same rights and preferences as such Membership Interests.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GMAC</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financial information of GMAC for the period GMAC was accounted for as a nonconsolidated affiliate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7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7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2009</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Loss</w:t>
            </w:r>
          </w:p>
        </w:tc>
        <w:tc>
          <w:tcPr>
            <w:tcW w:w="3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financing revenue and other interest income</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Depreciation expense on operating lease assets</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other revenue</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Loss from continuing operations before income tax benefit</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from continuing operations</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members</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r>
      <w:tr>
        <w:trPr>
          <w:trHeight w:val="210"/>
        </w:trPr>
        <w:tc>
          <w:tcPr>
            <w:tcW w:w="10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10,357</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and loans,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92,357</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Investment in operating leases,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23,527</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179,552</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113,424</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35,165</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Senior preferred interests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Preferred interests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22"/>
        </w:trPr>
        <w:tc>
          <w:tcPr>
            <w:tcW w:w="10520" w:type="dxa"/>
            <w:vAlign w:val="bottom"/>
          </w:tcPr>
          <w:p>
            <w:pPr>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22,021</w:t>
            </w: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GMAC – Preferred and Common Membership Interests</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tables summarize the activity with respect to the investment in GMAC Common and Preferred Membership Interests for the period GMAC was accounted for as a nonconsolidated affiliate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w w:val="95"/>
              </w:rPr>
              <w:t>Predecessor</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GMAC Common</w:t>
            </w:r>
          </w:p>
        </w:tc>
        <w:tc>
          <w:tcPr>
            <w:tcW w:w="1140" w:type="dxa"/>
            <w:vAlign w:val="bottom"/>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GMAC Preferred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Membership</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Old GM’s proportionate share of GMAC’s losses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GMAC Common Membership Interests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primarily accumulated other comprehensive loss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320" w:type="dxa"/>
            <w:vAlign w:val="bottom"/>
            <w:vMerge w:val="restart"/>
          </w:tcPr>
          <w:p>
            <w:pPr>
              <w:jc w:val="right"/>
              <w:ind w:right="21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177" w:lineRule="exact"/>
        <w:rPr>
          <w:sz w:val="20"/>
          <w:szCs w:val="20"/>
          <w:color w:val="auto"/>
        </w:rPr>
      </w:pPr>
    </w:p>
    <w:p>
      <w:pPr>
        <w:ind w:right="580" w:firstLine="228"/>
        <w:spacing w:after="0" w:line="332" w:lineRule="auto"/>
        <w:rPr>
          <w:sz w:val="20"/>
          <w:szCs w:val="20"/>
          <w:color w:val="auto"/>
        </w:rPr>
      </w:pPr>
      <w:r>
        <w:rPr>
          <w:rFonts w:ascii="Arial" w:cs="Arial" w:eastAsia="Arial" w:hAnsi="Arial"/>
          <w:sz w:val="16"/>
          <w:szCs w:val="16"/>
          <w:color w:val="auto"/>
        </w:rPr>
        <w:t>Nonconsolidated affiliates are involved in various aspects of the development, production and marketing of cars, trucks and parts. The following tables summarize the effects of transactions with nonconsolidated affiliates which are not eliminated in consolidation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7"/>
          </w:tcPr>
          <w:p>
            <w:pPr>
              <w:jc w:val="center"/>
              <w:ind w:right="252"/>
              <w:spacing w:after="0"/>
              <w:rPr>
                <w:sz w:val="20"/>
                <w:szCs w:val="20"/>
                <w:color w:val="auto"/>
              </w:rPr>
            </w:pPr>
            <w:r>
              <w:rPr>
                <w:rFonts w:ascii="Arial" w:cs="Arial" w:eastAsia="Arial" w:hAnsi="Arial"/>
                <w:sz w:val="14"/>
                <w:szCs w:val="14"/>
                <w:b w:val="1"/>
                <w:bCs w:val="1"/>
                <w:color w:val="auto"/>
                <w:w w:val="81"/>
              </w:rPr>
              <w:t>Successor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7"/>
          </w:tcPr>
          <w:p>
            <w:pPr>
              <w:jc w:val="center"/>
              <w:ind w:right="252"/>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7"/>
          </w:tcPr>
          <w:p>
            <w:pPr>
              <w:jc w:val="center"/>
              <w:ind w:right="292"/>
              <w:spacing w:after="0" w:line="149" w:lineRule="exact"/>
              <w:rPr>
                <w:sz w:val="20"/>
                <w:szCs w:val="20"/>
                <w:color w:val="auto"/>
              </w:rPr>
            </w:pPr>
            <w:r>
              <w:rPr>
                <w:rFonts w:ascii="Arial" w:cs="Arial" w:eastAsia="Arial" w:hAnsi="Arial"/>
                <w:sz w:val="14"/>
                <w:szCs w:val="14"/>
                <w:b w:val="1"/>
                <w:bCs w:val="1"/>
                <w:color w:val="auto"/>
                <w:w w:val="92"/>
              </w:rPr>
              <w:t>March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84"/>
              </w:rPr>
              <w:t>31, 2010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31, 2009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Automotive sales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430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5"/>
          </w:tcPr>
          <w:p>
            <w:pPr>
              <w:jc w:val="right"/>
              <w:ind w:right="19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(expense), net</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5"/>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32"/>
              <w:spacing w:after="0"/>
              <w:rPr>
                <w:sz w:val="20"/>
                <w:szCs w:val="20"/>
                <w:color w:val="auto"/>
              </w:rPr>
            </w:pPr>
            <w:r>
              <w:rPr>
                <w:rFonts w:ascii="Arial" w:cs="Arial" w:eastAsia="Arial" w:hAnsi="Arial"/>
                <w:sz w:val="18"/>
                <w:szCs w:val="18"/>
                <w:color w:val="auto"/>
                <w:w w:val="93"/>
              </w:rPr>
              <w:t>620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3"/>
              </w:rPr>
              <w:t>350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7"/>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20" w:type="dxa"/>
            <w:vAlign w:val="bottom"/>
          </w:tcPr>
          <w:p>
            <w:pPr>
              <w:spacing w:after="0"/>
              <w:rPr>
                <w:sz w:val="11"/>
                <w:szCs w:val="11"/>
                <w:color w:val="auto"/>
              </w:rPr>
            </w:pPr>
          </w:p>
        </w:tc>
        <w:tc>
          <w:tcPr>
            <w:tcW w:w="40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31, 2010</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Investing</w:t>
            </w:r>
          </w:p>
        </w:tc>
        <w:tc>
          <w:tcPr>
            <w:tcW w:w="6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Financing</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5"/>
          </w:tcPr>
          <w:p>
            <w:pPr>
              <w:jc w:val="right"/>
              <w:ind w:right="352"/>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Note 7. Goodwill</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900" w:type="dxa"/>
            <w:vAlign w:val="bottom"/>
          </w:tcPr>
          <w:p>
            <w:pPr>
              <w:jc w:val="right"/>
              <w:ind w:right="432"/>
              <w:spacing w:after="0"/>
              <w:rPr>
                <w:sz w:val="20"/>
                <w:szCs w:val="20"/>
                <w:color w:val="auto"/>
              </w:rPr>
            </w:pPr>
            <w:r>
              <w:rPr>
                <w:rFonts w:ascii="Arial" w:cs="Arial" w:eastAsia="Arial" w:hAnsi="Arial"/>
                <w:sz w:val="18"/>
                <w:szCs w:val="18"/>
                <w:color w:val="auto"/>
                <w:w w:val="93"/>
              </w:rPr>
              <w:t>The following table summarizes the changes in the carrying amount of Goodwill (dollars in millions):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GMNA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GMIO</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rPr>
              <w:t>GME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$26,409</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$ 928</w:t>
            </w:r>
          </w:p>
        </w:tc>
        <w:tc>
          <w:tcPr>
            <w:tcW w:w="70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90"/>
              </w:rPr>
              <w:t>$3,335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$30,672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640" w:type="dxa"/>
            <w:vAlign w:val="bottom"/>
            <w:tcBorders>
              <w:right w:val="single" w:sz="8" w:color="CCEEFF"/>
            </w:tcBorders>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26,412</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$ 951</w:t>
            </w:r>
          </w:p>
        </w:tc>
        <w:tc>
          <w:tcPr>
            <w:tcW w:w="70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w w:val="94"/>
              </w:rPr>
              <w:t>March 31, 2010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7"/>
              </w:rPr>
              <w:t>December 31, 2009</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Technology and intellectual property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7,749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7,741</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Brands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Dealer network and customer relationships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Favorable contracts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amortizing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14,372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Non amortizing in-process research and development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16,062</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46"/>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 related to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Estimated Amortization</w:t>
            </w:r>
          </w:p>
        </w:tc>
      </w:tr>
      <w:tr>
        <w:trPr>
          <w:trHeight w:val="161"/>
        </w:trPr>
        <w:tc>
          <w:tcPr>
            <w:tcW w:w="10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Expense</w:t>
            </w:r>
          </w:p>
        </w:tc>
      </w:tr>
      <w:tr>
        <w:trPr>
          <w:trHeight w:val="210"/>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2011</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VIEs that we do not control through a majority voting interest that are consolidated because we are or Old GM was the primary beneficiary primarily include:</w:t>
      </w:r>
    </w:p>
    <w:p>
      <w:pPr>
        <w:spacing w:after="0" w:line="38" w:lineRule="exact"/>
        <w:rPr>
          <w:sz w:val="20"/>
          <w:szCs w:val="20"/>
          <w:color w:val="auto"/>
        </w:rPr>
      </w:pPr>
    </w:p>
    <w:p>
      <w:pPr>
        <w:ind w:right="60" w:firstLine="8"/>
        <w:spacing w:after="0" w:line="290"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divested suppliers for which we provide or Old GM provided guarantees or financial support; (2) a program announced by the UST in March 2009 to provide financial assistance to automotive suppliers (Receivables Program); (3) vehicle sales and marketing joint ventures that manufacture, market and sell vehicles in certain markets; (4) leasing SPEs which held real estate assets and related liabilities for which Old GM provided residual guarantees; and (5) an entity which manages certain private equity investments held by our and Old GM’s defined benefit plans, along with six associated general partner entities. Certain creditors and beneficial interest holders of these VIEs have or had limited, insignificant recourse to our general credit or Old GM’s general credit, as a result of which we or Old GM could be held liable for certain of the VIEs’ obligations. GM Daewoo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Auto &amp; Technology Co. (GM Daewoo), a non-wholly owned consolidated subsidiary that we control through a majority voting interest, is also a VIE because in the future it may require additional subordinated financial support. The creditors of GM Daewoo’s short-term debt of $1.3 billion, long-term debt of $740 million and current derivative liabilities of $339 million at March 31, 2010 do not have recourse to our general credit.</w:t>
      </w:r>
    </w:p>
    <w:p>
      <w:pPr>
        <w:spacing w:after="0" w:line="10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following table summarizes the carrying amount of consolidated VIE assets and liabilities for entities that we do not also control through a majority voting interest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Successor</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2010 (a)(b)</w:t>
            </w:r>
          </w:p>
        </w:tc>
        <w:tc>
          <w:tcPr>
            <w:tcW w:w="102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5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Short-term debt and current portion of long-term debt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liabilities and deferred income taxes</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exclude GM Daewoo.</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at March 31, 2010 reflect the effect of our adoption of amendments to ASC 810-10 in January 2010, which resulted in the consolidation of GM Egypt. At March 31, 2010 GM Egypt had Total assets of $327 million and Total liabilities of $246 million.</w:t>
      </w:r>
    </w:p>
    <w:p>
      <w:pPr>
        <w:spacing w:after="0" w:line="132"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for entities that we do not also control through a majority voting interest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Borders>
              <w:right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79"/>
              </w:rPr>
              <w:t>Successor</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116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Borders>
              <w:right w:val="single" w:sz="8" w:color="auto"/>
            </w:tcBorders>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 (a)(b)</w:t>
            </w:r>
          </w:p>
        </w:tc>
        <w:tc>
          <w:tcPr>
            <w:tcW w:w="880" w:type="dxa"/>
            <w:vAlign w:val="bottom"/>
            <w:tcBorders>
              <w:right w:val="single" w:sz="8" w:color="auto"/>
            </w:tcBorders>
            <w:gridSpan w:val="2"/>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4"/>
                <w:szCs w:val="14"/>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Pr>
          <w:p>
            <w:pPr>
              <w:spacing w:after="0"/>
              <w:rPr>
                <w:sz w:val="18"/>
                <w:szCs w:val="18"/>
                <w:color w:val="auto"/>
              </w:rPr>
            </w:pPr>
          </w:p>
        </w:tc>
        <w:tc>
          <w:tcPr>
            <w:tcW w:w="1980" w:type="dxa"/>
            <w:vAlign w:val="bottom"/>
            <w:tcBorders>
              <w:right w:val="single" w:sz="8" w:color="auto"/>
            </w:tcBorders>
            <w:gridSpan w:val="3"/>
          </w:tcPr>
          <w:p>
            <w:pPr>
              <w:jc w:val="right"/>
              <w:ind w:right="8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Amounts exclude GM Daewoo.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1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recorded in the three months ended March 31, 2010 reflect our adoption of amendments to ASC 810-10 in January 2010, which resulted in the consolidation of GM Egypt. In the three months ended March 31, 2010 GM Egypt recorded Net sales and revenue of $162 million.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Motors Egypt</w:t>
      </w:r>
    </w:p>
    <w:p>
      <w:pPr>
        <w:spacing w:after="0" w:line="171"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GM Egypt is a 31% owned automotive manufacturing organization that was previously accounted for using the equity method. GM Egypt was founded in March 1983 to assemble and manufacture vehicles in Egypt. Certain voting and other rights permit us to direct those activities of GM Egypt that most significantly affect its economic performance. In connection with our adoption of amendments to ASC 810-10, we consolidated GM Egypt in January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Receivables Program</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determined that the Receivables Program was a VIE and that we are the primary beneficiary.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VIEs that are not consolidated because we are not or Old GM was not the primary beneficiary primarily include: (1) troubled suppliers for which we provide or Old GM provided guarantees or financial support; (2) vehicle sales and marketing joint ventures that manufacture, market and sell vehicles and related services; (3) leasing entities for which residual value guarantees are made; (4) certain research entities for which annual ongoing funding requirements exist; and (5) GMAC.</w:t>
      </w:r>
    </w:p>
    <w:p>
      <w:pPr>
        <w:spacing w:after="0" w:line="143" w:lineRule="exact"/>
        <w:rPr>
          <w:sz w:val="20"/>
          <w:szCs w:val="20"/>
          <w:color w:val="auto"/>
        </w:rPr>
      </w:pPr>
    </w:p>
    <w:p>
      <w:pPr>
        <w:ind w:right="180" w:firstLine="228"/>
        <w:spacing w:after="0" w:line="303" w:lineRule="auto"/>
        <w:rPr>
          <w:sz w:val="20"/>
          <w:szCs w:val="20"/>
          <w:color w:val="auto"/>
        </w:rPr>
      </w:pPr>
      <w:r>
        <w:rPr>
          <w:rFonts w:ascii="Arial" w:cs="Arial" w:eastAsia="Arial" w:hAnsi="Arial"/>
          <w:sz w:val="15"/>
          <w:szCs w:val="15"/>
          <w:color w:val="auto"/>
        </w:rPr>
        <w:t>Guarantees and financial support are provided to certain current or previously divested suppliers in order to ensure that supply needs for production are not disrupted due to a supplier’s liquidity concerns or possible shutdowns. Types of financial support that we provide and Old GM provided include, but are not limited to: (1) funding in the form of a loan; (2) guarantees of the supplier’s debt or credit facilities; (3) one-time payments to fund prior losses of the supplier;</w:t>
      </w:r>
    </w:p>
    <w:p>
      <w:pPr>
        <w:spacing w:after="0" w:line="1" w:lineRule="exact"/>
        <w:rPr>
          <w:sz w:val="20"/>
          <w:szCs w:val="20"/>
          <w:color w:val="auto"/>
        </w:rPr>
      </w:pPr>
    </w:p>
    <w:p>
      <w:pPr>
        <w:jc w:val="both"/>
        <w:ind w:right="40" w:firstLine="8"/>
        <w:spacing w:after="0" w:line="302"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indemnification agreements to fund the suppliers’ future losses or obligations; (5) agreements to provide additional funding or liquidity to the supplier in the form of price increases or change in payment terms; and (6) assisting the supplier in finding additional investors. The maximum exposure to loss related to these VIEs is not expected to be in excess of the amount of accounts and notes receivable recorded with the suppliers and any related guarantees.</w:t>
      </w:r>
    </w:p>
    <w:p>
      <w:pPr>
        <w:spacing w:after="0" w:line="10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We have and Old GM had investments in joint ventures that manufacture, market and sell vehicles in certain markets. These joint ventures are typically self-funded and financed with no contractual terms that require future financial support to be provided by us. However, future funding is required for HKJV, as subsequently discussed. The maximum exposure to loss is not expected to be in excess of the carrying amount of the investments recorded in Equity in net assets of nonconsolidated affiliates.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contractual exposure to loss, excluding GMAC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Successor</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March 31, 2010</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December 31, 2009</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60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w w:val="81"/>
              </w:rPr>
              <w:t>to Loss (a)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w w:val="83"/>
              </w:rPr>
              <w:t>to Loss (b)</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367</w:t>
            </w:r>
          </w:p>
        </w:tc>
        <w:tc>
          <w:tcPr>
            <w:tcW w:w="6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w w:val="99"/>
              </w:rPr>
              <w:t>(46)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52"/>
              <w:spacing w:after="0"/>
              <w:rPr>
                <w:sz w:val="20"/>
                <w:szCs w:val="20"/>
                <w:color w:val="auto"/>
              </w:rPr>
            </w:pPr>
            <w:r>
              <w:rPr>
                <w:rFonts w:ascii="Arial" w:cs="Arial" w:eastAsia="Arial" w:hAnsi="Arial"/>
                <w:sz w:val="18"/>
                <w:szCs w:val="18"/>
                <w:color w:val="auto"/>
                <w:w w:val="99"/>
              </w:rPr>
              <w:t>(35)</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Residual value guarantees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commitments (c)</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guarantees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liquidity arrangements (d)</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gridSpan w:val="3"/>
          </w:tcPr>
          <w:p>
            <w:pPr>
              <w:spacing w:after="0"/>
              <w:rPr>
                <w:sz w:val="20"/>
                <w:szCs w:val="20"/>
                <w:color w:val="auto"/>
              </w:rPr>
            </w:pPr>
            <w:r>
              <w:rPr>
                <w:rFonts w:ascii="Arial" w:cs="Arial" w:eastAsia="Arial" w:hAnsi="Arial"/>
                <w:sz w:val="18"/>
                <w:szCs w:val="18"/>
                <w:color w:val="auto"/>
              </w:rPr>
              <w:t>Total guarantees and liquidity arrangements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359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at March 31, 2010 included $136 million related to troubled suppliers.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at December 31, 2009 included $139 million related to troubled suppliers.</w:t>
      </w:r>
    </w:p>
    <w:p>
      <w:pPr>
        <w:spacing w:after="0" w:line="9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at March 31, 2010 and December 31, 2009 included second lien term facility provided to American Axle and Manufacturing Holdings, Inc. (American Axle) of $100 million and other loan commitments of $15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at March 31, 2010 included our future capital funding commitment and other amounts related to HKJV of $223 million.</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American Axle</w:t>
      </w:r>
    </w:p>
    <w:p>
      <w:pPr>
        <w:spacing w:after="0" w:line="171"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September 2009 we paid $110 million to American Axle, a former subsidiary and current supplier, to settle and modify existing commercial arrangements and acquire warrants to purchase 4 million shares of American Axle’s common stock. This payment was made in response to the liquidity needs of American Axle and our desire to modify the terms of our ongoing commercial arrangement. Under the new agreement, we also provided American Axle with a second lien term loan facility of up to $100 million. Additional warrants will be granted if amounts are drawn on the second lien term loan facility.</w:t>
      </w:r>
    </w:p>
    <w:p>
      <w:pPr>
        <w:spacing w:after="0" w:line="11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As a result of these transactions, we concluded that American Axle was a VIE for which we were not the primary beneficiary. This conclusion did not change upon our adoption of amendments to ASC 810-10 in January 2010 because we lack the power through voting or similar rights to direct those activities of American Axle that most significantly affect its economic performance. Our variable interests in American Axle include the warrants we received and the second lien term loan facility, which exposes us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possible future losses depending on the financial performance of American Axle. At March 31, 2010 no amounts were outstanding under the second lien term loan. At March 31, 2010 our maximum contractual exposure to loss related to American Axle was $133 million, which represented the fair value of the warrants of $33 million recorded in Non-current assets and the potential exposure of $100 million related to the second lien term loan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GMAC</w:t>
      </w:r>
    </w:p>
    <w:p>
      <w:pPr>
        <w:spacing w:after="0" w:line="171"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We own 16.6% of GMAC’s common stock and preferred stock with a liquidation preference of $1.0 billion. We have previously determined that GMAC is a VIE as it does not have sufficient equity at risk, however we are not the primary beneficiary. This conclusion did not change upon our adoption of amendments to ASC 810-10 in January 2010 because we lack the power through voting or similar rights to direct those activities of GMAC that most significantly affect its economic performance. Refer to Notes 6 and 22 for additional information on our investment in GMAC, our significant agreements with GMAC and our maximum exposure under those agreements.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Saab</w:t>
      </w:r>
    </w:p>
    <w:p>
      <w:pPr>
        <w:spacing w:after="0" w:line="171"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February 2010 we completed the sale of Saab to Spyker Cars NV. Our primary variable interest in Saab is the preference shares that we received in connection with the sale, which have a face value of $326 million and were recorded at an estimated fair value that is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At March 31, 2010 our maximum exposure to loss related to Saab was $70 million. Refer to Note 4 for additional information on the sale of Saab.</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HKJV</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December 2009 we established the HKJV operating joint venture to invest in automotive projects outside of China, initially focusing on markets in India. HKJV purchased our India Operations in February 2010. We determined that HKJV is a VIE because it will require additional subordinated financial support, and we determined that we are not the primary beneficiary because we share the power with SAIC-HK to direct those activities that most significantly affect HKJV’s economic performance. We recorded a liability of $123 million for our future capital funding commitment to HKJV and we have a contingent future funding requirement of up to $223 million should certain conditions be met. Refer to Note 4 for additional information regarding HKJV.</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Depreciation and Amortization</w:t>
      </w:r>
    </w:p>
    <w:p>
      <w:pPr>
        <w:spacing w:after="0" w:line="17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Cost of sales and Selling, general and administrative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plants and equipment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equipment on operating leases</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amortization and asset impairment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Old GM initiated restructuring plans prior to the 363 Sale to reduce the total number of powertrain, stamping and assembly plants and to eliminate certain brands and nameplates. As a result, Old GM recorded incremental depreciation and amortization on certain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assets as they were expected to be utilized over a shorter period of time than their previously estimated useful lives. We record incremental depreciation and amortization for changes in useful lives subsequent to the initial determination. Old GM recorded incremental depreciation and amortization of approximately $0.4 billion in the three months ended March 31,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Restricted Cash</w:t>
      </w:r>
    </w:p>
    <w:p>
      <w:pPr>
        <w:spacing w:after="0" w:line="177"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Cash subject to contractual restrictions and not readily available is classified as restricted cash. Funds held in the UST Credit Agreement (as subsequently defined in Note 12) and Canadian Health Care Trust (HCT) escrow accounts are invested in government securities and money market funds in accordance with the terms of the escrow agreements. The following table summarizes the components of restricted cash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72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UST Credit Agreement (a)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11,286</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12,475</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Health Care Trust (b)</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Receivables Program (c)</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Securitization trusts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Pre-funding disbursements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Total current restricted cash</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12,741</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13,917</w:t>
            </w:r>
          </w:p>
        </w:tc>
      </w:tr>
      <w:tr>
        <w:trPr>
          <w:trHeight w:val="218"/>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(e)</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Collateral for insurance related activities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(d)</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14,062</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15,406</w:t>
            </w: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29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March 2010 we made payments of $1.0 billion and $194 million on the UST Loans (as subsequently defined in Note 12) and Canadian Loan (as subsequently defined in Note 12). Upon making such payments, equivalent amounts were released to us from escrow. At March 31, 2010 per the terms of the UST Credit Agreement, funds were held in escrow and were to be released to us from escrow at our request if certain conditions were met. In April 2010 the UST Loans and Canadian Loan were paid in full and funds remaining in escrow were no longer subject to restrictions. Refer to Notes 12 and 25 for additional information on the UST Credit Agreement.</w:t>
      </w:r>
    </w:p>
    <w:p>
      <w:pPr>
        <w:spacing w:after="0" w:line="3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terms of an escrow agreement between General Motors of Canada Limited (GMCL), the EDC and an escrow agent, GMCL established a CAD $1.0 billion (equivalent to $893 million when entered into) escrow to fund certain of its healthcare obligations.</w:t>
      </w:r>
    </w:p>
    <w:p>
      <w:pPr>
        <w:spacing w:after="0" w:line="5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Receivables Program provided financial assistance to automotive suppliers by guaranteeing or purchasing certain receivables payable by us. In April 2010 the Receivable Program was terminated in accordance with its terms. Refer to Note 9 for additional information on the Receivables Program.</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amounts related to various letters of credit, deposits, escrows and other cash collateral requirements.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Non-current restricted cash is recorded in Other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Short-Term and Long-Term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72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UST Loans (a)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4,677</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Loan (a)</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Short-term debt — third parties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1,401</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 — related parties (b)</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debt and current portion of long-term debt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Long-Term</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VEBA Notes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color w:val="auto"/>
              </w:rPr>
              <w:t>Available under line of credit agreements (c)</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671</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 to Note 25 for details regarding the payment of the UST Loans and Canadian Loan.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Primarily dealer financing from GMAC for dealerships we own.</w:t>
      </w:r>
    </w:p>
    <w:p>
      <w:pPr>
        <w:spacing w:after="0" w:line="90" w:lineRule="exact"/>
        <w:rPr>
          <w:rFonts w:ascii="Arial" w:cs="Arial" w:eastAsia="Arial" w:hAnsi="Arial"/>
          <w:sz w:val="18"/>
          <w:szCs w:val="18"/>
          <w:color w:val="auto"/>
        </w:rPr>
      </w:pPr>
    </w:p>
    <w:p>
      <w:pPr>
        <w:ind w:left="460" w:right="9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Commitment fees are paid on credit facilities at rates negotiated in each agreement. Amounts paid and expensed for these commitment fees are insignificant.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Loans and VEBA Notes</w:t>
      </w:r>
    </w:p>
    <w:p>
      <w:pPr>
        <w:spacing w:after="0" w:line="17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As previously disclosed in our 2009 Form 10-K, Old GM received total proceeds of $19.4 billion from the UST under the UST Loan Agreement entered into on December 31, 2008. In connection with the Chapter 11 Proceedings, Old GM obtained additional funding of $33.3 billion from the UST and EDC under its DIP Facility. From these proceeds, $11.3 billion remained deposited in escrow at March 31, 2010.</w:t>
      </w:r>
    </w:p>
    <w:p>
      <w:pPr>
        <w:spacing w:after="0" w:line="140" w:lineRule="exact"/>
        <w:rPr>
          <w:sz w:val="20"/>
          <w:szCs w:val="20"/>
          <w:color w:val="auto"/>
        </w:rPr>
      </w:pPr>
    </w:p>
    <w:p>
      <w:pPr>
        <w:jc w:val="both"/>
        <w:ind w:right="480" w:firstLine="228"/>
        <w:spacing w:after="0" w:line="256" w:lineRule="auto"/>
        <w:rPr>
          <w:sz w:val="20"/>
          <w:szCs w:val="20"/>
          <w:color w:val="auto"/>
        </w:rPr>
      </w:pPr>
      <w:r>
        <w:rPr>
          <w:rFonts w:ascii="Arial" w:cs="Arial" w:eastAsia="Arial" w:hAnsi="Arial"/>
          <w:sz w:val="18"/>
          <w:szCs w:val="18"/>
          <w:color w:val="auto"/>
        </w:rPr>
        <w:t>On July 10, 2009 we entered into the UST Credit Agreement and assumed debt of $7.1 billion (UST Loans) maturing on July 10, 2015 which Old GM incurred under its DIP Facility. Immediately after entering into the UST Credit Agreement, we made a partial repayment due to the termination of the U.S. government sponsored warranty program, reducing the UST Loans principal balance to $6.7 billion. In December 2009 and March 2010 we made quarterly payments of $1.0 billion on the UST Loans.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connection with the 363 Sale, we entered into the VEBA Note Agreement and issued VEBA Notes of $2.5 billion to the UAW Retiree Medical Benefits Trust (New VEBA). The VEBA Notes have an implied interest rate of 9.0% per annum. The VEBA Notes and accrued interest are scheduled to be repaid in three equal installments of $1.4 billion on July 15 of 2013, 2015 and 2017.</w:t>
      </w:r>
    </w:p>
    <w:p>
      <w:pPr>
        <w:spacing w:after="0" w:line="140" w:lineRule="exact"/>
        <w:rPr>
          <w:sz w:val="20"/>
          <w:szCs w:val="20"/>
          <w:color w:val="auto"/>
        </w:rPr>
      </w:pPr>
    </w:p>
    <w:p>
      <w:pPr>
        <w:jc w:val="both"/>
        <w:ind w:right="140" w:firstLine="228"/>
        <w:spacing w:after="0" w:line="259" w:lineRule="auto"/>
        <w:rPr>
          <w:sz w:val="20"/>
          <w:szCs w:val="20"/>
          <w:color w:val="auto"/>
        </w:rPr>
      </w:pPr>
      <w:r>
        <w:rPr>
          <w:rFonts w:ascii="Arial" w:cs="Arial" w:eastAsia="Arial" w:hAnsi="Arial"/>
          <w:sz w:val="18"/>
          <w:szCs w:val="18"/>
          <w:color w:val="auto"/>
        </w:rPr>
        <w:t>The obligations under the UST Credit Agreement and the VEBA Note Agreement are secured by substantially all of our assets, subject to certain exceptions, including our equity interests in certain of our foreign subsidiaries, limited in most cases to 65% of the equity interests of the pledged foreign subsidiaries due to tax considerations.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on the UST Loans in the three months ended March 31, 2010 and the loans under the UST Loan Agreement (UST Loan Facility) in the three months ended March 31, 2009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7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7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0"/>
              </w:rPr>
              <w:t>March 31, 2010</w:t>
            </w:r>
          </w:p>
        </w:tc>
        <w:tc>
          <w:tcPr>
            <w:tcW w:w="5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2009</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Interest paid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376"/>
        </w:trPr>
        <w:tc>
          <w:tcPr>
            <w:tcW w:w="7560" w:type="dxa"/>
            <w:vAlign w:val="bottom"/>
          </w:tcPr>
          <w:p>
            <w:pPr>
              <w:ind w:left="240"/>
              <w:spacing w:after="0"/>
              <w:rPr>
                <w:sz w:val="20"/>
                <w:szCs w:val="20"/>
                <w:color w:val="auto"/>
              </w:rPr>
            </w:pPr>
            <w:r>
              <w:rPr>
                <w:rFonts w:ascii="Arial" w:cs="Arial" w:eastAsia="Arial" w:hAnsi="Arial"/>
                <w:sz w:val="18"/>
                <w:szCs w:val="18"/>
                <w:color w:val="auto"/>
              </w:rPr>
              <w:t>The following table summarizes interest expense on the VEBA Notes (dollars in millions):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7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7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7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2010</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Loan Agreement and EDC Loan Facility</w:t>
      </w:r>
    </w:p>
    <w:p>
      <w:pPr>
        <w:spacing w:after="0" w:line="17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As previously disclosed in our 2009 Form 10-K, on July 10, 2009 we entered into the Canadian Loan Agreement and assumed a CAD $1.5 billion (equivalent to $1.3 billion when entered into) term loan (Canadian Loan) maturing on July 10, 2015. In March 2010 and December 2009 we made quarterly payments of $194 million and $192 million on the Canadian Loan.</w:t>
      </w:r>
    </w:p>
    <w:p>
      <w:pPr>
        <w:spacing w:after="0" w:line="140"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on the Canadian Loan in the three months ended March 31, 2010 and the EDC Loan Facility in the three months ended March 31, 2009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700" w:type="dxa"/>
            <w:vAlign w:val="bottom"/>
            <w:tcBorders>
              <w:right w:val="single" w:sz="8" w:color="auto"/>
            </w:tcBorders>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Defaults and Covenant Violations</w:t>
      </w:r>
    </w:p>
    <w:p>
      <w:pPr>
        <w:spacing w:after="0" w:line="177"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Several of our loan facilities include clauses that may be breached by a change in control, a bankruptcy or failure to maintain certain financial metric limits. The Chapter 11 Proceedings and the change in control as a result of the 363 Sale triggered technical defaults in certain loans for which we have assumed the obligations. The total amount of the two loan facilities in technical default for these reasons at March 31, 2010 was $207 million. We continue to negotiate with the lenders to obtain waivers or reach settlements to cure these defaults. We have classified these loans as short-term debt at March 31, 2010.</w:t>
      </w:r>
    </w:p>
    <w:p>
      <w:pPr>
        <w:spacing w:after="0" w:line="113"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Two of our loan facilities had financial covenant violations at December 31, 2009 related to exceeding financial ratios limiting the amount of debt held by the subsidiaries. One of these violations was cured within the 30 day cure period through the combination of an equity injection and the capitalization of intercompany loans. A loan facility of $68 million related to our powertrain subsidiary in Italy remained in default at March 31, 2010. We obtained a waiver on this loan facility in May 2010.</w:t>
      </w:r>
    </w:p>
    <w:p>
      <w:pPr>
        <w:spacing w:after="0" w:line="143"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Covenants in our UST Credit Agreement, VEBA Note Agreement, Canadian Loan Agreement and other agreements required us to provide our annual consolidated financial statements by March 31, 2010. We received waivers deferring this requirement for the agreements with the UST, New VEBA and EDC. The April 7, 2010 filing of our 2009 Form 10-K and our Quarterly Report on Form 10-Q for the period ended September 30, 2009 satisfied these deferred requirements.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In March 2009 Old GM entered into an agreement to amend its $1.5 billion U.S. term loan. Because the terms of the amended U.S. term loan were substantially different than the original terms, primarily due to the revised borrowing rate, Old GM accounted for the amendment as a debt extinguishment. As a result, Old GM recorded the amended U.S. term loan at fair value and recorded a gain on the extinguishment of the original loan facility of $906 million in the three months ended March 31, 2009. The term loan was repaid in full in June 2009 in connection with the Chapter 11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Successor</w:t>
            </w:r>
          </w:p>
        </w:tc>
        <w:tc>
          <w:tcPr>
            <w:tcW w:w="960" w:type="dxa"/>
            <w:vAlign w:val="bottom"/>
            <w:tcBorders>
              <w:bottom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0"/>
              </w:rPr>
              <w:t>Predecessor</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1, 2009</w:t>
            </w:r>
          </w:p>
        </w:tc>
        <w:tc>
          <w:tcPr>
            <w:tcW w:w="2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right w:val="single" w:sz="8" w:color="auto"/>
            </w:tcBorders>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2010</w:t>
            </w:r>
          </w:p>
        </w:tc>
        <w:tc>
          <w:tcPr>
            <w:tcW w:w="440" w:type="dxa"/>
            <w:vAlign w:val="bottom"/>
          </w:tcPr>
          <w:p>
            <w:pPr>
              <w:spacing w:after="0"/>
              <w:rPr>
                <w:sz w:val="14"/>
                <w:szCs w:val="14"/>
                <w:color w:val="auto"/>
              </w:rPr>
            </w:pPr>
          </w:p>
        </w:tc>
        <w:tc>
          <w:tcPr>
            <w:tcW w:w="17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July 9, 2009</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2009</w:t>
            </w: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issued and assumed in period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1,598</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Adjustments to pre-existing warranties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Liability adjustment, net due to the deconsolidation of Saab (a)</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Effect of application of fresh-start reporting</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Ending balance including effect of application of fresh-start reporting</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August 2009 Saab met the criteria to be classified as held for sale and, as a result, Saab’s warranty liability was classified as held for sale at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components of pension and other postemployment benefits (OPEB) expense (income)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left="401"/>
              <w:spacing w:after="0"/>
              <w:rPr>
                <w:sz w:val="20"/>
                <w:szCs w:val="20"/>
                <w:color w:val="auto"/>
              </w:rPr>
            </w:pPr>
            <w:r>
              <w:rPr>
                <w:rFonts w:ascii="Arial" w:cs="Arial" w:eastAsia="Arial" w:hAnsi="Arial"/>
                <w:sz w:val="14"/>
                <w:szCs w:val="14"/>
                <w:b w:val="1"/>
                <w:bCs w:val="1"/>
                <w:color w:val="auto"/>
                <w:w w:val="87"/>
              </w:rPr>
              <w:t>U.S. Plans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U.S.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Non-U.S.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4"/>
              </w:rPr>
              <w:t>Pension Benefits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Benefits</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14"/>
                <w:szCs w:val="14"/>
                <w:color w:val="auto"/>
              </w:rPr>
            </w:pPr>
          </w:p>
        </w:tc>
      </w:tr>
      <w:tr>
        <w:trPr>
          <w:trHeight w:val="223"/>
        </w:trPr>
        <w:tc>
          <w:tcPr>
            <w:tcW w:w="3620" w:type="dxa"/>
            <w:vAlign w:val="bottom"/>
          </w:tcPr>
          <w:p>
            <w:pPr>
              <w:spacing w:after="0"/>
              <w:rPr>
                <w:sz w:val="19"/>
                <w:szCs w:val="19"/>
                <w:color w:val="auto"/>
              </w:rPr>
            </w:pPr>
          </w:p>
        </w:tc>
        <w:tc>
          <w:tcPr>
            <w:tcW w:w="94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1"/>
              </w:rPr>
              <w:t>Successor</w:t>
            </w:r>
          </w:p>
        </w:tc>
        <w:tc>
          <w:tcPr>
            <w:tcW w:w="140" w:type="dxa"/>
            <w:vAlign w:val="bottom"/>
          </w:tcPr>
          <w:p>
            <w:pPr>
              <w:spacing w:after="0"/>
              <w:rPr>
                <w:sz w:val="19"/>
                <w:szCs w:val="19"/>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80" w:type="dxa"/>
            <w:vAlign w:val="bottom"/>
          </w:tcPr>
          <w:p>
            <w:pPr>
              <w:spacing w:after="0"/>
              <w:rPr>
                <w:sz w:val="19"/>
                <w:szCs w:val="1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9"/>
                <w:szCs w:val="19"/>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0"/>
              </w:rPr>
              <w:t>Predecessor</w:t>
            </w:r>
          </w:p>
        </w:tc>
        <w:tc>
          <w:tcPr>
            <w:tcW w:w="960" w:type="dxa"/>
            <w:vAlign w:val="bottom"/>
            <w:tcBorders>
              <w:right w:val="single" w:sz="8" w:color="auto"/>
            </w:tcBorders>
            <w:gridSpan w:val="3"/>
          </w:tcPr>
          <w:p>
            <w:pPr>
              <w:jc w:val="center"/>
              <w:ind w:right="292"/>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9"/>
                <w:szCs w:val="19"/>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3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89"/>
              </w:rPr>
              <w:t>Three</w:t>
            </w:r>
          </w:p>
        </w:tc>
        <w:tc>
          <w:tcPr>
            <w:tcW w:w="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
              <w:spacing w:after="0" w:line="129" w:lineRule="exact"/>
              <w:rPr>
                <w:sz w:val="20"/>
                <w:szCs w:val="20"/>
                <w:color w:val="auto"/>
              </w:rPr>
            </w:pPr>
            <w:r>
              <w:rPr>
                <w:rFonts w:ascii="Arial" w:cs="Arial" w:eastAsia="Arial" w:hAnsi="Arial"/>
                <w:sz w:val="14"/>
                <w:szCs w:val="14"/>
                <w:b w:val="1"/>
                <w:bCs w:val="1"/>
                <w:color w:val="auto"/>
                <w:w w:val="89"/>
              </w:rPr>
              <w:t>Three</w:t>
            </w:r>
          </w:p>
        </w:tc>
        <w:tc>
          <w:tcPr>
            <w:tcW w:w="3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Three</w:t>
            </w:r>
          </w:p>
        </w:tc>
        <w:tc>
          <w:tcPr>
            <w:tcW w:w="3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1"/>
                <w:szCs w:val="11"/>
                <w:color w:val="auto"/>
              </w:rPr>
            </w:pPr>
          </w:p>
        </w:tc>
      </w:tr>
      <w:tr>
        <w:trPr>
          <w:trHeight w:val="149"/>
        </w:trPr>
        <w:tc>
          <w:tcPr>
            <w:tcW w:w="3620" w:type="dxa"/>
            <w:vAlign w:val="bottom"/>
          </w:tcPr>
          <w:p>
            <w:pPr>
              <w:spacing w:after="0"/>
              <w:rPr>
                <w:sz w:val="12"/>
                <w:szCs w:val="12"/>
                <w:color w:val="auto"/>
              </w:rPr>
            </w:pPr>
          </w:p>
        </w:tc>
        <w:tc>
          <w:tcPr>
            <w:tcW w:w="940" w:type="dxa"/>
            <w:vAlign w:val="bottom"/>
            <w:tcBorders>
              <w:right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960" w:type="dxa"/>
            <w:vAlign w:val="bottom"/>
            <w:tcBorders>
              <w:right w:val="single" w:sz="8" w:color="auto"/>
            </w:tcBorders>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960" w:type="dxa"/>
            <w:vAlign w:val="bottom"/>
            <w:tcBorders>
              <w:right w:val="single" w:sz="8" w:color="auto"/>
            </w:tcBorders>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right w:val="single" w:sz="8" w:color="auto"/>
            </w:tcBorders>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620" w:type="dxa"/>
            <w:vAlign w:val="bottom"/>
          </w:tcPr>
          <w:p>
            <w:pPr>
              <w:spacing w:after="0"/>
              <w:rPr>
                <w:sz w:val="12"/>
                <w:szCs w:val="12"/>
                <w:color w:val="auto"/>
              </w:rPr>
            </w:pPr>
          </w:p>
        </w:tc>
        <w:tc>
          <w:tcPr>
            <w:tcW w:w="940" w:type="dxa"/>
            <w:vAlign w:val="bottom"/>
            <w:tcBorders>
              <w:right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960" w:type="dxa"/>
            <w:vAlign w:val="bottom"/>
            <w:tcBorders>
              <w:right w:val="single" w:sz="8" w:color="auto"/>
            </w:tcBorders>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c>
          <w:tcPr>
            <w:tcW w:w="960" w:type="dxa"/>
            <w:vAlign w:val="bottom"/>
            <w:tcBorders>
              <w:right w:val="single" w:sz="8" w:color="auto"/>
            </w:tcBorders>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91"/>
              </w:rPr>
              <w:t>(1,638)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Net periodic pension and OPEB (income)</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Patient Protection and Affordable Care Act</w:t>
      </w:r>
    </w:p>
    <w:p>
      <w:pPr>
        <w:spacing w:after="0" w:line="171"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actuarially equivalent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2009</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Special Attrition Program</w:t>
      </w:r>
    </w:p>
    <w:p>
      <w:pPr>
        <w:spacing w:after="0" w:line="171"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In February 2009 Old GM announced the 2009 Special Attrition Program for eligible International Union, United Automobile, Aerospace and Agricultural Implement Workers of America (UAW)-represented employees, offering cash and other incentives for individuals who elected to retire or voluntarily terminate employment. In the three months ended March 31, 2009 7,000 employees accepted this program resulting in Old GM recording postemployment benefit charges of $296 million in Cost of sales. Old GM was not required to remeasure its U.S. hourly defined benefit pension plan in the three months ended March 31, 2009 due to the high proportion of retirement eligible employees accepting the 2009 Special Attrition Program. Refer to Note 19 for additional information on the postemployment benefit charges.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 Salaried Benefits Changes</w:t>
      </w:r>
    </w:p>
    <w:p>
      <w:pPr>
        <w:spacing w:after="0" w:line="171"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February 2009 Old GM reduced salaried retiree life insurance benefits for U.S. salaried employees. As a result of this plan amendment and the expectation that the corresponding reduction to operating expense would be significant, Old GM remeasured its U.S. salaried retiree life insurance plan effective February 2009, which reduced the plan’s accumulated postretirement benefit obligation (APBO) by $420 million. Old GM utilized a discount rate of 7.15% for this remeasurement as compared to the discount rate of 7.25% that was utilized at December 31,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77"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Foreign currency exchange risk, interest rate risk and commodity price risk are managed by using derivative instruments, typically including forward contracts, swaps and options, in accordance with our current and Old GM’s previous risk management policies. The objective of these risk management policies is to offset the gains and losses on the underlying exposures resulting from these risks with the related gains and losses on the derivatives used to hedge them. These risk management policies limit the use of derivative instruments to manage these risks and do not allow the use of derivative instruments for speculative purposes.</w:t>
      </w:r>
    </w:p>
    <w:p>
      <w:pPr>
        <w:spacing w:after="0" w:line="143"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A risk management control system is used to assist in monitoring the hedging program, derivative positions and hedging strategies. Hedging documentation includes hedging objectives, practices and procedures, and the related accounting treatment. Hedges that receive designated hedge accounting treatment are evaluated for effectiveness at the time they are designated as well as throughout the hedging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17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Derivative financial instruments contain an element of credit risk attributable to the counterparties’ ability to meet the terms of the agreements. The maximum amount of loss due to credit risk that we would incur if the counterparties to the derivative instruments failed completely to perform according to the terms of the contract was $172 million at March 31, 2010. Agreements are entered into with counterparties that allow the set-off of certain exposures in order to manage the risk. The total net derivative asset position for all counterparties with which we were in a net asset position at March 31, 2010 was $149 million.</w:t>
      </w:r>
    </w:p>
    <w:p>
      <w:pPr>
        <w:spacing w:after="0" w:line="11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Counterparty credit risk is managed and monitored by our Risk Management Committee, which establishes exposure limits by counterparty. At March 31, 2010 a majority of all counterparty exposures were with counterparties that were rated A or higher.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Related Contingent Features</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Agreements with counterparties to derivative instruments do not contain covenants requiring the maintenance of certain credit rating levels or credit risk ratios that would require the posting of collateral in the event that certain standards are violated or when a derivative instrument is in a liability position. No collateral was posted related to derivative instruments at March 31, 2010. We are currently in negotiations with counterparties to amend or enter into new derivative agreements that will likely require us to provide cash collateral for any net liability positions that we would have with these counterparties.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Hedge Accounting</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Our derivative instruments consist of nondesignated derivative contracts or economic hedges. At March 31, 2010 no outstanding derivative contracts were designated in hedging relationships. In the three months ended March 31, 2010 and 2009, we and Old GM accounted for changes in the fair value of all outstanding contracts by recording the gains and losses in earnings.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We are and Old GM was exposed to certain foreign currency exchange risks associated with buying and selling automotive parts and vehicles and foreign currency exposure to long-term debt. We partially manage these risks through the use of nondesignated derivative instruments that we acquired from Old GM. At March 31, 2010 we did not have any financial instruments designated as cash flow hedges for accounting purposes.</w:t>
      </w:r>
    </w:p>
    <w:p>
      <w:pPr>
        <w:spacing w:after="0" w:line="10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Subsequent to the 363 Sale, our ability to manage risks using derivative financial instruments was severely limited as most derivative counterparties were unwilling to enter into forward or swap transactions with us. At the present time, our ability to enter into derivative contracts remains limited as we are currently in negotiations with counterparties for new agreements and credit terms that will enable us to enter into forward contracts or swaps. In December 2009 we began purchasing commodity and foreign currency exchange options to manage these exposures. These nondesignated derivatives have original expiration terms of up to 13 months.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Old GM previously designated certain financial instruments as cash flow hedges to manage its exposure to certain foreign currency exchange risks. For foreign currency transactions, Old GM typically hedged forecasted exposures for up to three years in the future. For foreign currency exposure on long-term debt, Old GM typically hedged exposures for the life of the debt.</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For derivatives that were previously designated as qualifying cash flow hedges, the effective portion of the unrealized and realized gains and losses resulting from changes in fair value were recorded as a component of Accumulated other comprehensive income (loss). Subsequently, those cumulative gains and losses were reclassified to earnings contemporaneously with and to the same line item as the earnings effects of the hedged item. However, if it became probable that the forecasted transaction would not occur, the cumulative change in the fair value of the derivative recorded in Accumulated other comprehensive income (loss) was reclassified in earnings immediately.</w:t>
      </w:r>
    </w:p>
    <w:p>
      <w:pPr>
        <w:spacing w:after="0" w:line="143"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following table summarizes total activity in Accumulated other comprehensive income (loss) associated with cash flow hedges, primarily related to the release of previously deferred cash flow hedge gains and losses from Accumulated other comprehensive income (loss) into earnings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104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10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104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2009</w:t>
            </w: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Contracts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2"/>
        </w:trPr>
        <w:tc>
          <w:tcPr>
            <w:tcW w:w="10400" w:type="dxa"/>
            <w:vAlign w:val="bottom"/>
          </w:tcPr>
          <w:p>
            <w:pPr>
              <w:spacing w:after="0"/>
              <w:rPr>
                <w:sz w:val="20"/>
                <w:szCs w:val="20"/>
                <w:color w:val="auto"/>
              </w:rPr>
            </w:pPr>
            <w:r>
              <w:rPr>
                <w:rFonts w:ascii="Arial" w:cs="Arial" w:eastAsia="Arial" w:hAnsi="Arial"/>
                <w:sz w:val="18"/>
                <w:szCs w:val="18"/>
                <w:color w:val="auto"/>
              </w:rPr>
              <w:t>Total gains (losses) reclassified from accumulated other comprehensive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The following table summarizes gains and (losses) that were reclassified from Accumulated other comprehensive income (loss) for cash flow hedges associated with these previously forecasted transactions that subsequently became probable not to occur (dollars in millions):</w:t>
      </w:r>
    </w:p>
    <w:p>
      <w:pPr>
        <w:spacing w:after="0" w:line="121" w:lineRule="exact"/>
        <w:rPr>
          <w:sz w:val="20"/>
          <w:szCs w:val="20"/>
          <w:color w:val="auto"/>
        </w:rPr>
      </w:pPr>
    </w:p>
    <w:p>
      <w:pPr>
        <w:ind w:left="10520"/>
        <w:spacing w:after="0"/>
        <w:rPr>
          <w:sz w:val="20"/>
          <w:szCs w:val="20"/>
          <w:color w:val="auto"/>
        </w:rPr>
      </w:pPr>
      <w:r>
        <w:rPr>
          <w:rFonts w:ascii="Arial" w:cs="Arial" w:eastAsia="Arial" w:hAnsi="Arial"/>
          <w:sz w:val="14"/>
          <w:szCs w:val="14"/>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0</wp:posOffset>
            </wp:positionV>
            <wp:extent cx="5746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10460"/>
        <w:spacing w:after="0"/>
        <w:rPr>
          <w:sz w:val="20"/>
          <w:szCs w:val="20"/>
          <w:color w:val="auto"/>
        </w:rPr>
      </w:pPr>
      <w:r>
        <w:rPr>
          <w:rFonts w:ascii="Arial" w:cs="Arial" w:eastAsia="Arial" w:hAnsi="Arial"/>
          <w:sz w:val="14"/>
          <w:szCs w:val="14"/>
          <w:b w:val="1"/>
          <w:bCs w:val="1"/>
          <w:color w:val="auto"/>
        </w:rPr>
        <w:t>Three Months</w:t>
      </w:r>
    </w:p>
    <w:p>
      <w:pPr>
        <w:ind w:left="10660"/>
        <w:spacing w:after="0" w:line="221" w:lineRule="auto"/>
        <w:rPr>
          <w:sz w:val="20"/>
          <w:szCs w:val="20"/>
          <w:color w:val="auto"/>
        </w:rPr>
      </w:pPr>
      <w:r>
        <w:rPr>
          <w:rFonts w:ascii="Arial" w:cs="Arial" w:eastAsia="Arial" w:hAnsi="Arial"/>
          <w:sz w:val="14"/>
          <w:szCs w:val="14"/>
          <w:b w:val="1"/>
          <w:bCs w:val="1"/>
          <w:color w:val="auto"/>
        </w:rPr>
        <w:t>Ended</w:t>
      </w:r>
    </w:p>
    <w:p>
      <w:pPr>
        <w:ind w:left="10420"/>
        <w:spacing w:after="0"/>
        <w:rPr>
          <w:sz w:val="20"/>
          <w:szCs w:val="20"/>
          <w:color w:val="auto"/>
        </w:rPr>
      </w:pPr>
      <w:r>
        <w:rPr>
          <w:rFonts w:ascii="Arial" w:cs="Arial" w:eastAsia="Arial" w:hAnsi="Arial"/>
          <w:sz w:val="14"/>
          <w:szCs w:val="14"/>
          <w:b w:val="1"/>
          <w:bCs w:val="1"/>
          <w:u w:val="single" w:color="auto"/>
          <w:color w:val="auto"/>
        </w:rPr>
        <w:t>March 31, 2009</w:t>
      </w:r>
    </w:p>
    <w:p>
      <w:pPr>
        <w:spacing w:after="0"/>
        <w:tabs>
          <w:tab w:leader="none" w:pos="10380" w:val="left"/>
          <w:tab w:leader="none" w:pos="10980" w:val="left"/>
        </w:tabs>
        <w:rPr>
          <w:sz w:val="20"/>
          <w:szCs w:val="20"/>
          <w:color w:val="auto"/>
        </w:rPr>
      </w:pPr>
      <w:r>
        <w:rPr>
          <w:rFonts w:ascii="Arial" w:cs="Arial" w:eastAsia="Arial" w:hAnsi="Arial"/>
          <w:sz w:val="18"/>
          <w:szCs w:val="18"/>
          <w:color w:val="auto"/>
        </w:rPr>
        <w:t>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3"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In connection with our investment in New Delphi, which we account for using the equity method, we record our share of New Delphi’s Other comprehensive income (loss) in Accumulated other comprehensive income (loss). In the three months ended March 31, 2010 we recorded a cash flow hedge gain of $14 million related to New Delphi’s derivatives.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are and Old GM was subject to market risk from exposures to changes in interest rates that affect the fair value of long-term, fixed rate debt. At March 31, 2010 we did not have any financial instruments designated as fair value hedges to manage this risk.</w:t>
      </w:r>
    </w:p>
    <w:p>
      <w:pPr>
        <w:spacing w:after="0" w:line="132"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Old GM previously used interest rate swaps designated as fair value hedges to manage certain of its exposures associated with these borrowings. Old GM hedged its exposures to the maturity date of the underlying interest rate exposure.</w:t>
      </w:r>
    </w:p>
    <w:p>
      <w:pPr>
        <w:spacing w:after="0" w:line="132"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Gains and losses on derivatives designated and qualifying as fair value hedges, as well as the offsetting gains and losses on the debt attributable to the hedged interest rate risk, were recorded in Interest expense to the extent the hedge was effective. The gains and losses related to the hedged interest rate risk were recorded as an adjustment to the carrying amount of the debt. Previously recorded adjustments to the carrying amount of the debt were amortized to Interest expense over the remaining debt term. In the three months ended March 31, 2009 Old GM amortized previously deferred fair value hedge gains and losses of $2 million to Interest expense.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are and Old GM was subject to foreign currency exposure related to net investments in certain foreign operations. At March 31, 2010 we did not have any hedges of a net investment in a foreign operation.</w:t>
      </w:r>
    </w:p>
    <w:p>
      <w:pPr>
        <w:spacing w:after="0" w:line="132"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Old GM previously used foreign currency denominated debt to hedge this foreign currency exposure. For nonderivative instruments that were designated as, and qualified as, a hedge of a net investment in a foreign operation, the effective portion of the unrealized and realized gains and losses were recorded as a Foreign currency translation adjustment in Accumulated other comprehensive income (loss). At March 31, 2009 Old GM had outstanding Euro denominated debt of $2.0 billion that qualified as a foreign currency net investment hedge.</w:t>
      </w:r>
    </w:p>
    <w:p>
      <w:pPr>
        <w:spacing w:after="0" w:line="143"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following table summarizes the gains and (losses) related to net investment hedges recorded as a Foreign currency translation adjustment in Accumulated other comprehensive income (loss) (dollars in millions):</w:t>
      </w:r>
    </w:p>
    <w:p>
      <w:pPr>
        <w:spacing w:after="0" w:line="168" w:lineRule="exact"/>
        <w:rPr>
          <w:sz w:val="20"/>
          <w:szCs w:val="20"/>
          <w:color w:val="auto"/>
        </w:rPr>
      </w:pPr>
    </w:p>
    <w:p>
      <w:pPr>
        <w:ind w:left="10620"/>
        <w:spacing w:after="0"/>
        <w:rPr>
          <w:sz w:val="20"/>
          <w:szCs w:val="20"/>
          <w:color w:val="auto"/>
        </w:rPr>
      </w:pPr>
      <w:r>
        <w:rPr>
          <w:rFonts w:ascii="Arial" w:cs="Arial" w:eastAsia="Arial" w:hAnsi="Arial"/>
          <w:sz w:val="12"/>
          <w:szCs w:val="12"/>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14605</wp:posOffset>
            </wp:positionV>
            <wp:extent cx="5746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6" w:lineRule="exact"/>
        <w:rPr>
          <w:sz w:val="20"/>
          <w:szCs w:val="20"/>
          <w:color w:val="auto"/>
        </w:rPr>
      </w:pPr>
    </w:p>
    <w:p>
      <w:pPr>
        <w:ind w:left="10560"/>
        <w:spacing w:after="0"/>
        <w:rPr>
          <w:sz w:val="20"/>
          <w:szCs w:val="20"/>
          <w:color w:val="auto"/>
        </w:rPr>
      </w:pPr>
      <w:r>
        <w:rPr>
          <w:rFonts w:ascii="Arial" w:cs="Arial" w:eastAsia="Arial" w:hAnsi="Arial"/>
          <w:sz w:val="12"/>
          <w:szCs w:val="12"/>
          <w:b w:val="1"/>
          <w:bCs w:val="1"/>
          <w:color w:val="auto"/>
        </w:rPr>
        <w:t>Three Months</w:t>
      </w:r>
    </w:p>
    <w:p>
      <w:pPr>
        <w:ind w:left="10760"/>
        <w:spacing w:after="0"/>
        <w:rPr>
          <w:sz w:val="20"/>
          <w:szCs w:val="20"/>
          <w:color w:val="auto"/>
        </w:rPr>
      </w:pPr>
      <w:r>
        <w:rPr>
          <w:rFonts w:ascii="Arial" w:cs="Arial" w:eastAsia="Arial" w:hAnsi="Arial"/>
          <w:sz w:val="14"/>
          <w:szCs w:val="14"/>
          <w:b w:val="1"/>
          <w:bCs w:val="1"/>
          <w:color w:val="auto"/>
        </w:rPr>
        <w:t>Ended</w:t>
      </w:r>
    </w:p>
    <w:p>
      <w:pPr>
        <w:ind w:left="10520"/>
        <w:spacing w:after="0"/>
        <w:rPr>
          <w:sz w:val="20"/>
          <w:szCs w:val="20"/>
          <w:color w:val="auto"/>
        </w:rPr>
      </w:pPr>
      <w:r>
        <w:rPr>
          <w:rFonts w:ascii="Arial" w:cs="Arial" w:eastAsia="Arial" w:hAnsi="Arial"/>
          <w:sz w:val="12"/>
          <w:szCs w:val="12"/>
          <w:b w:val="1"/>
          <w:bCs w:val="1"/>
          <w:u w:val="single" w:color="auto"/>
          <w:color w:val="auto"/>
        </w:rPr>
        <w:t>March 31, 2009</w:t>
      </w:r>
    </w:p>
    <w:p>
      <w:pPr>
        <w:spacing w:after="0" w:line="22" w:lineRule="exact"/>
        <w:rPr>
          <w:sz w:val="20"/>
          <w:szCs w:val="20"/>
          <w:color w:val="auto"/>
        </w:rPr>
      </w:pPr>
    </w:p>
    <w:p>
      <w:pPr>
        <w:spacing w:after="0"/>
        <w:tabs>
          <w:tab w:leader="none" w:pos="10500" w:val="left"/>
          <w:tab w:leader="none" w:pos="11140" w:val="left"/>
        </w:tabs>
        <w:rPr>
          <w:sz w:val="20"/>
          <w:szCs w:val="20"/>
          <w:color w:val="auto"/>
        </w:rPr>
      </w:pPr>
      <w:r>
        <w:rPr>
          <w:rFonts w:ascii="Arial" w:cs="Arial" w:eastAsia="Arial" w:hAnsi="Arial"/>
          <w:sz w:val="18"/>
          <w:szCs w:val="18"/>
          <w:color w:val="auto"/>
        </w:rPr>
        <w:t>Effective portion of net investment hedge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for Hedge Accounting</w:t>
      </w:r>
    </w:p>
    <w:p>
      <w:pPr>
        <w:spacing w:after="0" w:line="17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Derivatives not designated in a hedging relationship, such as forward contracts, swaps, and options, are used to economically hedge certain risk exposures. Unrealized and realized gains and losses related to all of our nondesignated derivative hedges, regardless of type of exposure, are recorded in Interest income and other non-operating income, net.</w:t>
      </w:r>
    </w:p>
    <w:p>
      <w:pPr>
        <w:spacing w:after="0" w:line="140"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Old GM previously entered into a variety of foreign currency exchange, interest rate and commodity forward contracts and options to maintain a desired level of exposure arising from market risks resulting from changes in foreign currency exchange rates, interest rates and certain commodity prices. Unrealized and realized gains and losses related to Old GM’s nondesignated derivative hedges were recorded in earnings based on the type of exposure, as subsequently discussed.</w:t>
      </w:r>
    </w:p>
    <w:p>
      <w:pPr>
        <w:spacing w:after="0" w:line="143"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When an exposure economically hedged with a derivative contract is no longer forecasted to occur, in some cases a new derivative instrument is entered into to offset the exposure related to the existing derivative instrument. In some cases, counterparties are unwilling to enter into offsetting derivative instruments and, as such, there is exposure to future changes in the fair value of these derivatives with no underlying exposure to offset this risk.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65" w:lineRule="auto"/>
        <w:rPr>
          <w:sz w:val="20"/>
          <w:szCs w:val="20"/>
          <w:color w:val="auto"/>
        </w:rPr>
      </w:pPr>
      <w:r>
        <w:rPr>
          <w:rFonts w:ascii="Arial" w:cs="Arial" w:eastAsia="Arial" w:hAnsi="Arial"/>
          <w:sz w:val="18"/>
          <w:szCs w:val="18"/>
          <w:color w:val="auto"/>
        </w:rPr>
        <w:t>The following table summarizes gains and (losses) recorded for nondesignated derivatives originally entered into to hedge exposures that subsequently became probable not to occur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46"/>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7"/>
              </w:rPr>
              <w:t>—</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Derivatives</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Certain raw materials, parts with significant commodity content, and energy comprising various commodities are purchased for use in production. Exposure to commodity price risk may be managed by entering into commodity derivative instruments such as forward and option contracts. We currently manage this exposure using commodity options. At March 31, 2010, we had not entered into any commodity forwards.</w:t>
      </w:r>
    </w:p>
    <w:p>
      <w:pPr>
        <w:spacing w:after="0" w:line="140"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Old GM hedged commodity price risk by entering into commodity forward and option contracts. Old GM recorded all commodity derivative gains and losses in Cost of sales.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nondesignated commodity derivative contracts (units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36"/>
              <w:spacing w:after="0"/>
              <w:rPr>
                <w:sz w:val="20"/>
                <w:szCs w:val="20"/>
                <w:color w:val="auto"/>
              </w:rPr>
            </w:pPr>
            <w:r>
              <w:rPr>
                <w:rFonts w:ascii="Arial" w:cs="Arial" w:eastAsia="Arial" w:hAnsi="Arial"/>
                <w:sz w:val="14"/>
                <w:szCs w:val="14"/>
                <w:b w:val="1"/>
                <w:bCs w:val="1"/>
                <w:color w:val="auto"/>
                <w:w w:val="76"/>
              </w:rPr>
              <w:t>Successor</w:t>
            </w:r>
          </w:p>
        </w:tc>
        <w:tc>
          <w:tcPr>
            <w:tcW w:w="5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Contract Notional</w:t>
            </w:r>
          </w:p>
        </w:tc>
        <w:tc>
          <w:tcPr>
            <w:tcW w:w="5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Contract Notional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Commodity</w:t>
            </w:r>
          </w:p>
        </w:tc>
        <w:tc>
          <w:tcPr>
            <w:tcW w:w="1820" w:type="dxa"/>
            <w:vAlign w:val="bottom"/>
          </w:tcPr>
          <w:p>
            <w:pPr>
              <w:spacing w:after="0"/>
              <w:rPr>
                <w:sz w:val="19"/>
                <w:szCs w:val="19"/>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 2009</w:t>
            </w:r>
          </w:p>
        </w:tc>
        <w:tc>
          <w:tcPr>
            <w:tcW w:w="5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Aluminum and aluminum alloy</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Metric tons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Copper</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Metric tons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Metric tons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Heating oil</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Gallons</w:t>
            </w:r>
          </w:p>
        </w:tc>
        <w:tc>
          <w:tcPr>
            <w:tcW w:w="900" w:type="dxa"/>
            <w:vAlign w:val="bottom"/>
          </w:tcPr>
          <w:p>
            <w:pPr>
              <w:jc w:val="right"/>
              <w:spacing w:after="0"/>
              <w:rPr>
                <w:sz w:val="20"/>
                <w:szCs w:val="20"/>
                <w:color w:val="auto"/>
              </w:rPr>
            </w:pPr>
            <w:r>
              <w:rPr>
                <w:rFonts w:ascii="Arial" w:cs="Arial" w:eastAsia="Arial" w:hAnsi="Arial"/>
                <w:sz w:val="18"/>
                <w:szCs w:val="18"/>
                <w:color w:val="auto"/>
              </w:rPr>
              <w:t>80,715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Megatherms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Natural gas</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MMBTU</w:t>
            </w:r>
          </w:p>
        </w:tc>
        <w:tc>
          <w:tcPr>
            <w:tcW w:w="900" w:type="dxa"/>
            <w:vAlign w:val="bottom"/>
          </w:tcPr>
          <w:p>
            <w:pPr>
              <w:jc w:val="right"/>
              <w:spacing w:after="0"/>
              <w:rPr>
                <w:sz w:val="20"/>
                <w:szCs w:val="20"/>
                <w:color w:val="auto"/>
              </w:rPr>
            </w:pPr>
            <w:r>
              <w:rPr>
                <w:rFonts w:ascii="Arial" w:cs="Arial" w:eastAsia="Arial" w:hAnsi="Arial"/>
                <w:sz w:val="18"/>
                <w:szCs w:val="18"/>
                <w:color w:val="auto"/>
              </w:rPr>
              <w:t>8,425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5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Gigajoules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Palladium</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Troy ounces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Platinum</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Troy ounces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Rhodium</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Troy ounces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Swap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we did not have any nondesignated interest rate swap derivatives.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Old GM previously used interest rate swap derivatives to economically hedge exposure to changes in the fair value of fixed rate debt. Gains and losses related to the changes in the fair value of these nondesignated derivatives were recorded in Interest expense.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exchange derivatives are used to economically hedge exposure to foreign currency exchange risks associated with: (1) forecasted foreign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currency denominated purchases and sales of vehicles and parts; and (2) variability in cash flows related to interest and principal payments on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denominated debt. At March 31, 2010 we partially managed foreign currency exchange risk through the use of foreign currency options and forward contracts.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total notional amounts of our nondesignated foreign currency exchange derivatives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680" w:type="dxa"/>
            <w:vAlign w:val="bottom"/>
            <w:tcBorders>
              <w:bottom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December 31, 2009</w:t>
            </w: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Nondesignated foreign currency exchange derivatives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5,027</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5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Old GM recorded gains and losses related to these foreign currency exchange derivatives in: (1) Sales for derivatives that economically hedged sales of parts and vehicles; (2) Cost of sales for derivatives that economically hedged purchases of parts and vehicles; and (3) Cost of sales for derivatives that economically hedged foreign currency risk related to foreign currency denominated debt.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In September 2009 in connection with an agreement with American Axle, we received warrants to purchase 4 million shares of American Axle common stock exercisable at $2.76 per share. The fair value of the warrants on the date of receipt was recorded as a Non-current asset. Gains and losses related to these warrants were recorded in Interest income and other non-operating income, net. At March 31, 2010 the fair value of these warrants was $33 million.</w:t>
      </w:r>
    </w:p>
    <w:p>
      <w:pPr>
        <w:spacing w:after="0" w:line="107" w:lineRule="exact"/>
        <w:rPr>
          <w:sz w:val="20"/>
          <w:szCs w:val="20"/>
          <w:color w:val="auto"/>
        </w:rPr>
      </w:pPr>
    </w:p>
    <w:p>
      <w:pPr>
        <w:jc w:val="both"/>
        <w:ind w:right="60" w:firstLine="228"/>
        <w:spacing w:after="0" w:line="268" w:lineRule="auto"/>
        <w:rPr>
          <w:sz w:val="20"/>
          <w:szCs w:val="20"/>
          <w:color w:val="auto"/>
        </w:rPr>
      </w:pPr>
      <w:r>
        <w:rPr>
          <w:rFonts w:ascii="Arial" w:cs="Arial" w:eastAsia="Arial" w:hAnsi="Arial"/>
          <w:sz w:val="18"/>
          <w:szCs w:val="18"/>
          <w:color w:val="auto"/>
        </w:rPr>
        <w:t>On July 10, 2009 in connection with the 363 Sale, we issued warrants to MLC and the New VEBA to acquire shares of our common stock. These warrants are classified in equity and indexed to our common stock.</w:t>
      </w:r>
    </w:p>
    <w:p>
      <w:pPr>
        <w:spacing w:after="0" w:line="132"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UST Loan Agreement, Old GM granted warrants to the UST for 122 million shares of its common stock exercisable at $3.57 per share. Old GM recorded the warrants as a liability and recorded gains and losses related to this derivative in Interest income and other non-operating income, net. At March 31, 2009 Old GM determined that the fair value of the warrants issued to the UST was $66 million. In connection with the 363 Sale, the UST returned the warrants and they were cancelled.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nondesignated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ind w:left="740"/>
              <w:spacing w:after="0" w:line="142" w:lineRule="exact"/>
              <w:rPr>
                <w:sz w:val="20"/>
                <w:szCs w:val="20"/>
                <w:color w:val="auto"/>
              </w:rPr>
            </w:pPr>
            <w:r>
              <w:rPr>
                <w:rFonts w:ascii="Arial" w:cs="Arial" w:eastAsia="Arial" w:hAnsi="Arial"/>
                <w:sz w:val="14"/>
                <w:szCs w:val="14"/>
                <w:b w:val="1"/>
                <w:bCs w:val="1"/>
                <w:color w:val="auto"/>
              </w:rPr>
              <w:t>March 31, 2010</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December 31, 2009</w:t>
            </w: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1"/>
                <w:szCs w:val="11"/>
                <w:color w:val="auto"/>
              </w:rPr>
            </w:pPr>
          </w:p>
        </w:tc>
        <w:tc>
          <w:tcPr>
            <w:tcW w:w="104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1"/>
                <w:szCs w:val="11"/>
                <w:color w:val="auto"/>
              </w:rPr>
            </w:pPr>
          </w:p>
        </w:tc>
        <w:tc>
          <w:tcPr>
            <w:tcW w:w="1040" w:type="dxa"/>
            <w:vAlign w:val="bottom"/>
            <w:gridSpan w:val="2"/>
          </w:tcPr>
          <w:p>
            <w:pPr>
              <w:jc w:val="right"/>
              <w:ind w:right="195"/>
              <w:spacing w:after="0" w:line="129" w:lineRule="exact"/>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8"/>
              </w:rPr>
              <w:t>Derivatives (a)(b)</w:t>
            </w:r>
          </w:p>
        </w:tc>
        <w:tc>
          <w:tcPr>
            <w:tcW w:w="7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88"/>
              </w:rPr>
              <w:t>Derivatives</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(c)(d)</w:t>
            </w:r>
          </w:p>
        </w:tc>
        <w:tc>
          <w:tcPr>
            <w:tcW w:w="7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8"/>
              </w:rPr>
              <w:t>Derivatives (a)(b)</w:t>
            </w:r>
          </w:p>
        </w:tc>
        <w:tc>
          <w:tcPr>
            <w:tcW w:w="7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(c)(d)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Total current portion</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7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 derivatives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portion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Other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Recorded in Accrued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Recorded in Other liabilities and deferred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schedule summarizes gains and (losses) recorded in earnings on nondesignated derivatives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Successor</w:t>
            </w:r>
          </w:p>
        </w:tc>
        <w:tc>
          <w:tcPr>
            <w:tcW w:w="2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7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w w:val="98"/>
              </w:rPr>
              <w:t>Ended</w:t>
            </w:r>
          </w:p>
        </w:tc>
        <w:tc>
          <w:tcPr>
            <w:tcW w:w="2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March 31, 2010</w:t>
            </w:r>
          </w:p>
        </w:tc>
        <w:tc>
          <w:tcPr>
            <w:tcW w:w="2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March 31, 2009</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Derivatives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 Derivatives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Derivative Contracts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Other Derivatives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Arial" w:cs="Arial" w:eastAsia="Arial" w:hAnsi="Arial"/>
                <w:sz w:val="18"/>
                <w:szCs w:val="18"/>
                <w:color w:val="auto"/>
              </w:rPr>
              <w:t>Total gains (losses) recorded in earnings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Note 16. Commitments and Contingencies</w:t>
            </w: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20" w:type="dxa"/>
            <w:vAlign w:val="bottom"/>
            <w:gridSpan w:val="4"/>
          </w:tcPr>
          <w:p>
            <w:pPr>
              <w:ind w:left="240"/>
              <w:spacing w:after="0"/>
              <w:rPr>
                <w:sz w:val="20"/>
                <w:szCs w:val="20"/>
                <w:color w:val="auto"/>
              </w:rPr>
            </w:pPr>
            <w:r>
              <w:rPr>
                <w:rFonts w:ascii="Arial" w:cs="Arial" w:eastAsia="Arial" w:hAnsi="Arial"/>
                <w:sz w:val="18"/>
                <w:szCs w:val="18"/>
                <w:color w:val="auto"/>
                <w:w w:val="95"/>
              </w:rPr>
              <w:t>The following tables summarize information related to commitments and contingencies (dollars in millions):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Successor</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Maximum</w:t>
            </w:r>
          </w:p>
        </w:tc>
        <w:tc>
          <w:tcPr>
            <w:tcW w:w="5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2"/>
                <w:szCs w:val="12"/>
                <w:color w:val="auto"/>
              </w:rPr>
            </w:pPr>
          </w:p>
        </w:tc>
        <w:tc>
          <w:tcPr>
            <w:tcW w:w="118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8"/>
              </w:rPr>
              <w:t>Liability</w:t>
            </w:r>
          </w:p>
        </w:tc>
        <w:tc>
          <w:tcPr>
            <w:tcW w:w="8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12"/>
                <w:szCs w:val="12"/>
                <w:color w:val="auto"/>
              </w:rPr>
            </w:pPr>
          </w:p>
        </w:tc>
        <w:tc>
          <w:tcPr>
            <w:tcW w:w="6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Recorded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3"/>
              </w:rPr>
              <w:t>(a)</w:t>
            </w: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Guarantees</w:t>
            </w: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Operating lease residual values (b)</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commitments and other related obligations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GMAC commercial loans (c)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product-related claims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related to GMAC.</w:t>
      </w:r>
    </w:p>
    <w:p>
      <w:pPr>
        <w:spacing w:after="0" w:line="90"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March 31, 2010 and December 31, 2009 includes $8 million and $127 million related to a guarantee provided to GMAC in Brazil in connection with dealer floor plan financing. At March 31, 2010 and December 31, 2009 this guarantee is collateralized by certificates of deposit of $8 million and $127 million purchased from GMAC to which we have title and which are recorded in Restricted cash. The purchase of the certificates of deposit was funded in part by contributions from dealers for which we have recorded a corresponding deposit liability of $6 million and $104 million, which is recorded in Other liabilities at March 31, 2010 and December 31,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8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2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liability (a)</w:t>
            </w:r>
          </w:p>
        </w:tc>
        <w:tc>
          <w:tcPr>
            <w:tcW w:w="26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Product liability</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contingently issuable shares</w:t>
            </w:r>
          </w:p>
        </w:tc>
        <w:tc>
          <w:tcPr>
            <w:tcW w:w="26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Other litigation-related liabilities (b)</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amounts we recorded, $36 million and $28 million were recorded in Accrued expenses at March 31, 2010 and December 31, 2009, and the remainder was recorded in Other liabilities.</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primarily of tax related litigation not recorded pursuant to ASC 740-10, “Income Taxes,” (ASC 740-10) as well as various non-U.S. labor related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2011 to 2035. Certain leases contain renewal options.</w:t>
      </w:r>
    </w:p>
    <w:p>
      <w:pPr>
        <w:spacing w:after="0" w:line="132"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We have agreements with third parties that guarantee the fulfilment of certain suppliers’ commitments and other related obligations. These guarantees expire in years ranging from 2010 to 2013, or upon the occurrence of specific events.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also provide payment guarantees on commercial loans made by GMAC and outstanding with certain third parties, such as dealers or rental car companies. These guarantees either expire in years ranging from 2010 to 2029 or are ongoing. We determined the value ascribed to the guarantees to be insignificant based on the credit worthiness of the third parties. Refer to Note 22 for additional information on guarantees that we provide to GMAC.</w:t>
      </w:r>
    </w:p>
    <w:p>
      <w:pPr>
        <w:spacing w:after="0" w:line="10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connection with certain divestitures of assets or operating businesses, we have entered into agreements indemnifying certain buyers and other parties with respect to environmental conditions pertaining to real property we owned. Also, in connection with such divestitures, we have provided guarantees with respect to benefits to be paid to former employees relating to pensions, postretirement health care and life insurance. Aside from indemnifications and guarantees related to Delphi, as subsequently discussed, it is not possible to estimate our maximum exposure under these indemnifications or guarantees due to the conditional nature of these obligations. No amounts have been recorded for such obligations as they are not probable or estimable at this time.</w:t>
      </w:r>
    </w:p>
    <w:p>
      <w:pPr>
        <w:spacing w:after="0" w:line="116"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w:t>
      </w:r>
    </w:p>
    <w:p>
      <w:pPr>
        <w:spacing w:after="0" w:line="143"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3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expire in 2022.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7" w:lineRule="exact"/>
        <w:rPr>
          <w:sz w:val="20"/>
          <w:szCs w:val="20"/>
          <w:color w:val="auto"/>
        </w:rPr>
      </w:pPr>
    </w:p>
    <w:p>
      <w:pPr>
        <w:ind w:right="14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five to 30 years.</w:t>
      </w:r>
    </w:p>
    <w:p>
      <w:pPr>
        <w:spacing w:after="0" w:line="143"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43"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and results of operations. At March 31, 2010 we estimate that remediation losses could range from $130 million to $320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self-insured. These amounts were recorded within Accrued expenses and exclude Old GM’s asbestos claims, which are discussed separately.</w:t>
      </w:r>
    </w:p>
    <w:p>
      <w:pPr>
        <w:spacing w:after="0" w:line="144"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In accordance with our assumption of dealer sales and service agreements, we indemnify dealers for certain product liability related claims. Our experience related to dealer indemnification obligations for activity on or after July 10, 2009 is limited. Based on management judgments concerning the projected number and value of such claims, we have estimated a product liability given the information that is currently available.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ind w:right="160" w:firstLine="228"/>
        <w:spacing w:after="0" w:line="291" w:lineRule="auto"/>
        <w:rPr>
          <w:sz w:val="20"/>
          <w:szCs w:val="20"/>
          <w:color w:val="auto"/>
        </w:rPr>
      </w:pPr>
      <w:r>
        <w:rPr>
          <w:rFonts w:ascii="Arial" w:cs="Arial" w:eastAsia="Arial" w:hAnsi="Arial"/>
          <w:sz w:val="16"/>
          <w:szCs w:val="16"/>
          <w:color w:val="auto"/>
        </w:rPr>
        <w:t>We are obligated to issue additional shares of our common stock to MLC (Adjustment Shares) in the event that allowed general unsecured claims against MLC, as estimated by the Bankruptcy Court, exceed $35.0 billion. The maximum Adjustment Shares equate to 2% (or 10 million shares) of our common stock.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that circumstance, under the terms of the Purchase Agreement, we would be required to issue 2.9 million Adjustment Shares to MLC as an adjustment to the purchase price.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w:t>
      </w:r>
    </w:p>
    <w:p>
      <w:pPr>
        <w:spacing w:after="0" w:line="177"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Various legal actions, governmental investigations, claims and proceedings are pending against us or MLC including a number of shareholder class actions, bondholder class actions and class actions under the Employee Retirement Income Security Act of 1974, as amended, and other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740-10 and environmental matters.</w:t>
      </w:r>
    </w:p>
    <w:p>
      <w:pPr>
        <w:spacing w:after="0" w:line="143" w:lineRule="exact"/>
        <w:rPr>
          <w:sz w:val="20"/>
          <w:szCs w:val="20"/>
          <w:color w:val="auto"/>
        </w:rPr>
      </w:pPr>
    </w:p>
    <w:p>
      <w:pPr>
        <w:ind w:right="60" w:firstLine="228"/>
        <w:spacing w:after="0" w:line="307" w:lineRule="auto"/>
        <w:rPr>
          <w:sz w:val="20"/>
          <w:szCs w:val="20"/>
          <w:color w:val="auto"/>
        </w:rPr>
      </w:pPr>
      <w:r>
        <w:rPr>
          <w:rFonts w:ascii="Arial" w:cs="Arial" w:eastAsia="Arial" w:hAnsi="Arial"/>
          <w:sz w:val="15"/>
          <w:szCs w:val="15"/>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740-10 as well as various non-U.S. labor-related matters. Tax related matters not recorded pursuant to ASC 740-10 are items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Some of the matters may involve compensatory, punitive, or other treble damage claims, environmental remediation programs, or sanctions, that if granted, could require us to pay damages or make other expenditures in amounts that could not be reasonably estimated at March 31, 2010. It is believed that appropriate accruals have been established for such matters based on information currently available. Reserves for litigation losses are recorded in Accrued expenses and Other liabilities and deferred income taxes. These accrued reserves represent the best estimate of amounts believed to be our and Old GM’s liability in a range of expected losses. Litigation is inherently unpredictable, however, and unfavorable resolutions could occur. Accordingly, it is possible that an adverse outcome from such proceedings could exceed the amounts accrued in an amount that could be material to our or Old GM’s financial condition, results of operations and cash flows in any particular reporting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Liability</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connection with the 363 Sale, MLC retained substantially all of the asbestos-related claims outstanding. At March 31, 2009 Old GM’s liability recorded for asbestos-related matters was $627 million.</w:t>
      </w:r>
    </w:p>
    <w:p>
      <w:pPr>
        <w:spacing w:after="0" w:line="132" w:lineRule="exact"/>
        <w:rPr>
          <w:sz w:val="20"/>
          <w:szCs w:val="20"/>
          <w:color w:val="auto"/>
        </w:rPr>
      </w:pPr>
    </w:p>
    <w:p>
      <w:pPr>
        <w:ind w:right="880" w:firstLine="228"/>
        <w:spacing w:after="0" w:line="268" w:lineRule="auto"/>
        <w:rPr>
          <w:sz w:val="20"/>
          <w:szCs w:val="20"/>
          <w:color w:val="auto"/>
        </w:rPr>
      </w:pPr>
      <w:r>
        <w:rPr>
          <w:rFonts w:ascii="Arial" w:cs="Arial" w:eastAsia="Arial" w:hAnsi="Arial"/>
          <w:sz w:val="18"/>
          <w:szCs w:val="18"/>
          <w:color w:val="auto"/>
        </w:rPr>
        <w:t>Like most automobile manufacturers, Old GM had been subject to asbestos-related claims in recent years. These claims primarily arose from three circumstances:</w:t>
      </w:r>
    </w:p>
    <w:p>
      <w:pPr>
        <w:spacing w:after="0" w:line="172" w:lineRule="exact"/>
        <w:rPr>
          <w:sz w:val="20"/>
          <w:szCs w:val="20"/>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majority of these claims sought damages for illnesses alleged to have resulted from asbestos used in brake components;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Limited numbers of claims have arisen from asbestos contained in the insulation and brakes used in the manufacturing of locomotives; and</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Claims brought by contractors who allege exposure to asbestos-containing products while working on premises Old GM owned.</w:t>
      </w:r>
    </w:p>
    <w:p>
      <w:pPr>
        <w:spacing w:after="0" w:line="171"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Old GM had resolved many of the asbestos-related cases over the years for strategic litigation reasons such as avoiding defense costs and possible exposure to excessive verdicts. The amount expended on asbestos-related matters in any period depended on the number of claims filed, the amount of pre-trial proceedings and the number of trials and settlements in the period.</w:t>
      </w:r>
    </w:p>
    <w:p>
      <w:pPr>
        <w:spacing w:after="0" w:line="140" w:lineRule="exact"/>
        <w:rPr>
          <w:sz w:val="20"/>
          <w:szCs w:val="20"/>
          <w:color w:val="auto"/>
        </w:rPr>
      </w:pPr>
    </w:p>
    <w:p>
      <w:pPr>
        <w:jc w:val="both"/>
        <w:ind w:right="220" w:firstLine="228"/>
        <w:spacing w:after="0" w:line="306" w:lineRule="auto"/>
        <w:rPr>
          <w:sz w:val="20"/>
          <w:szCs w:val="20"/>
          <w:color w:val="auto"/>
        </w:rPr>
      </w:pPr>
      <w:r>
        <w:rPr>
          <w:rFonts w:ascii="Arial" w:cs="Arial" w:eastAsia="Arial" w:hAnsi="Arial"/>
          <w:sz w:val="16"/>
          <w:szCs w:val="16"/>
          <w:color w:val="auto"/>
        </w:rPr>
        <w:t>Old GM recorded the estimated liability associated with asbestos personal injury claims where the expected loss was both probable and could reasonably be estimated. Old GM retained a firm specializing in estimating asbestos claims to assist Old GM in determining the potential liability for pending and unasserted future asbestos personal injury claims. The analyses relied on and included the following information and factors:</w:t>
      </w:r>
    </w:p>
    <w:p>
      <w:pPr>
        <w:spacing w:after="0" w:line="147" w:lineRule="exact"/>
        <w:rPr>
          <w:sz w:val="20"/>
          <w:szCs w:val="20"/>
          <w:color w:val="auto"/>
        </w:rPr>
      </w:pPr>
    </w:p>
    <w:p>
      <w:pPr>
        <w:ind w:left="660" w:right="86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third party forecast of the projected incidence of malignant asbestos-related disease likely to occur in the general population of individuals occupationally exposed to asbestos;</w:t>
      </w:r>
    </w:p>
    <w:p>
      <w:pPr>
        <w:spacing w:after="0" w:line="50" w:lineRule="exact"/>
        <w:rPr>
          <w:rFonts w:ascii="Arial" w:cs="Arial" w:eastAsia="Arial" w:hAnsi="Arial"/>
          <w:sz w:val="18"/>
          <w:szCs w:val="18"/>
          <w:color w:val="auto"/>
        </w:rPr>
      </w:pPr>
    </w:p>
    <w:p>
      <w:pPr>
        <w:ind w:left="660" w:right="58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Old GM’s Asbestos Claims Experience, based on data concerning claims filed against Old GM and resolved, amounts paid, and the nature of the asbestos-related disease or condition asserted during approximately the four years prior;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660" w:right="240" w:hanging="43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estimated rate of asbestos-related claims likely to be asserted against MLC in the future based on Old GM’s Asbestos Claims Experience and the projected incidence of asbestos-related disease in the general population of individuals occupationally exposed to asbestos;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estimated rate of dismissal of claims by disease type based on Old GM’s Asbestos Claims Experience;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estimated indemnity value of the projected claims based on Old GM’s Asbestos Claims Experience, adjusted for inflation.</w:t>
      </w:r>
    </w:p>
    <w:p>
      <w:pPr>
        <w:spacing w:after="0" w:line="171"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Old GM reviewed a number of factors, including the analyses provided by the firm specializing in estimating asbestos claims in order to determine a reasonable estimate of the probable liability for pending and future asbestos-related claims projected to be asserted over the next 10 years, including legal defense costs. Old GM monitored actual claims experience for consistency with this estimate and made periodic adjustments as appropriate.</w:t>
      </w:r>
    </w:p>
    <w:p>
      <w:pPr>
        <w:spacing w:after="0" w:line="107"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Old GM believed that the analyses were based on the most relevant information available combined with reasonable assumptions, and that Old GM may prudently rely on their conclusions to determine the estimated liability for asbestos-related claims. Old GM noted, however, that the analyses were inherently subject to significant uncertainties. The data sources and assumptions used in connection with the analyses may not prove to be reliable predictors with respect to claims asserted against Old GM. Old GM’s experience in the past included substantial variation in relevant factors, and a change in any of these assumptions — which include the source of the claiming population, the filing rate and the value of claims — could significantly increase or decrease the estimate. In addition, other external factors such as legislation affecting the format or timing of litigation, the actions of other entities sued in asbestos personal injury actions, the distribution of assets from various trusts established to pay asbestos claims and the outcome of cases litigated to a final verdict could affect the estimate.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Delphi Corporation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Guarantee</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1999 Old GM spun-off Delphi Automotive Systems Corporation, which became Delphi. At the time of the spin-off, employees of Delphi Automotive Systems Corporation became employees of Delphi. As part of the separation agreements, Delphi assumed the pension and other postretirement benefit obligations for the transferred U.S. hourly employees who retired after October 1, 2000. Additionally at the time of the spin-off, Old GM entered into the Delphi Benefit Guarantee Agreements with the UAW, the International Union of Electronic, Electrical, Salaried, Machine and Furniture Workers — Communication Workers of America (IUE-CWA) and the United Steel, Paper and Forestry, Rubber, Manufacturing, Energy, Allied Industrial and Service Workers International Union (USW). The Delphi Benefit Guarantee Agreements provided that in the event that Delphi or its successor companies ceased doing business, terminated its pension plan or ceased to provide credited service or OPEB benefits at certain levels due to financial distress, Old GM could be liable to provide the corresponding benefits for certain covered employees at the required level and to the extent the pension benefits Delphi and the PBGC provided fall short of the guaranteed amount.</w:t>
      </w:r>
    </w:p>
    <w:p>
      <w:pPr>
        <w:spacing w:after="0" w:line="341"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In October 2005 Old GM received notice from Delphi it would become obligated to provide benefits pursuant to the Delphi Benefit Guarantee Agreements in connection with Delphi’s commencement in October 2005 of Chapter 11 proceedings under the Bankruptcy Code. In June 2007 Old GM entered into a memorandum of understanding with Delphi and the UAW (Delphi UAW MOU) that included terms relating to the consensual triggering, under certain circumstances, of the Delphi Benefit Guarantee Agreements as well as additional terms relating to Delphi’s restructuring. Under the Delphi UAW MOU, Old GM also agreed to pay for certain health care costs of covered Delphi retirees and their beneficiaries in order to provide a level of benefits consistent with those provided to Old GM’s retirees and their beneficiaries under the Mitigation Plan, if Delphi terminated OPEB benefits. In August 2007 Old GM also entered into memoranda of understanding with Delphi and the IUE-CWA and with Delphi and the USW containing terms consistent with the comprehensive Delphi UAW MOU.</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Delphi-GM Settlement Agreements</w:t>
      </w:r>
    </w:p>
    <w:p>
      <w:pPr>
        <w:spacing w:after="0" w:line="171" w:lineRule="exact"/>
        <w:rPr>
          <w:sz w:val="20"/>
          <w:szCs w:val="20"/>
          <w:color w:val="auto"/>
        </w:rPr>
      </w:pPr>
    </w:p>
    <w:p>
      <w:pPr>
        <w:ind w:right="20" w:firstLine="228"/>
        <w:spacing w:after="0" w:line="318" w:lineRule="auto"/>
        <w:rPr>
          <w:sz w:val="20"/>
          <w:szCs w:val="20"/>
          <w:color w:val="auto"/>
        </w:rPr>
      </w:pPr>
      <w:r>
        <w:rPr>
          <w:rFonts w:ascii="Arial" w:cs="Arial" w:eastAsia="Arial" w:hAnsi="Arial"/>
          <w:sz w:val="15"/>
          <w:szCs w:val="15"/>
          <w:color w:val="auto"/>
        </w:rPr>
        <w:t>In September 2007 and as amended at various times through September 2008, Old GM entered into agreements with Delphi. In September 2008 Old GM also entered into agreements with Delphi and the UAW, IUE-CWA and the USW. All of these agreements were intended to resolve, among other items, outstanding issues between Delphi and Old GM, govern certain aspects of Old GM’s ongoing commercial relationship with Delphi, address a limited transfer of pension assets and liabilities, and address the triggering of the Delphi Benefit Guarantee Agreements. In September 2008 these agreements became effective, and as a result, Old GM paid $582 million to Delphi in the three months ended March 31, 2009 in settlement of amounts accrued to date against Old GM’s commitments.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consummation of the DMDA, these agreements were terminated with limited exceptions.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Liquidity Support Agreements</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Beginning in 2008 Old GM entered into various agreements and amendments to such agreements to advance a maximum of $950 million to Delphi, subject to Delphi’s continued satisfaction of certain conditions and milestones. Old GM also agreed to accelerate payment of North American payables to Delphi at various amounts up to a maximum of $300 million. Upon consummation of the DMDA, we waived our rights to advanced amounts and accelerated payments of $850 million that became consideration to Delphi and other parties under the DMDA.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Master Disposition Agreement</w:t>
      </w:r>
    </w:p>
    <w:p>
      <w:pPr>
        <w:spacing w:after="0" w:line="171"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In October 2009 we consummated the transaction contemplated by the DMDA with Delphi, New Delphi, Old GM, and other parties to the DMDA, as described in Note 4. Upon consummation of the DMDA, the Delphi-GM Settlement Agreements and Delphi liquidity support agreements discussed previously were terminated with limited exceptions, and we and Delphi waived all claims against each other. We maintain certain obligations relating to Delphi hourly employees to provide the difference between pension benefits paid by the PBGC according to regulation and those originally guaranteed by Old GM under the Delphi Benefit Guarantee Agreements.</w:t>
      </w:r>
    </w:p>
    <w:p>
      <w:pPr>
        <w:spacing w:after="0" w:line="143"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The DMDA established our ongoing commercial relationship with New Delphi. This included the continuation of all existing Delphi supply agreements and purchase orders for GMNA to the end of the related product program and New Delphi agreed to provide us with access rights designed to allow us to operate specific sites on defined triggering events to provide us with protection of supply. In addition, we and a class of New Delphi investors agreed to establish a secured delayed draw term loan facility for New Delphi, with each committing to provide loans of up to $500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Charges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the three months ended March 31, 2009 Old GM recorded charges of $274 million. These charges, which were recorded in Cost of sales, reflected the best estimate of obligations associated with the various Delphi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77"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For interim income tax reporting we estimate our annual effective tax rate and apply it to year-to-date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year-to-date loss for which a tax benefit cannot be realized are excluded</w:t>
      </w:r>
      <w:r>
        <w:rPr>
          <w:rFonts w:ascii="Arial" w:cs="Arial" w:eastAsia="Arial" w:hAnsi="Arial"/>
          <w:sz w:val="16"/>
          <w:szCs w:val="16"/>
          <w:i w:val="1"/>
          <w:iCs w:val="1"/>
          <w:color w:val="auto"/>
        </w:rPr>
        <w:t>.</w:t>
      </w:r>
    </w:p>
    <w:p>
      <w:pPr>
        <w:spacing w:after="0" w:line="107" w:lineRule="exact"/>
        <w:rPr>
          <w:sz w:val="20"/>
          <w:szCs w:val="20"/>
          <w:color w:val="auto"/>
        </w:rPr>
      </w:pPr>
    </w:p>
    <w:p>
      <w:pPr>
        <w:ind w:right="220" w:firstLine="228"/>
        <w:spacing w:after="0" w:line="335" w:lineRule="auto"/>
        <w:rPr>
          <w:sz w:val="20"/>
          <w:szCs w:val="20"/>
          <w:color w:val="auto"/>
        </w:rPr>
      </w:pPr>
      <w:r>
        <w:rPr>
          <w:rFonts w:ascii="Arial" w:cs="Arial" w:eastAsia="Arial" w:hAnsi="Arial"/>
          <w:sz w:val="15"/>
          <w:szCs w:val="15"/>
          <w:color w:val="auto"/>
        </w:rPr>
        <w:t>In the three months ended March 31, 2010 income tax expense of $509 million primarily resulted from income tax provisions for profitable entities and a taxable foreign currency exchange gain in Venezuela. As a result of the official devaluation of the Venezuelan currency in the three months ended March 31, 2010, we recorded income tax expense related to the foreign currency exchange gain on the net monetary position of our foreign currency denominated assets.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the three months ended March 31, 2009 income tax benefit of $114 million primarily resulted from intraperiod tax allocation and other discrete items offset by income tax provisions for profitable entities.</w:t>
      </w:r>
    </w:p>
    <w:p>
      <w:pPr>
        <w:spacing w:after="0" w:line="132"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Most of the tax attributes generated by Old GM and its domestic and foreign subsidiaries (net operating loss carryforwards and various income tax credits) survived the Chapter 11 Proceedings and we expect to use these tax attributes to reduce future tax liabilities. The ability to utilize certain of the U.S. tax attributes in future tax periods could be limited by Section 382(a) of the Internal Revenue Code. In Germany, we have net operating loss carryforwards for corporate income tax and trade tax purposes. We have applied for a ruling from the German tax authorities regarding the availability of those losses under the prerequisite that an agreement with the unions as to employment costs will be achieved. If approved, we should be able to continue to carry over those losses despite the reorganizations that have taken place in Germany in 2008 and 2009. In Australia, we have net operating loss carryforwards which are now subject to meeting an annual “Same Business Test” requirement. We will assess our ability to utilize these carryforward losses annually.</w:t>
      </w:r>
    </w:p>
    <w:p>
      <w:pPr>
        <w:spacing w:after="0" w:line="118"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file and Old GM filed income tax returns in multiple jurisdictions, which are subject to examination by taxing authorities throughout the world. We have open tax years from 1999 to 2009 with various significant tax jurisdictions. These open years contain matters that could be subject to differing interpretations of applicable tax laws and regulations as they relate to the amount, timing or inclusion of revenue and expenses or the sustainability of income tax credits for a given audit cycle. We have continuing responsibility for Old GM’s open tax years. We record, and Old GM previously recorded, a tax benefit only for those positions that meet the more likely than not standard.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March 31, 2010, it is not possible to reasonably estimate the expected change to the total amount of unrecognized tax benefits over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211"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172" w:lineRule="exact"/>
        <w:rPr>
          <w:rFonts w:ascii="Arial" w:cs="Arial" w:eastAsia="Arial" w:hAnsi="Arial"/>
          <w:sz w:val="18"/>
          <w:szCs w:val="18"/>
          <w:color w:val="auto"/>
        </w:rPr>
      </w:pPr>
    </w:p>
    <w:p>
      <w:pPr>
        <w:ind w:left="660" w:hanging="4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Financial instruments are transferred in and/or out of Level 3 in the valuation hierarchy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40"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Securities are classified in Level 1 of the valuation hierarchy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of the valuation hierarchy. Our pricing vendor utilizes industry-standard pricing models that consider various inputs, including benchmark yields, reported trades, broker/dealer quotes, issuer spreads and benchmark securities as well as other relevant economic measures. Securities are classified in Level 3 of the valuation hierarchy in certain cases where there are unobservable inputs to the valuation in the marketplace.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Annually, we conduct a review of our pricing vendor. This review includes discussion and analysis of the inputs used by the pricing vendor to provide prices for the types of securities we hold. These inputs included interest rate yields, bid/ask quotes, prepayment speeds and prices for comparable securities. Based on our review we believe the prices received from our pricing vendor are a reliable representation of exit prices.</w:t>
      </w:r>
    </w:p>
    <w:p>
      <w:pPr>
        <w:spacing w:after="0" w:line="10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 for commodities and foreign currency exchange rates. Level 2 of the valuation hierarchy includes certain foreign currency derivatives, commodity derivatives, certain interest rate swaps, cross currency swaps and warrants. Derivative contracts that are valued based upon models with significant unobservable market inputs, primarily estimated forward and prepayment rates, are classified in Level 3 of the valuation hierarchy. Level 3 of the valuation hierarchy includes warrants issued to the UST prior to July 10, 2009, certain foreign currency derivatives, certain long-dated commodity derivatives and interest rate swaps with notional amounts that fluctuated over time.</w:t>
      </w:r>
    </w:p>
    <w:p>
      <w:pPr>
        <w:spacing w:after="0" w:line="120"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The valuation of derivative liabilities takes into account our and Old GM’s nonperformance risk. For the periods presented after June 1, 2009, our nonperformance risk was not observable through the credit default swap market, and an analysis of comparable industrial companies was used to determine the appropriate credit spread which would be applied to us by market participants. In these periods, all derivatives whose fair values contained a significant credit adjustment based on our nonperformance risk were classified in Level 3 of the valuation hierarchy.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gridSpan w:val="10"/>
          </w:tcPr>
          <w:p>
            <w:pPr>
              <w:jc w:val="center"/>
              <w:ind w:right="3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8"/>
              </w:rPr>
              <w:t>March 31, 2010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4"/>
              </w:rPr>
              <w:t>Level 3</w:t>
            </w: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Equity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Foreign government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Restricted cash</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11,356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Government of Canada bonds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Equity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Commodity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14,630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2"/>
            <w:vMerge w:val="continue"/>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Options</w:t>
            </w: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60" w:type="dxa"/>
            <w:vAlign w:val="bottom"/>
            <w:vMerge w:val="restart"/>
          </w:tcPr>
          <w:p>
            <w:pPr>
              <w:jc w:val="right"/>
              <w:ind w:right="1932"/>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10"/>
          </w:tcPr>
          <w:p>
            <w:pPr>
              <w:jc w:val="center"/>
              <w:ind w:right="5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85"/>
              </w:rPr>
              <w:t>December 31, 2009</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4"/>
              </w:rPr>
              <w:t>Level 2</w:t>
            </w: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4"/>
              </w:rPr>
              <w:t>Level 3</w:t>
            </w: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equivalents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Equity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Foreign government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Restricted cash</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Government of Canada bonds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Equity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Commodity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For periods presented after June 1, 2009 nonperformance risk for us and Old GM was not observable through the credit default swap market as a result of the Chapter 11 Proceedings for Old GM and the lack of traded instruments for us. As a result, foreign currency derivatives with a fair market value of $1.6 billion were transferred from Level 2 to Level 3.</w:t>
      </w:r>
    </w:p>
    <w:p>
      <w:pPr>
        <w:spacing w:after="0" w:line="140"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10"/>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Level 3 Financial Assets and Liabilities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7"/>
              </w:rPr>
              <w:t>Mortgage-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Commodity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w w:val="86"/>
              </w:rPr>
              <w:t>backed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Derivatives,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Currency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4"/>
              </w:rPr>
              <w:t>Securities (a)</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4"/>
              </w:rPr>
              <w:t>Net (b)</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Derivatives (c)</w:t>
            </w:r>
          </w:p>
        </w:tc>
        <w:tc>
          <w:tcPr>
            <w:tcW w:w="16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Options (d)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81"/>
              </w:rPr>
              <w:t>Securities (a)</w:t>
            </w:r>
          </w:p>
        </w:tc>
        <w:tc>
          <w:tcPr>
            <w:tcW w:w="4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w w:val="97"/>
              </w:rPr>
              <w:t>Included in Accumulated other comprehensive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(loss)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5"/>
              </w:rPr>
              <w:t>Amount of total gains and (losses) in the period included in</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w w:val="93"/>
              </w:rPr>
              <w:t>earnings attributable to the change in unrealized gains or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w w:val="95"/>
              </w:rPr>
              <w:t>(losses) relating to assets still held at the reporting date</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141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11"/>
          </w:tcPr>
          <w:p>
            <w:pPr>
              <w:jc w:val="right"/>
              <w:ind w:right="320"/>
              <w:spacing w:after="0" w:line="142" w:lineRule="exact"/>
              <w:rPr>
                <w:sz w:val="20"/>
                <w:szCs w:val="20"/>
                <w:color w:val="auto"/>
              </w:rPr>
            </w:pPr>
            <w:r>
              <w:rPr>
                <w:rFonts w:ascii="Arial" w:cs="Arial" w:eastAsia="Arial" w:hAnsi="Arial"/>
                <w:sz w:val="14"/>
                <w:szCs w:val="14"/>
                <w:b w:val="1"/>
                <w:bCs w:val="1"/>
                <w:color w:val="auto"/>
                <w:w w:val="89"/>
              </w:rPr>
              <w:t>Level 3 Financial Assets and Liabilities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40" w:type="dxa"/>
            <w:vAlign w:val="bottom"/>
            <w:gridSpan w:val="4"/>
          </w:tcPr>
          <w:p>
            <w:pPr>
              <w:jc w:val="right"/>
              <w:ind w:right="372"/>
              <w:spacing w:after="0" w:line="129" w:lineRule="exact"/>
              <w:rPr>
                <w:sz w:val="20"/>
                <w:szCs w:val="20"/>
                <w:color w:val="auto"/>
              </w:rPr>
            </w:pPr>
            <w:r>
              <w:rPr>
                <w:rFonts w:ascii="Arial" w:cs="Arial" w:eastAsia="Arial" w:hAnsi="Arial"/>
                <w:sz w:val="14"/>
                <w:szCs w:val="14"/>
                <w:b w:val="1"/>
                <w:bCs w:val="1"/>
                <w:color w:val="auto"/>
                <w:w w:val="97"/>
              </w:rPr>
              <w:t>Mortgage-</w:t>
            </w:r>
          </w:p>
        </w:tc>
        <w:tc>
          <w:tcPr>
            <w:tcW w:w="120" w:type="dxa"/>
            <w:vAlign w:val="bottom"/>
          </w:tcPr>
          <w:p>
            <w:pPr>
              <w:spacing w:after="0"/>
              <w:rPr>
                <w:sz w:val="11"/>
                <w:szCs w:val="11"/>
                <w:color w:val="auto"/>
              </w:rPr>
            </w:pPr>
          </w:p>
        </w:tc>
        <w:tc>
          <w:tcPr>
            <w:tcW w:w="9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Commodity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jc w:val="right"/>
              <w:ind w:right="680"/>
              <w:spacing w:after="0" w:line="12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gridSpan w:val="4"/>
          </w:tcPr>
          <w:p>
            <w:pPr>
              <w:jc w:val="right"/>
              <w:ind w:right="472"/>
              <w:spacing w:after="0" w:line="149" w:lineRule="exact"/>
              <w:rPr>
                <w:sz w:val="20"/>
                <w:szCs w:val="20"/>
                <w:color w:val="auto"/>
              </w:rPr>
            </w:pPr>
            <w:r>
              <w:rPr>
                <w:rFonts w:ascii="Arial" w:cs="Arial" w:eastAsia="Arial" w:hAnsi="Arial"/>
                <w:sz w:val="14"/>
                <w:szCs w:val="14"/>
                <w:b w:val="1"/>
                <w:bCs w:val="1"/>
                <w:color w:val="auto"/>
              </w:rPr>
              <w:t>backed</w:t>
            </w:r>
          </w:p>
        </w:tc>
        <w:tc>
          <w:tcPr>
            <w:tcW w:w="1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2"/>
                <w:szCs w:val="12"/>
                <w:color w:val="auto"/>
              </w:rPr>
            </w:pPr>
          </w:p>
        </w:tc>
        <w:tc>
          <w:tcPr>
            <w:tcW w:w="134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94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rPr>
              <w:t>UST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4"/>
              </w:rPr>
              <w:t>Securities (a)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ind w:left="140"/>
              <w:spacing w:after="0"/>
              <w:rPr>
                <w:sz w:val="20"/>
                <w:szCs w:val="20"/>
                <w:color w:val="auto"/>
              </w:rPr>
            </w:pPr>
            <w:r>
              <w:rPr>
                <w:rFonts w:ascii="Arial" w:cs="Arial" w:eastAsia="Arial" w:hAnsi="Arial"/>
                <w:sz w:val="14"/>
                <w:szCs w:val="14"/>
                <w:b w:val="1"/>
                <w:bCs w:val="1"/>
                <w:color w:val="auto"/>
              </w:rPr>
              <w:t>Net (b)</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Derivatives (c)</w:t>
            </w: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Warrant (a)</w:t>
            </w:r>
          </w:p>
        </w:tc>
        <w:tc>
          <w:tcPr>
            <w:tcW w:w="1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3"/>
              </w:rPr>
              <w:t>Securities (a)</w:t>
            </w:r>
          </w:p>
        </w:tc>
        <w:tc>
          <w:tcPr>
            <w:tcW w:w="4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Included in Accumulated other comprehensive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income (loss)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2,144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9"/>
              </w:rPr>
              <w:t>Amount of total gains and (losses) in the period included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in earnings attributable to the change in unrealized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gains or (losses) relating to assets still held at the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(1)</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Realized gains (losses) and other than temporary impairments on marketable securities (including the UST warrants outstanding until the closing of the 363 Sale) are recorded in Interest income and other non-operating income, net.</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July 10, 2009 realized and unrealized gains (losses) on commodity derivatives were recorded in Cost of sales. Changes in fair value are attributable to changes in base metal and precious metal prices. Beginning July 10, 2009 realized and unrealized gains (losses) on commodity derivatives are recorded in Interest income and other non-operating income, net.</w:t>
      </w:r>
    </w:p>
    <w:p>
      <w:pPr>
        <w:spacing w:after="0" w:line="59"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July 10, 2009 realized and unrealized gains (losses) on foreign currency derivatives were recorded in the line item associated with the economically hedged item. Beginning July 10, 2009 realized and unrealized gains (losses) on foreign currency derivatives are recorded in Interest income and other non-operating income, net and foreign currency translation gains (losses) are recorded in Accumulated other comprehensive income (loss).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Realized and unrealized gains (losses) on options are recorded in Interest income and other non-operating income, net.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and Long-Term Debt</w:t>
      </w:r>
    </w:p>
    <w:p>
      <w:pPr>
        <w:spacing w:after="0" w:line="17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32"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The following table summarizes the carrying amount and estimated fair value of short-term and long-term debt, including capital leases, for which it is practicable to estimate fair value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7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20" w:type="dxa"/>
            <w:vAlign w:val="bottom"/>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Fair value (a)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14,510</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16,024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GMAC Common and Preferred Stock</w:t>
      </w:r>
    </w:p>
    <w:p>
      <w:pPr>
        <w:spacing w:after="0" w:line="177" w:lineRule="exact"/>
        <w:rPr>
          <w:sz w:val="20"/>
          <w:szCs w:val="20"/>
          <w:color w:val="auto"/>
        </w:rPr>
      </w:pPr>
    </w:p>
    <w:p>
      <w:pPr>
        <w:ind w:right="40" w:firstLine="228"/>
        <w:spacing w:after="0" w:line="314" w:lineRule="auto"/>
        <w:rPr>
          <w:sz w:val="20"/>
          <w:szCs w:val="20"/>
          <w:color w:val="auto"/>
        </w:rPr>
      </w:pPr>
      <w:r>
        <w:rPr>
          <w:rFonts w:ascii="Arial" w:cs="Arial" w:eastAsia="Arial" w:hAnsi="Arial"/>
          <w:sz w:val="15"/>
          <w:szCs w:val="15"/>
          <w:color w:val="auto"/>
        </w:rPr>
        <w:t>At December 31, 2009 we estimated the fair value of our investment in GMAC common stock using a market approach based on the average price to tangible book value multiples of comparable companies to each of GMAC’s Auto Finance, Commercial Finance, Mortgage, and Insurance operations to determine the fair value of the individual operations. These values were aggregated to estimate the fair value of GMAC common stock. At March 31, 2010 we estimated the fair value of GMAC common stock using a market approach that applies the average price to tangible book value multiples of comparable companies to the consolidated GMAC tangible book value. This approach provides our best estimate of the fair value of our investment in GMAC common stock at March 31, 2010 due to GMAC’s transition to a bank holding company and less readily available information with which to value GMAC’s business operations individually.</w:t>
      </w:r>
    </w:p>
    <w:p>
      <w:pPr>
        <w:spacing w:after="0" w:line="105" w:lineRule="exact"/>
        <w:rPr>
          <w:sz w:val="20"/>
          <w:szCs w:val="20"/>
          <w:color w:val="auto"/>
        </w:rPr>
      </w:pPr>
    </w:p>
    <w:p>
      <w:pPr>
        <w:ind w:right="440" w:firstLine="228"/>
        <w:spacing w:after="0" w:line="332" w:lineRule="auto"/>
        <w:rPr>
          <w:sz w:val="20"/>
          <w:szCs w:val="20"/>
          <w:color w:val="auto"/>
        </w:rPr>
      </w:pPr>
      <w:r>
        <w:rPr>
          <w:rFonts w:ascii="Arial" w:cs="Arial" w:eastAsia="Arial" w:hAnsi="Arial"/>
          <w:sz w:val="16"/>
          <w:szCs w:val="16"/>
          <w:color w:val="auto"/>
        </w:rPr>
        <w:t>We calculated the fair value of our investment in GMAC preferred stock using a discounted cash flow approach. The present value of the cash flows was determined using assumptions regarding the expected receipt of dividends on GMAC preferred stock and the expected call date.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carrying amount and estimated fair value of GMAC common and preferred stock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2010</w:t>
            </w:r>
          </w:p>
        </w:tc>
        <w:tc>
          <w:tcPr>
            <w:tcW w:w="76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Carrying amount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1,002</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177" w:lineRule="exact"/>
        <w:rPr>
          <w:sz w:val="20"/>
          <w:szCs w:val="20"/>
          <w:color w:val="auto"/>
        </w:rPr>
      </w:pPr>
    </w:p>
    <w:p>
      <w:pPr>
        <w:ind w:right="400" w:firstLine="228"/>
        <w:spacing w:after="0" w:line="306" w:lineRule="auto"/>
        <w:rPr>
          <w:sz w:val="20"/>
          <w:szCs w:val="20"/>
          <w:color w:val="auto"/>
        </w:rPr>
      </w:pPr>
      <w:r>
        <w:rPr>
          <w:rFonts w:ascii="Arial" w:cs="Arial" w:eastAsia="Arial" w:hAnsi="Arial"/>
          <w:sz w:val="16"/>
          <w:szCs w:val="16"/>
          <w:color w:val="auto"/>
        </w:rPr>
        <w:t>We have and Old GM had previously executed various restructuring and other initiatives, and we plan to execute additional initiatives in the future, if necessary, in order to preserve adequate liquidity, to align manufacturing capacity and other costs with prevailing global automotive sales and to improve the utilization of remaining facilities. Related charges are primarily recorded in Cost of sales and Selling, general and administrative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Estimates of restructuring and other initiative charges are based on information available at the time such charges are recorded. Due to the inherent uncertainty involved, actual amounts paid for such activities may differ from amounts initially recorded. Accordingly, we may record revisions to previous estimates by adjusting previously established reserves.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20 for asset impairment charges related to our restructuring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The following table summarizes restructuring reserves (excluding restructuring reserves related to dealer wind-down agreements) and charges by segment, including postemployment benefit reserves and charges in the three months ended March 31, 2010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0"/>
              </w:rPr>
              <w:t>Successor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GMNA recorded charges, interest accretion and other and revisions to estimates that decreased the restructuring reserves by $87 million in the three months ended March 31, 2010. This decrease was primarily due to increased production capacity utilization, which resulted in the recall of idled employees to fill added shifts at multiple production sites.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GME recorded charges and interest accretion and other of $305 million for separation programs primarily related to the following initiatives:</w:t>
      </w:r>
    </w:p>
    <w:p>
      <w:pPr>
        <w:spacing w:after="0" w:line="212" w:lineRule="exact"/>
        <w:rPr>
          <w:sz w:val="20"/>
          <w:szCs w:val="20"/>
          <w:color w:val="auto"/>
        </w:rPr>
      </w:pPr>
    </w:p>
    <w:p>
      <w:pPr>
        <w:ind w:left="660" w:right="160" w:hanging="43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Separation charges of $184 million as the legal minimum for a separation plan related to the closure of the Antwerp, Belgium facility which will affect 2,600 employees. Refer to Note 25 for additional information related to the closure of the Antwerp, Belgium facility.</w:t>
      </w:r>
    </w:p>
    <w:p>
      <w:pPr>
        <w:spacing w:after="0" w:line="172" w:lineRule="exact"/>
        <w:rPr>
          <w:rFonts w:ascii="Arial" w:cs="Arial" w:eastAsia="Arial" w:hAnsi="Arial"/>
          <w:sz w:val="18"/>
          <w:szCs w:val="18"/>
          <w:color w:val="auto"/>
        </w:rPr>
      </w:pPr>
    </w:p>
    <w:p>
      <w:pPr>
        <w:ind w:left="660" w:hanging="43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Separation charges of $72 million related to separation/layoff plans and an early retirement plan in Spain which will affect 1,200 employees.</w:t>
      </w:r>
    </w:p>
    <w:p>
      <w:pPr>
        <w:spacing w:after="0" w:line="234" w:lineRule="exact"/>
        <w:rPr>
          <w:rFonts w:ascii="Arial" w:cs="Arial" w:eastAsia="Arial" w:hAnsi="Arial"/>
          <w:sz w:val="16"/>
          <w:szCs w:val="16"/>
          <w:color w:val="auto"/>
        </w:rPr>
      </w:pPr>
    </w:p>
    <w:p>
      <w:pPr>
        <w:ind w:left="660" w:hanging="43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Separation charges of $16 million and interest accretion and other of $29 million related to previously announced programs in Germany.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market vehicles worldwide through a network of independent retail dealers and distributors. As part of achieving and sustaining long-term viability and the viability of our dealer network, we determined that a reduction in the number of GMNA dealerships was necessary. At March 31, 2010 there were approximately 6,100 dealers in GMNA compared to approximately 6,500 at December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2009. Certain dealers that had signed wind-down agreements with us have elected to file for reinstatement through a binding arbitration process. In response to the arbitration filings we offered certain dealers reinstatement contingent upon compliance with our core business criteria for operation of a dealership. Further reductions in the number of GMNA dealerships will be dependent upon the ongoing reinstatement and arbitration process, which we expect will be fundamentally resolved in 2010.</w:t>
      </w:r>
    </w:p>
    <w:p>
      <w:pPr>
        <w:spacing w:after="0" w:line="143"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months ended March 31,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w w:val="93"/>
              </w:rPr>
              <w:t>Successor</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Canada and Mexico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$460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Additions</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jc w:val="both"/>
        <w:ind w:right="60" w:firstLine="228"/>
        <w:spacing w:after="0" w:line="268" w:lineRule="auto"/>
        <w:rPr>
          <w:sz w:val="20"/>
          <w:szCs w:val="20"/>
          <w:color w:val="auto"/>
        </w:rPr>
      </w:pPr>
      <w:r>
        <w:rPr>
          <w:rFonts w:ascii="Arial" w:cs="Arial" w:eastAsia="Arial" w:hAnsi="Arial"/>
          <w:sz w:val="18"/>
          <w:szCs w:val="18"/>
          <w:color w:val="auto"/>
        </w:rPr>
        <w:t>The following table summarizes Old GM’s restructuring reserves and charges by segment, including postemployment benefit reserves and charges in the three months ended March 31, 2009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GMNA recorded charges, interest accretion and other and revisions to estimates of $124 million for separation programs related to the following initiatives:</w:t>
      </w:r>
    </w:p>
    <w:p>
      <w:pPr>
        <w:spacing w:after="0" w:line="235" w:lineRule="exact"/>
        <w:rPr>
          <w:sz w:val="20"/>
          <w:szCs w:val="20"/>
          <w:color w:val="auto"/>
        </w:rPr>
      </w:pPr>
    </w:p>
    <w:p>
      <w:pPr>
        <w:ind w:left="660" w:hanging="436"/>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Postemployment benefit costs in the U.S. of $296 million related to 7,000 employees participating in the 2009 Special Attrition Program.</w:t>
      </w:r>
    </w:p>
    <w:p>
      <w:pPr>
        <w:spacing w:after="0" w:line="234" w:lineRule="exact"/>
        <w:rPr>
          <w:rFonts w:ascii="Arial" w:cs="Arial" w:eastAsia="Arial" w:hAnsi="Arial"/>
          <w:sz w:val="16"/>
          <w:szCs w:val="16"/>
          <w:color w:val="auto"/>
        </w:rPr>
      </w:pPr>
    </w:p>
    <w:p>
      <w:pPr>
        <w:ind w:left="660" w:right="20" w:hanging="43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Separation charges of $115 million for a U.S. salaried severance program, which allows terminated employees to receive ongoing wages and benefits for no longer than 12 months.</w:t>
      </w:r>
    </w:p>
    <w:p>
      <w:pPr>
        <w:spacing w:after="0" w:line="172" w:lineRule="exact"/>
        <w:rPr>
          <w:rFonts w:ascii="Arial" w:cs="Arial" w:eastAsia="Arial" w:hAnsi="Arial"/>
          <w:sz w:val="18"/>
          <w:szCs w:val="18"/>
          <w:color w:val="auto"/>
        </w:rPr>
      </w:pPr>
    </w:p>
    <w:p>
      <w:pPr>
        <w:ind w:left="660" w:right="140" w:hanging="436"/>
        <w:spacing w:after="0" w:line="298"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Interest accretion of $10 million and revisions to estimates to decrease the reserve of $297 million, primarily related to the suspension of the JOBS Program, Old GM’s job security provision in the collective bargaining agreement with the UAW to continue paying idled employees certain wages and benefits, and reductions to the reserve for estimated future wages and benefits due to employees participating in the 2009 Special Attrition Program; partially offset by Canadian salaried workforce reductions and other restructuring initiatives in Canada.</w:t>
      </w:r>
    </w:p>
    <w:p>
      <w:pPr>
        <w:spacing w:after="0" w:line="113"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GMIO recorded charges and revisions to estimates of $41 million primarily related to separation charges of $26 million and revisions to estimates to increase the reserve of $9 million related to voluntary and involuntary separation programs in South America and South Africa.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GME recorded charges, interest accretion and other and revisions to estimates of $7 million for separation programs primarily due to separation charges of $10 million related to early retirement programs in Germany, interest accretion and other of $12 million related to previously announced programs in Germany and Belgium, partially offset by a decrease in interest accretion and other of $15 million related to the deconsolidation of Saab.</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March 31, 2009</w:t>
            </w: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GMNA</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Cancelled powertrain programs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Equity and cost method investments (other than GMAC)</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 GMNA impairment charges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GMIO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GMIO impairment charges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GME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 GME impairment charges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Other than temporary impairment charges on debt and equity securities (a)</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Automotive retail leases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 Corporate impairment charges</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50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Refer to Note 18 for additional information on marketable securities and financial instruments measured at fair value on a recurring basis. Other than temporary impairment charges on debt and equity securities were recorded in Interest income and other non-operating income, net.</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tables summarize assets measured at fair value (all of which utilized Level 3 inputs) on a nonrecurring basis subsequent to initial recognition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left="686"/>
              <w:spacing w:after="0"/>
              <w:rPr>
                <w:sz w:val="20"/>
                <w:szCs w:val="20"/>
                <w:color w:val="auto"/>
              </w:rPr>
            </w:pPr>
            <w:r>
              <w:rPr>
                <w:rFonts w:ascii="Arial" w:cs="Arial" w:eastAsia="Arial" w:hAnsi="Arial"/>
                <w:sz w:val="14"/>
                <w:szCs w:val="14"/>
                <w:b w:val="1"/>
                <w:bCs w:val="1"/>
                <w:color w:val="auto"/>
                <w:w w:val="86"/>
              </w:rPr>
              <w:t>Fair Value Measurements Using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79"/>
              </w:rPr>
              <w:t>Successor</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Pr>
          <w:p>
            <w:pPr>
              <w:spacing w:after="0"/>
              <w:rPr>
                <w:sz w:val="11"/>
                <w:szCs w:val="11"/>
                <w:color w:val="auto"/>
              </w:rPr>
            </w:pPr>
          </w:p>
        </w:tc>
        <w:tc>
          <w:tcPr>
            <w:tcW w:w="122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March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2010 (a)</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7"/>
              </w:rPr>
              <w:t>(Level 1)</w:t>
            </w:r>
          </w:p>
        </w:tc>
        <w:tc>
          <w:tcPr>
            <w:tcW w:w="6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3)</w:t>
            </w:r>
          </w:p>
        </w:tc>
        <w:tc>
          <w:tcPr>
            <w:tcW w:w="6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Total 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$9 million in the three months ended March 31, 2010. Fair value measurements utilized projected cash flows which primarily consist of vehicle sales at auction.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w w:val="87"/>
              </w:rPr>
              <w:t>Fair Value Measurements Using</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Predecessor</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 Active</w:t>
            </w:r>
          </w:p>
        </w:tc>
        <w:tc>
          <w:tcPr>
            <w:tcW w:w="30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Identical</w:t>
            </w:r>
          </w:p>
        </w:tc>
        <w:tc>
          <w:tcPr>
            <w:tcW w:w="30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Assets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8"/>
              </w:rPr>
              <w:t>2009 (a)</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(Level 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Cancelled powertrain programs</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and cost method investments (other than GMAC)</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retail leases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3,661</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3,661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$278 million in the three months ended March 31,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Cancelled powertrain programs were adjusted to their fair value at the time of impairment, resulting in impairment charges of $42 million in the three months ended March 31,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CAMI Automotive, Inc. (CAMI), at the time an equity method investee, was adjusted to its fair value, resulting in an impairment charge of $28 million in the three months ended March 31, 2009. The fair value measurement utilized projected cash flows discounted at a rate commensurate with the perceived business risks related to the investment. In March 2009 Old GM determined that due to changes in contractual arrangements, CAMI became a VIE and Old GM was the primary beneficiary, and therefore CAMI was consolidated. In December 2009 we acquired the remaining noncontrolling interest of CAMI from Suzuki for $100 million increasing our ownership interest from 50% to 100%. As a result of this acquisition, CAMI became a wholly-owned subsidiary.</w:t>
      </w:r>
    </w:p>
    <w:p>
      <w:pPr>
        <w:spacing w:after="0" w:line="116"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$11 million in the three months ended March 31, 2009. Fair value measurements utilized projected cash flows which primarily consist of vehicle sales at auction.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$7 million in the three months ended March 31, 2009. Fair value measurements utilized projected cash flows, discounted at a rate commensurate with the perceived business risks related to the assets involved.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$18 million in the three months ended March 31, 2009. Fair value measurements utilized projected cash flows which primarily consist of vehicle sales at auction.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Automotive retail leases were adjusted to their fair value at the time of impairment, resulting in impairment charges of $16 million in the three months ended March 31, 2009. Fair value measurements utilized discounted projected cash flows from lease payments and anticipated future auction proceeds.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GMIO</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GME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Total contract cancellation charges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Borders>
              <w:right w:val="single" w:sz="8" w:color="auto"/>
            </w:tcBorders>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(Loss) Per Share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Basic and diluted earnings (loss) per share have been computed by dividing Net income (loss) attributable to common stockholders by the weighted average number of shares outstanding in the period.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basic and diluted earnings (loss) per share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42"/>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64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6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Ended</w:t>
            </w:r>
          </w:p>
        </w:tc>
        <w:tc>
          <w:tcPr>
            <w:tcW w:w="6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6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March</w:t>
            </w:r>
          </w:p>
        </w:tc>
        <w:tc>
          <w:tcPr>
            <w:tcW w:w="6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6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31, 2010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Net income (loss) attributable to common stockholders (a)</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620" w:type="dxa"/>
            <w:vAlign w:val="bottom"/>
            <w:tcBorders>
              <w:right w:val="single" w:sz="8" w:color="auto"/>
            </w:tcBorders>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common stockholders (a)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w:t>
            </w: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three months ended March 31, 2010 includes accumulated but unearned dividends of $34 million on our Series A Fixed Rate Cumulative Perpetual Preferred Stock (Series A Preferred Stock), which decreases Net income attributable to common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the three months ended March 31, 2010 diluted earnings per share included the potential effect of the assumed exercise of certain warrants to acquire shares of our common stock. The number of shares of common stock, assuming the exercise of the warrants, that were excluded in the computation of diluted earnings per share under the treasury stock method was 68 million. The number of shares of common stock, assuming the exercise of the warrants, that was included in the computation of diluted earnings per share under the treasury stock method was 22 million. The number of shares of common stock that was excluded in the computation of diluted earnings per share because the effect was antidilutive was 15 million.</w:t>
      </w:r>
    </w:p>
    <w:p>
      <w:pPr>
        <w:spacing w:after="0" w:line="116"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At March 31, 2010 the Adjustment Shares were excluded from the computation of basic and diluted earnings per share as the condition that would result in the issuance of the Adjustment Shares was not satisfied. At March 31, 2010 we believe it is probable that these claims will exceed $35.0 billion, but it is still possible they will not. The Adjustment Shares may, however, be dilutive in the future. Refer to Note 16 for additional information on the Adjustment Shares.</w:t>
      </w:r>
    </w:p>
    <w:p>
      <w:pPr>
        <w:spacing w:after="0" w:line="10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granted restricted stock units to certain global executives. As these awards will be payable in cash if settled prior to six months after a completion of a successful initial public offering, the salary stock awards are excluded from the computation of diluted earnings per share. At March 31, 2010 6 million restricted stock units were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Due to Old GM’s net losses in the three months ended March 31, 2009, the assumed exercise of stock options and warrants had an antidilutive effect and therefore was excluded from the computation of diluted loss per share. The number of such options and warrants not included in the computation of diluted loss per share was 209 million in the three months ended March 31, 2009.</w:t>
      </w:r>
    </w:p>
    <w:p>
      <w:pPr>
        <w:spacing w:after="0" w:line="140" w:lineRule="exact"/>
        <w:rPr>
          <w:sz w:val="20"/>
          <w:szCs w:val="20"/>
          <w:color w:val="auto"/>
        </w:rPr>
      </w:pPr>
    </w:p>
    <w:p>
      <w:pPr>
        <w:ind w:right="240" w:firstLine="228"/>
        <w:spacing w:after="0" w:line="370" w:lineRule="auto"/>
        <w:rPr>
          <w:sz w:val="20"/>
          <w:szCs w:val="20"/>
          <w:color w:val="auto"/>
        </w:rPr>
      </w:pPr>
      <w:r>
        <w:rPr>
          <w:rFonts w:ascii="Arial" w:cs="Arial" w:eastAsia="Arial" w:hAnsi="Arial"/>
          <w:sz w:val="15"/>
          <w:szCs w:val="15"/>
          <w:color w:val="auto"/>
        </w:rPr>
        <w:t>No shares potentially issuable to satisfy the in-the-money amount of Old GM’s convertible debentures have been included in the computation of diluted income (loss) per share in the three months ended March 31, 2009 as the conversion options in various series of convertible debentures were not in-the-money.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Transactions with GMAC</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Old GM entered into various operating and financing arrangements with GMAC. In connection with the 363 Sale, we assumed the terms and conditions of these agreements as more fully discussed in our 2009 Form 10-K. The following tables describe the financial statement effects of and maximum obligations under these agreements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79"/>
              </w:rPr>
              <w:t>Successor</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residuals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Residual support (a)</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recorded</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Note payable to GMAC (b)</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Vehicle repurchase obligations (c)</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Maximum obligations</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15,357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14,058</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guarantee</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liabilities recorded and maximum obligations for agreements entered into prior to December 31, 2008. Agreements entered into in 2010 and 2009 do not include residual support or risk sharing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GMAC retained an investment in a note, which is secured by certain automotive retail leases.</w:t>
      </w:r>
    </w:p>
    <w:p>
      <w:pPr>
        <w:spacing w:after="0" w:line="90" w:lineRule="exact"/>
        <w:rPr>
          <w:rFonts w:ascii="Arial" w:cs="Arial" w:eastAsia="Arial" w:hAnsi="Arial"/>
          <w:sz w:val="18"/>
          <w:szCs w:val="18"/>
          <w:color w:val="auto"/>
        </w:rPr>
      </w:pPr>
    </w:p>
    <w:p>
      <w:pPr>
        <w:ind w:left="460" w:right="18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2009 Old GM and GMAC agreed to expand Old GM’s repurchase obligations for GMAC financed inventory at certain dealers in Europe, Brazil and Mexico. In November 2008 Old GM and GMAC agreed to expand Old GM’s repurchase obligations for GMAC financed inventory at certain dealers in the United States and Canada. The maximum potential amount of future payments required to be made under this guarantee would be based on the repurchase value of total eligible vehicles financed by GMAC in dealer stock. The total exposure of repurchased vehicles would be reduced to the extent vehicles are able to be resold to another dealer. The fair value of the guarantee considers the likelihood of dealers terminating and the estimated loss exposure for the ultimate disposition of vehicles.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32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6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r>
      <w:tr>
        <w:trPr>
          <w:trHeight w:val="161"/>
        </w:trPr>
        <w:tc>
          <w:tcPr>
            <w:tcW w:w="6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Marketing incentives and operating lease residual payments (a)</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Exclusivity fee revenue</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to GMAC related to U.S. marketing incentive and operating lease residual programs. Excludes payments to GMAC related to the contractual exposure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GMAC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7"/>
              </w:rPr>
              <w:t>Successor</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480" w:type="dxa"/>
            <w:vAlign w:val="bottom"/>
          </w:tcPr>
          <w:p>
            <w:pPr>
              <w:spacing w:after="0"/>
              <w:rPr>
                <w:sz w:val="11"/>
                <w:szCs w:val="11"/>
                <w:color w:val="auto"/>
              </w:rPr>
            </w:pPr>
          </w:p>
        </w:tc>
        <w:tc>
          <w:tcPr>
            <w:tcW w:w="6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9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Other assets (c)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Accounts payable (d)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 (e)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Accrued expenses and other liabilities (f)</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Other non-current liabilities (h)</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wholesale settlements due from GMAC, amounts owed by GMAC with respect to automotive retail leases and receivables for exclusivity fees and royalties.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certificates of deposit purchased from GMAC that are pledged as collateral for certain guarantees provided to GMAC in Brazil in connection with dealer floor plan financing.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Primarily represents distributions due from GMAC on our investments in GMAC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 In addition, it includes borrowing arrangements with various foreign locations and arrangements related to GMAC’s funding of company-owned vehicles, rental car vehicles awaiting sale at auction and funding of the sale of vehicles to which title is retained while the vehicles are consigned to GMAC or dealers, primarily in the United Kingdom. Financing remains outstanding until the title is transferred to the dealers. This amount also includes the short-term portion of a note payable related to automotive retail leases.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4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GMAC in North America. This includes the estimated amount of residual support accrued under the residual support and risk sharing programs, rate support under the interest rate support programs, operating lease and finance receivable capitalized cost reduction incentives paid to GMAC to reduce the capitalized cost in automotive lease contracts and retail automotive contracts, and amounts owed under lease pull-ahead programs. In addition it includes interest accrued on the transactions in (e) above.</w:t>
      </w:r>
    </w:p>
    <w:p>
      <w:pPr>
        <w:spacing w:after="0" w:line="61"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GMAC to certain consolidated dealerships and a note payable with respect to automotive retail leases.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GMAC.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GMAC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4"/>
                <w:szCs w:val="14"/>
                <w:b w:val="1"/>
                <w:bCs w:val="1"/>
                <w:color w:val="auto"/>
                <w:w w:val="81"/>
              </w:rPr>
              <w:t>Successor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832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right w:val="single" w:sz="8" w:color="auto"/>
            </w:tcBorders>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83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7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sales and revenue (reduction)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Cost of sales and other expenses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700" w:type="dxa"/>
            <w:vAlign w:val="bottom"/>
            <w:tcBorders>
              <w:right w:val="single" w:sz="8" w:color="auto"/>
            </w:tcBorders>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expense (d)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700" w:type="dxa"/>
            <w:vAlign w:val="bottom"/>
            <w:tcBorders>
              <w:right w:val="single" w:sz="8" w:color="auto"/>
            </w:tcBorders>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Derivative gains (losses) (f)</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94"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Primarily represents the increase (reduction) in net sales and revenues for marketing incentives on vehicles which are sold, or anticipated to be sold, to customers or dealers and financed by GMAC. This includes the estimated amount of residual support accrued under residual support and risk sharing programs, rate support under the interest rate support programs, operating lease and finance receivable capitalized cost reduction incentives paid to GMAC to reduce the capitalized cost in automotive lease contracts and retail automotive contracts, and costs under lease pull-ahead programs. This amount is offset by net sales for vehicles sold to GMAC for employee and governmental lease programs and third party resale purposes.</w:t>
      </w:r>
    </w:p>
    <w:p>
      <w:pPr>
        <w:spacing w:after="0" w:line="34"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GMAC for employee and governmental lease programs and third party resale purposes. Also includes miscellaneous expenses on services performed by GMAC.</w:t>
      </w:r>
    </w:p>
    <w:p>
      <w:pPr>
        <w:spacing w:after="0" w:line="5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income on investments in GMAC preferred stock and Preferred Membership Interests, exclusivity and royalty fee income and reimbursements by GMAC for certain services provided to GMAC. Included in this amount is rental income related to GMAC’s primary executive and administrative offices located in the Renaissance Center in Detroit, Michigan. The lease agreement expires in November 2016.</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interest incurred on term loans,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servicing fees paid to GMAC on certain automotive retail leases.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amounts recorded in connection with a derivative transaction entered into with GMAC as the counterparty.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Transactions with MLC</w:t>
      </w:r>
    </w:p>
    <w:p>
      <w:pPr>
        <w:spacing w:after="0" w:line="1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and MLC entered into a Transition Services Agreement (TSA), as more fully discussed in our 2009 Form 10-K. The following tables describe the financial statement effects of the transactions with MLC.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MLC (dollars in millions):</w:t>
      </w:r>
    </w:p>
    <w:p>
      <w:pPr>
        <w:spacing w:after="0" w:line="207" w:lineRule="exact"/>
        <w:rPr>
          <w:sz w:val="20"/>
          <w:szCs w:val="20"/>
          <w:color w:val="auto"/>
        </w:rPr>
      </w:pPr>
    </w:p>
    <w:p>
      <w:pPr>
        <w:ind w:left="1062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0</wp:posOffset>
            </wp:positionV>
            <wp:extent cx="523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10500"/>
        <w:spacing w:after="0"/>
        <w:rPr>
          <w:sz w:val="20"/>
          <w:szCs w:val="20"/>
          <w:color w:val="auto"/>
        </w:rPr>
      </w:pPr>
      <w:r>
        <w:rPr>
          <w:rFonts w:ascii="Arial" w:cs="Arial" w:eastAsia="Arial" w:hAnsi="Arial"/>
          <w:sz w:val="14"/>
          <w:szCs w:val="14"/>
          <w:b w:val="1"/>
          <w:bCs w:val="1"/>
          <w:color w:val="auto"/>
        </w:rPr>
        <w:t>Three Months</w:t>
      </w:r>
    </w:p>
    <w:p>
      <w:pPr>
        <w:ind w:left="10720"/>
        <w:spacing w:after="0" w:line="221" w:lineRule="auto"/>
        <w:rPr>
          <w:sz w:val="20"/>
          <w:szCs w:val="20"/>
          <w:color w:val="auto"/>
        </w:rPr>
      </w:pPr>
      <w:r>
        <w:rPr>
          <w:rFonts w:ascii="Arial" w:cs="Arial" w:eastAsia="Arial" w:hAnsi="Arial"/>
          <w:sz w:val="14"/>
          <w:szCs w:val="14"/>
          <w:b w:val="1"/>
          <w:bCs w:val="1"/>
          <w:color w:val="auto"/>
        </w:rPr>
        <w:t>Ended</w:t>
      </w:r>
    </w:p>
    <w:p>
      <w:pPr>
        <w:ind w:left="10680"/>
        <w:spacing w:after="0" w:line="221" w:lineRule="auto"/>
        <w:rPr>
          <w:sz w:val="20"/>
          <w:szCs w:val="20"/>
          <w:color w:val="auto"/>
        </w:rPr>
      </w:pPr>
      <w:r>
        <w:rPr>
          <w:rFonts w:ascii="Arial" w:cs="Arial" w:eastAsia="Arial" w:hAnsi="Arial"/>
          <w:sz w:val="14"/>
          <w:szCs w:val="14"/>
          <w:b w:val="1"/>
          <w:bCs w:val="1"/>
          <w:color w:val="auto"/>
        </w:rPr>
        <w:t>March</w:t>
      </w:r>
    </w:p>
    <w:p>
      <w:pPr>
        <w:ind w:left="10660"/>
        <w:spacing w:after="0"/>
        <w:rPr>
          <w:sz w:val="20"/>
          <w:szCs w:val="20"/>
          <w:color w:val="auto"/>
        </w:rPr>
      </w:pPr>
      <w:r>
        <w:rPr>
          <w:rFonts w:ascii="Arial" w:cs="Arial" w:eastAsia="Arial" w:hAnsi="Arial"/>
          <w:sz w:val="14"/>
          <w:szCs w:val="14"/>
          <w:b w:val="1"/>
          <w:bCs w:val="1"/>
          <w:color w:val="auto"/>
        </w:rPr>
        <w:t>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-7620</wp:posOffset>
            </wp:positionV>
            <wp:extent cx="5232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tabs>
          <w:tab w:leader="none" w:pos="10460" w:val="left"/>
          <w:tab w:leader="none" w:pos="11140" w:val="left"/>
        </w:tabs>
        <w:rPr>
          <w:sz w:val="20"/>
          <w:szCs w:val="20"/>
          <w:color w:val="auto"/>
        </w:rPr>
      </w:pPr>
      <w:r>
        <w:rPr>
          <w:rFonts w:ascii="Arial" w:cs="Arial" w:eastAsia="Arial" w:hAnsi="Arial"/>
          <w:sz w:val="18"/>
          <w:szCs w:val="18"/>
          <w:color w:val="auto"/>
        </w:rPr>
        <w:t>Cost of sales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Primarily related to royalty income partially offset by reimbursements for engineering expenses incurred by MLC.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MLC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0"/>
              </w:rPr>
              <w:t>Successor</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and notes receivable, net (a)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02"/>
        </w:trPr>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(a)   Primarily related to royalty income from MLC and services provided under the TSA.</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9200" w:type="dxa"/>
            <w:vAlign w:val="bottom"/>
            <w:gridSpan w:val="2"/>
          </w:tcPr>
          <w:p>
            <w:pPr>
              <w:spacing w:after="0"/>
              <w:rPr>
                <w:sz w:val="20"/>
                <w:szCs w:val="20"/>
                <w:color w:val="auto"/>
              </w:rPr>
            </w:pPr>
            <w:r>
              <w:rPr>
                <w:rFonts w:ascii="Arial" w:cs="Arial" w:eastAsia="Arial" w:hAnsi="Arial"/>
                <w:sz w:val="18"/>
                <w:szCs w:val="18"/>
                <w:color w:val="auto"/>
              </w:rPr>
              <w:t>(b)   Primarily related to the purchase of component parts.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Flow</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200" w:type="dxa"/>
            <w:vAlign w:val="bottom"/>
            <w:gridSpan w:val="2"/>
          </w:tcPr>
          <w:p>
            <w:pPr>
              <w:ind w:left="240"/>
              <w:spacing w:after="0"/>
              <w:rPr>
                <w:sz w:val="20"/>
                <w:szCs w:val="20"/>
                <w:color w:val="auto"/>
              </w:rPr>
            </w:pPr>
            <w:r>
              <w:rPr>
                <w:rFonts w:ascii="Arial" w:cs="Arial" w:eastAsia="Arial" w:hAnsi="Arial"/>
                <w:sz w:val="18"/>
                <w:szCs w:val="18"/>
                <w:color w:val="auto"/>
              </w:rPr>
              <w:t>The following table summarizes the cash flow effects of transactions with MLC (dollars in millions):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11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31, 2010</w:t>
            </w:r>
          </w:p>
        </w:tc>
        <w:tc>
          <w:tcPr>
            <w:tcW w:w="100" w:type="dxa"/>
            <w:vAlign w:val="bottom"/>
          </w:tcPr>
          <w:p>
            <w:pPr>
              <w:spacing w:after="0"/>
              <w:rPr>
                <w:sz w:val="14"/>
                <w:szCs w:val="14"/>
                <w:color w:val="auto"/>
              </w:rPr>
            </w:pPr>
          </w:p>
        </w:tc>
      </w:tr>
      <w:tr>
        <w:trPr>
          <w:trHeight w:val="21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Financing (b)</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Primarily includes payments to and from MLC related to the purchase and sale of component parts.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Funding provided to a facility in Strasbourg, France, that MLC retained. We have reserved $14 million against the advanced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 Reporting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develop, produce and market cars, trucks and parts worldwide. We do so through our three segments: GMNA, GMIO and GME.</w:t>
      </w:r>
    </w:p>
    <w:p>
      <w:pPr>
        <w:spacing w:after="0" w:line="171"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brands:</w:t>
      </w:r>
    </w:p>
    <w:p>
      <w:pPr>
        <w:spacing w:after="0" w:line="235" w:lineRule="exact"/>
        <w:rPr>
          <w:sz w:val="20"/>
          <w:szCs w:val="20"/>
          <w:color w:val="auto"/>
        </w:rPr>
      </w:pPr>
    </w:p>
    <w:p>
      <w:pPr>
        <w:ind w:left="260"/>
        <w:spacing w:after="0"/>
        <w:tabs>
          <w:tab w:leader="none" w:pos="480" w:val="left"/>
          <w:tab w:leader="none" w:pos="3440" w:val="left"/>
          <w:tab w:leader="none" w:pos="3680" w:val="left"/>
          <w:tab w:leader="none" w:pos="6320" w:val="left"/>
          <w:tab w:leader="none" w:pos="6540" w:val="left"/>
          <w:tab w:leader="none" w:pos="9160" w:val="left"/>
          <w:tab w:leader="none" w:pos="940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Buick</w:t>
      </w:r>
    </w:p>
    <w:p>
      <w:pPr>
        <w:spacing w:after="0" w:line="1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Daewoo</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Holden</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Isuzu</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Opel</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Vauxhall</w:t>
      </w:r>
    </w:p>
    <w:p>
      <w:pPr>
        <w:spacing w:after="0" w:line="9" w:lineRule="exact"/>
        <w:rPr>
          <w:sz w:val="20"/>
          <w:szCs w:val="20"/>
          <w:color w:val="auto"/>
        </w:rPr>
      </w:pPr>
    </w:p>
    <w:p>
      <w:pPr>
        <w:sectPr>
          <w:pgSz w:w="11900" w:h="16838" w:orient="portrait"/>
          <w:cols w:equalWidth="0" w:num="4">
            <w:col w:w="2740" w:space="720"/>
            <w:col w:w="2160" w:space="720"/>
            <w:col w:w="2120" w:space="720"/>
            <w:col w:w="2240"/>
          </w:cols>
          <w:pgMar w:left="240" w:top="459" w:right="239" w:bottom="1440" w:gutter="0" w:footer="0" w:header="0"/>
          <w:type w:val="continuous"/>
        </w:sectPr>
      </w:pPr>
    </w:p>
    <w:p>
      <w:pPr>
        <w:ind w:left="500" w:hanging="233"/>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March 31, 2010 we also had equity ownership stakes directly or indirectly through various regional subsidiaries, including GM Daewoo, SGM, SGMW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FAW-GM Light Duty Commercial Vehicle Co., Ltd. (FAW-GM). These companies design, manufacture and market vehicles under the following brands:</w:t>
      </w:r>
    </w:p>
    <w:p>
      <w:pPr>
        <w:sectPr>
          <w:pgSz w:w="11900" w:h="16838" w:orient="portrait"/>
          <w:cols w:equalWidth="0" w:num="1">
            <w:col w:w="11420"/>
          </w:cols>
          <w:pgMar w:left="240" w:top="459" w:right="239" w:bottom="1440" w:gutter="0" w:footer="0" w:header="0"/>
          <w:type w:val="continuous"/>
        </w:sectPr>
      </w:pPr>
    </w:p>
    <w:p>
      <w:pPr>
        <w:spacing w:after="0" w:line="228"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Buick</w:t>
      </w:r>
    </w:p>
    <w:p>
      <w:pPr>
        <w:spacing w:after="0" w:line="1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Daewoo</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FAW</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Jiefang</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Wuling</w:t>
      </w:r>
    </w:p>
    <w:p>
      <w:pPr>
        <w:spacing w:after="0" w:line="9" w:lineRule="exact"/>
        <w:rPr>
          <w:sz w:val="20"/>
          <w:szCs w:val="20"/>
          <w:color w:val="auto"/>
        </w:rPr>
      </w:pPr>
    </w:p>
    <w:p>
      <w:pPr>
        <w:sectPr>
          <w:pgSz w:w="11900" w:h="16838" w:orient="portrait"/>
          <w:cols w:equalWidth="0" w:num="4">
            <w:col w:w="2740" w:space="720"/>
            <w:col w:w="2160" w:space="720"/>
            <w:col w:w="2120" w:space="720"/>
            <w:col w:w="2240"/>
          </w:cols>
          <w:pgMar w:left="240" w:top="459" w:right="239" w:bottom="1440" w:gutter="0" w:footer="0" w:header="0"/>
          <w:type w:val="continuous"/>
        </w:sectPr>
      </w:pPr>
    </w:p>
    <w:p>
      <w:pPr>
        <w:ind w:left="500" w:hanging="233"/>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Nonsegment operations are classified as Corporate. Corporate includes investments in GMAC, certain centrally recorded income and costs, such as interest, income taxes and corporate expenditures, certain nonsegment specific revenues and expenses, including costs related to the Delphi Benefit Guarantee Agreements and a portfolio of automotive retail leases.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and For the Three Months Ended March 31, 2010</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Sales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Earnings (loss) before interest and income taxes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stockholders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78,080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27,671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19,376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34,909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GMNA</w:t>
            </w:r>
          </w:p>
        </w:tc>
        <w:tc>
          <w:tcPr>
            <w:tcW w:w="6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GMIO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and For the Three Months Ended March 31, 2009</w:t>
            </w:r>
          </w:p>
        </w:tc>
        <w:tc>
          <w:tcPr>
            <w:tcW w:w="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Sales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5,227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5,725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22,431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Earnings (loss) before interest and income taxes</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40" w:type="dxa"/>
            <w:vAlign w:val="bottom"/>
            <w:gridSpan w:val="2"/>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(1,989)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1,230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stockholders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(1,989)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Equity income (loss), net of tax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GMAC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Significant noncash charges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extinguishment of debt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Impairment charges related to investment in CAMI</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the UST and Canadian Loans</w:t>
      </w:r>
    </w:p>
    <w:p>
      <w:pPr>
        <w:spacing w:after="0" w:line="17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In April 2010 we used funds from our escrow account to repay in full the outstanding amount of the UST Loans of $4.7 billion. In addition, GMCL repaid in full the outstanding amount of the Canadian Loan of $1.1 billion. Both loans were repaid prior to maturity.</w:t>
      </w:r>
    </w:p>
    <w:p>
      <w:pPr>
        <w:spacing w:after="0" w:line="132" w:lineRule="exact"/>
        <w:rPr>
          <w:sz w:val="20"/>
          <w:szCs w:val="20"/>
          <w:color w:val="auto"/>
        </w:rPr>
      </w:pPr>
    </w:p>
    <w:p>
      <w:pPr>
        <w:ind w:right="620" w:firstLine="228"/>
        <w:spacing w:after="0" w:line="332" w:lineRule="auto"/>
        <w:rPr>
          <w:sz w:val="20"/>
          <w:szCs w:val="20"/>
          <w:color w:val="auto"/>
        </w:rPr>
      </w:pPr>
      <w:r>
        <w:rPr>
          <w:rFonts w:ascii="Arial" w:cs="Arial" w:eastAsia="Arial" w:hAnsi="Arial"/>
          <w:sz w:val="16"/>
          <w:szCs w:val="16"/>
          <w:color w:val="auto"/>
        </w:rPr>
        <w:t>Following the repayment of the UST Loans and the Canadian Loan, the remaining funds in an amount of $6.6 billion that were held in escrow became unrestricted. The availability of those funds is no longer subject to the conditions set forth in the UST Credit Agreement.</w:t>
      </w:r>
    </w:p>
    <w:p>
      <w:pPr>
        <w:spacing w:after="0" w:line="85"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While we have repaid the UST Loans in full, certain of the covenants in the UST Credit Agreement remain in effect and impose obligations on us with respect to, among other things, certain expense policies, executive privileges and compensation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GM Daewoo’s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April 2010 GM Daewoo repaid KRW 250 billion (equivalent to $225 million) of its KRW 1.4 trillion (equivalent to $1.2 billion)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Closure of Antwerp, Belgium Facility and Related Separation Plan</w:t>
      </w:r>
    </w:p>
    <w:p>
      <w:pPr>
        <w:spacing w:after="0" w:line="177"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On April 26, 2010 an agreement was reached between GME and employees regarding the closure of the Antwerp, Belgium facility and certain termination benefits to be received by the employees. The termination benefits will be offered to all of the 2,600 employees at the plant. The total estimated cost for termination benefits to all 2,600 employees is approximately Euro 0.4 billion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(equivalent to $0.5 billion). These charges are expected to result in future cash expenditures. A significant number of employees are expected to accept the terms and leave before the end of June 2010.</w:t>
      </w:r>
    </w:p>
    <w:p>
      <w:pPr>
        <w:spacing w:after="0" w:line="13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would hire. Employees who had not previously accepted termination benefits and were not hired by the purchaser of the facility would receive termination benefits. If an investor is not found, termination benefits will be offered to the remaining employees and the facility will close by December 31, 2010.</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20" w:firstLine="3534"/>
        <w:spacing w:after="0" w:line="488" w:lineRule="auto"/>
        <w:rPr>
          <w:sz w:val="20"/>
          <w:szCs w:val="20"/>
          <w:color w:val="auto"/>
        </w:rPr>
      </w:pPr>
      <w:r>
        <w:rPr>
          <w:rFonts w:ascii="Arial" w:cs="Arial" w:eastAsia="Arial" w:hAnsi="Arial"/>
          <w:sz w:val="16"/>
          <w:szCs w:val="16"/>
          <w:b w:val="1"/>
          <w:bCs w:val="1"/>
          <w:color w:val="auto"/>
        </w:rPr>
        <w:t xml:space="preserve">GENERAL MOTORS COMPANY AND SUBSIDIARIES Item 2.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our Annual Report on Form 10-K for the year ended December 31, 2009 (2009 Form 10-K), as filed with the Securities and Exchange Commission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20" w:firstLine="228"/>
        <w:spacing w:after="0" w:line="255" w:lineRule="auto"/>
        <w:rPr>
          <w:sz w:val="20"/>
          <w:szCs w:val="20"/>
          <w:color w:val="auto"/>
        </w:rPr>
      </w:pPr>
      <w:r>
        <w:rPr>
          <w:rFonts w:ascii="Arial" w:cs="Arial" w:eastAsia="Arial" w:hAnsi="Arial"/>
          <w:sz w:val="18"/>
          <w:szCs w:val="18"/>
          <w:color w:val="auto"/>
        </w:rPr>
        <w:t>Our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 Staff, the accompanying condensed consolidated financial statements include the financial statements and related information of Old GM as it is our predecessor entity solely for accounting and financial reporting purposes (Predecessor).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2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We develop, produce and market cars, trucks, and parts worldwide through our three segments which consist of General Motors North America (GMNA), General Motors International Operations (GMIO) and General Motors Europe (GME). Nonsegment operations are classified as Corporate. Corporate includes investments in GMAC Inc. (GMAC), certain centrally recorded income and costs, such as interest, income taxes and corporate expenditures, certain nonsegment specific revenues and expenses, including costs related to the Delphi Benefit Guarantee Agreements (as defined in Note 16 to the condensed consolidated financial statements) and a portfolio of automotive retail leases.</w:t>
      </w:r>
    </w:p>
    <w:p>
      <w:pPr>
        <w:spacing w:after="0" w:line="143"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We also own a 16.6% equity interest in GMAC, which is accounted for using the cost method because we cannot exercise significant influence over GMAC. GMAC provides a broad range of financial services, including consumer vehicle financing, automotive dealership and other commercial financing, residential mortgage services, automobile service contracts, personal automobile insurance coverage and selected commercial insurance coverage.</w:t>
      </w:r>
    </w:p>
    <w:p>
      <w:pPr>
        <w:spacing w:after="0" w:line="10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Consistent with industry practice, our market share information includes estimates of industry sales in certain countries where public reporting is not legally required or not otherwise available on a consistent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 Bankruptcy and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also received funding from Export Development Canada (EDC), a corporation wholly-owned by the government of Canada, under a loan and security agreement entered into in April 2009 (EDC Loan Facility).</w:t>
      </w:r>
    </w:p>
    <w:p>
      <w:pPr>
        <w:spacing w:after="0" w:line="113"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As a condition to obtaining the loans (UST Loan Facility)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140"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On March 30, 2009 the President’s Designee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0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President’s Designee’s requirement that it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40"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Our 2009 Form 10-K provides additional detail on Old GM’s liquidity constraints, the terms and conditions of its various funding arrangements with U.S. and Canadian governmental entities, and its various cost reduction and restructuring activities.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jc w:val="both"/>
        <w:ind w:right="480" w:firstLine="228"/>
        <w:spacing w:after="0" w:line="256" w:lineRule="auto"/>
        <w:rPr>
          <w:sz w:val="20"/>
          <w:szCs w:val="20"/>
          <w:color w:val="auto"/>
        </w:rPr>
      </w:pPr>
      <w:r>
        <w:rPr>
          <w:rFonts w:ascii="Arial" w:cs="Arial" w:eastAsia="Arial" w:hAnsi="Arial"/>
          <w:sz w:val="18"/>
          <w:szCs w:val="18"/>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4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363 Sale</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35" w:lineRule="auto"/>
        <w:rPr>
          <w:sz w:val="20"/>
          <w:szCs w:val="20"/>
          <w:color w:val="auto"/>
        </w:rPr>
      </w:pPr>
      <w:r>
        <w:rPr>
          <w:rFonts w:ascii="Arial" w:cs="Arial" w:eastAsia="Arial" w:hAnsi="Arial"/>
          <w:sz w:val="18"/>
          <w:szCs w:val="18"/>
          <w:b w:val="1"/>
          <w:bCs w:val="1"/>
          <w:color w:val="auto"/>
        </w:rPr>
        <w:t xml:space="preserve">GENERAL MOTORS COMPANY AND SUBSIDIARIES </w:t>
      </w:r>
      <w:r>
        <w:rPr>
          <w:rFonts w:ascii="Arial" w:cs="Arial" w:eastAsia="Arial" w:hAnsi="Arial"/>
          <w:sz w:val="18"/>
          <w:szCs w:val="18"/>
          <w:b w:val="1"/>
          <w:bCs w:val="1"/>
          <w:i w:val="1"/>
          <w:iCs w:val="1"/>
          <w:color w:val="auto"/>
        </w:rPr>
        <w:t xml:space="preserve">Accounting for the Effects of the Chapter 11 Proceedings and the 363 Sale </w:t>
      </w:r>
      <w:r>
        <w:rPr>
          <w:rFonts w:ascii="Arial" w:cs="Arial" w:eastAsia="Arial" w:hAnsi="Arial"/>
          <w:sz w:val="18"/>
          <w:szCs w:val="18"/>
          <w:i w:val="1"/>
          <w:iCs w:val="1"/>
          <w:color w:val="auto"/>
        </w:rPr>
        <w:t>Chapter 11 Proceedings</w:t>
      </w:r>
    </w:p>
    <w:p>
      <w:pPr>
        <w:spacing w:after="0" w:line="1"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were separately disclosed in the statement of 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Fresh-Start Reporting</w:t>
      </w:r>
    </w:p>
    <w:p>
      <w:pPr>
        <w:spacing w:after="0" w:line="17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 our 2009 Form 10-K. These adjustments are final and no determinations of fair value are considered provisional.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177"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The execution of certain strategic initiatives is critical in achieving our goal of sustained future profitability. The following provides a summary of these initiatives and significant results and events.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Automobile Industry and GMNA</w:t>
      </w:r>
    </w:p>
    <w:p>
      <w:pPr>
        <w:spacing w:after="0" w:line="171"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Our U.S. operations represent a substantial portion of our business and attaining future profitability in our U.S. operations is imperative if we are to achieve our worldwide profitability, debt reduction and U.S. market share goals.</w:t>
      </w:r>
    </w:p>
    <w:p>
      <w:pPr>
        <w:spacing w:after="0" w:line="132" w:lineRule="exact"/>
        <w:rPr>
          <w:sz w:val="20"/>
          <w:szCs w:val="20"/>
          <w:color w:val="auto"/>
        </w:rPr>
      </w:pPr>
    </w:p>
    <w:p>
      <w:pPr>
        <w:ind w:firstLine="228"/>
        <w:spacing w:after="0" w:line="302" w:lineRule="auto"/>
        <w:rPr>
          <w:sz w:val="20"/>
          <w:szCs w:val="20"/>
          <w:color w:val="auto"/>
        </w:rPr>
      </w:pPr>
      <w:r>
        <w:rPr>
          <w:rFonts w:ascii="Arial" w:cs="Arial" w:eastAsia="Arial" w:hAnsi="Arial"/>
          <w:sz w:val="15"/>
          <w:szCs w:val="15"/>
          <w:color w:val="auto"/>
        </w:rPr>
        <w:t>Our plan to return our U.S. operations to profitability includes programs that enhance our customers’ interaction at the point of sale through improved dealership operations. The first program, Standards for Excellence, is an initiative focused upon improving sales and customer satisfaction. The program includes an in-store facilitator, process improvement programs and customer research. Incentives are awarded to those dealers that achieve their targets under this program. Participating dealers in this program have consistently outperformed non-participating dealers. The second program, Essential Brand Elements, is an initiative focused upon conformance with four critical sales and marketing elements: (1) Customer Sales and Service Retention communications; (2) digital marketing;</w:t>
      </w:r>
    </w:p>
    <w:p>
      <w:pPr>
        <w:spacing w:after="0" w:line="2" w:lineRule="exact"/>
        <w:rPr>
          <w:sz w:val="20"/>
          <w:szCs w:val="20"/>
          <w:color w:val="auto"/>
        </w:rPr>
      </w:pPr>
    </w:p>
    <w:p>
      <w:pPr>
        <w:ind w:right="20" w:firstLine="8"/>
        <w:spacing w:after="0" w:line="261"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 training standards; and (4) facility image requirements. Dealers that participate and are compliant earn quarterly incentives. Of our dealerships, 97% have participated in the program and compliance has increased for all elements.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Improve Vehicle Sales and Market Share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U.S. industry vehicle sales were 2.6 million vehicles, of which our market share was 18.4%. This represents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in U.S. industry vehicle sales from 2.2 million vehicles (or 15.2%), of which Old GM’s market share was also 18.4%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2009. This increase represents the gradual U.S. vehicle sales recovery from the negative economic effects of the U.S. recession first experienced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second half of 2008.</w:t>
      </w:r>
    </w:p>
    <w:p>
      <w:pPr>
        <w:spacing w:after="0" w:line="165"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GMNA dealers in the U.S. sold 477,000 vehicles in the three months ended March 31, 2010. This represents an increase from Old GM’s U.S. vehicle sales of 413,000 vehicles (or 15.6%) in the three months ended March 31, 2009. This increase reflects our brand rationalization strategy to focus our product engineering and design and marketing on four brands: Buick, Cadillac, Chevrolet and GMC. This strategy has resulted in increased consumer demand for our products specifically the Chevrolet Equinox and Camaro, Buick LaCrosse, GMC Terrain and Cadillac SRX. These four brands accounted for 469,000 vehicles (or 98.3%) of our U.S. vehicle sales in the three months ended March 31, 2010. In addition, the moderate improvement in the U.S. economy has contributed to a slow but steady improvement in U.S. industry vehicle sales and increased consumer confidence.</w:t>
      </w:r>
    </w:p>
    <w:p>
      <w:pPr>
        <w:spacing w:after="0" w:line="120" w:lineRule="exact"/>
        <w:rPr>
          <w:sz w:val="20"/>
          <w:szCs w:val="20"/>
          <w:color w:val="auto"/>
        </w:rPr>
      </w:pPr>
    </w:p>
    <w:p>
      <w:pPr>
        <w:ind w:left="240" w:right="120"/>
        <w:spacing w:after="0" w:line="438" w:lineRule="auto"/>
        <w:rPr>
          <w:sz w:val="20"/>
          <w:szCs w:val="20"/>
          <w:color w:val="auto"/>
        </w:rPr>
      </w:pPr>
      <w:r>
        <w:rPr>
          <w:rFonts w:ascii="Arial" w:cs="Arial" w:eastAsia="Arial" w:hAnsi="Arial"/>
          <w:sz w:val="18"/>
          <w:szCs w:val="18"/>
          <w:color w:val="auto"/>
        </w:rPr>
        <w:t xml:space="preserve">The continued increase in U.S. industry and our four brands vehicle sales is critical for us to achieve our worldwide profitability and U.S. market share goals. </w:t>
      </w:r>
      <w:r>
        <w:rPr>
          <w:rFonts w:ascii="Arial" w:cs="Arial" w:eastAsia="Arial" w:hAnsi="Arial"/>
          <w:sz w:val="18"/>
          <w:szCs w:val="18"/>
          <w:i w:val="1"/>
          <w:iCs w:val="1"/>
          <w:color w:val="auto"/>
        </w:rPr>
        <w:t>Increased Production Volume</w:t>
      </w:r>
    </w:p>
    <w:p>
      <w:pPr>
        <w:spacing w:after="0" w:line="1"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The moderate improvement in the U.S. economy, resulting increase in U.S. industry vehicle sales and increase in demand for our products has resulted in increased production volumes for GMNA. In the three months ended March 31, 2010 GMNA produced 668,000 vehicles. This represents an increase of 80.1% compared to 371,000 vehicles in the three months ended March 31, 2009 and an increase of 8.4% compared to 616,000 vehicles in the three months ended December 31,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Timely Repayment of Debt</w:t>
      </w:r>
    </w:p>
    <w:p>
      <w:pPr>
        <w:spacing w:after="0" w:line="171"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Proceeds from the DIP Facility were necessary in order to provide sufficient capital for Old GM to operate pending the closing of the 363 Sale. On July 10, 2009 we entered into the UST Credit Agreement and assumed debt of $7.1 billion (UST Loans), which Old GM incurred under the DIP Facility. On July 10, 2009 we also entered into the Canadian Loan Agreement and assumed a CAD $1.5 billion (equivalent to $1.3 billion when entered into) term loan (Canadian Loan). One of our key priorities was to repay the outstanding balances from these loans prior to maturity.</w:t>
      </w:r>
    </w:p>
    <w:p>
      <w:pPr>
        <w:spacing w:after="0" w:line="113"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In April 2010 we used funds from our escrow account to repay in full the outstanding amount of the UST Loans of $4.7 billion. In addition, General Motors of Canada Limited (GMCL) repaid in full the outstanding amount of the Canadian Loan of $1.1 billion. Both loans were repaid prior to maturity.</w:t>
      </w:r>
    </w:p>
    <w:p>
      <w:pPr>
        <w:spacing w:after="0" w:line="85" w:lineRule="exact"/>
        <w:rPr>
          <w:sz w:val="20"/>
          <w:szCs w:val="20"/>
          <w:color w:val="auto"/>
        </w:rPr>
      </w:pPr>
    </w:p>
    <w:p>
      <w:pPr>
        <w:ind w:right="620" w:firstLine="228"/>
        <w:spacing w:after="0" w:line="332" w:lineRule="auto"/>
        <w:rPr>
          <w:sz w:val="20"/>
          <w:szCs w:val="20"/>
          <w:color w:val="auto"/>
        </w:rPr>
      </w:pPr>
      <w:r>
        <w:rPr>
          <w:rFonts w:ascii="Arial" w:cs="Arial" w:eastAsia="Arial" w:hAnsi="Arial"/>
          <w:sz w:val="16"/>
          <w:szCs w:val="16"/>
          <w:color w:val="auto"/>
        </w:rPr>
        <w:t>Following the repayment of the UST Loans and the Canadian Loan, the remaining funds in an amount of $6.6 billion that were held in escrow became unrestricted. The availability of those funds is no longer subject to the conditions set forth in the UST Credit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Brand Rationalization</w:t>
      </w:r>
    </w:p>
    <w:p>
      <w:pPr>
        <w:spacing w:after="0" w:line="171"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We completed the sale of Saab Automobile AB (Saab) in February 2010 and are continuing the wind-down process of our Pontiac, Saturn, and HUMMER brands.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Dealer Reduction</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We market vehicles worldwide through a network of independent retail dealers and distributors. As part of achieving and sustaining long-term viability and the viability of our dealer network, we determined that a reduction in the number of U.S. dealerships was necessary. At March 31, 2010 there were approximately 5,300 vehicle dealers in the U.S. compared to approximately 5,600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December 31, 2009. Certain dealers that had signed wind-down agreements with us have elected to file for reinstatement through a binding arbitration process. In response to the arbitration filings we offered certain dealers reinstatement contingent upon compliance with our core business criteria for operation of a dealership. Further reductions in the number of U.S. dealerships will be dependent upon the ongoing reinstatement and arbitration process, which we expect will be fundamentally resolved in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320" w:firstLine="228"/>
        <w:spacing w:after="0" w:line="294" w:lineRule="auto"/>
        <w:rPr>
          <w:sz w:val="20"/>
          <w:szCs w:val="20"/>
          <w:color w:val="auto"/>
        </w:rPr>
      </w:pPr>
      <w:r>
        <w:rPr>
          <w:rFonts w:ascii="Arial" w:cs="Arial" w:eastAsia="Arial" w:hAnsi="Arial"/>
          <w:sz w:val="16"/>
          <w:szCs w:val="16"/>
          <w:color w:val="auto"/>
        </w:rPr>
        <w:t>In February 2010 we presented our plan for the long-term viability of our Opel/Vauxhall operations to the German government. Our plan includes funding requirement estimates of Euro 3.7 billion (equivalent to $5.1 billion) of which we plan to fund Euro 1.9 billion (equivalent to $2.6 billion) with the remaining funding from European governments. We are currently in discussions with European governments concerning funding support. We plan to invest in capital, engineering and innovative fuel efficient powertrain technologies including an extended- range electric vehicle and battery electric vehicles. Our plan also includes aggressive capacity reductions including headcount reductions and the closing of our Antwerp, Belgium facility.</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provides an update of our restructuring activities related to our Opel/Vauxhall operations.</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the three months ended March 31, 2010 GME recorded charges of $72 million related to separation/layoff plans and an early retirement plan in Spain which will affect 1,200 employees.</w:t>
      </w:r>
    </w:p>
    <w:p>
      <w:pPr>
        <w:spacing w:after="0" w:line="132"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the three months ended March 31, 2010 GME recorded charges of $184 million as the legal minimum for a separation plan related to the closure of the Antwerp, Belgium facility. Negotiations for the final termination benefits were concluded in April 2010, and the total separation costs are estimated to be Euro 0.4 billion (equivalent to $0.5 billion), which affect 2,600 employees. 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would hire. Employees who had not previously accepted termination benefits and were not hired by the purchaser of the plant would receive termination benefits. If an investor is not found, termination benefits will be offered to the remaining employees and the facility will close by December 31,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136 Loans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136 of the Energy Independence and Security Act of 2007 establishes an incentive program consisting of both grants and direct loans to support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advanced technology vehicles and associated components in the U.S. The U.S. Congress provided the U.S. Department of Energy (DOE)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billion in funding to make direct loans to eligible applicants for the costs of re-equipping, expanding, and establishing manufacturing facilities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to produce advanced technology vehicles and components for these vehicles. In October 2009 we requested an aggregate amount of $14.4 billion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136 Loans. Ongoing product portfolio updates and project modifications requested from the DOE have the potential to reduce the maximum loan amount.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date, the DOE has announced that it would provide approximately $8.3 billion in Section 136 Loans to Ford Motor Company, Nissan Motor Company, Telsa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Motors, Inc., Fisker Automotive, Inc., and Tenneco Inc. There can be no assurance that we will qualify for any remaining loans or receive any such loans even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qualify.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Patient Protection and Affordable Care Act</w:t>
      </w:r>
    </w:p>
    <w:p>
      <w:pPr>
        <w:spacing w:after="0" w:line="171"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actuarially equivalent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Fresh-Start Reporting</w:t>
      </w:r>
    </w:p>
    <w:p>
      <w:pPr>
        <w:spacing w:after="0" w:line="177"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application of fresh-start reporting significantly affected certain assets, liabilities, and expenses. As a result, certain financial information at and in the three months ended March 31, 2010 is not comparable to Old GM’s financial information. Total net sales and revenue was not significantly affected by fresh-start reporting and facilitates a comparison to combined vehicle sales data. Refer to Note 2 to the condensed consolidated financial statements for additional information on fresh-start reporting.</w:t>
      </w:r>
    </w:p>
    <w:p>
      <w:pPr>
        <w:spacing w:after="0" w:line="143"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Because our and Old GM’s financial information is not comparable, we are providing additional financial metrics for the periods presented in addition to disclosures concerning significant transactions and trends at March 31, 2010 and in the periods presented.</w:t>
      </w:r>
    </w:p>
    <w:p>
      <w:pPr>
        <w:spacing w:after="0" w:line="132"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Total net sales and revenue is primarily comprised of revenue generated from the sales of vehicles, in addition to revenue from OnStar, our customer subscription service, vehicle sales accounted for as operating leases and sales of parts and accessories.</w:t>
      </w:r>
    </w:p>
    <w:p>
      <w:pPr>
        <w:spacing w:after="0" w:line="132" w:lineRule="exact"/>
        <w:rPr>
          <w:sz w:val="20"/>
          <w:szCs w:val="20"/>
          <w:color w:val="auto"/>
        </w:rPr>
      </w:pPr>
    </w:p>
    <w:p>
      <w:pPr>
        <w:ind w:right="40" w:firstLine="228"/>
        <w:spacing w:after="0" w:line="323" w:lineRule="auto"/>
        <w:rPr>
          <w:sz w:val="20"/>
          <w:szCs w:val="20"/>
          <w:color w:val="auto"/>
        </w:rPr>
      </w:pPr>
      <w:r>
        <w:rPr>
          <w:rFonts w:ascii="Arial" w:cs="Arial" w:eastAsia="Arial" w:hAnsi="Arial"/>
          <w:sz w:val="15"/>
          <w:szCs w:val="15"/>
          <w:color w:val="auto"/>
        </w:rPr>
        <w:t>Cost of sales is primarily comprised of material, labor, manufacturing overhead, freight, foreign currency transaction and translation gains and losses, product engineering, design and development expenses, depreciation and amortization, policy and warranty costs, postemployment benefit gains and losses, and separation and impairment charges. Prior to our application of fresh-start reporting on July 10, 2009, Cost of sales also included gains and losses on derivative instruments. Effective July 10, 2009 gains and losses related to all nondesignated derivatives are recorded in Interest income and other non-operating income, net.</w:t>
      </w:r>
    </w:p>
    <w:p>
      <w:pPr>
        <w:spacing w:after="0" w:line="98"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Selling, general and administrative expense is primarily comprised of costs related to the advertising, selling and promotion of products, support services, including central office expenses, labor and benefit expenses for employees not considered part of the manufacturing process, consulting costs, rental expense for offices, bad debt expense and state and local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March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31, 2010</w:t>
            </w: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2,684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3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30,321</w:t>
            </w:r>
          </w:p>
        </w:tc>
        <w:tc>
          <w:tcPr>
            <w:tcW w:w="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 loss of GMAC</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 and equity income</w:t>
            </w: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Cumulative dividends on preferred stock</w:t>
            </w: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960" w:type="dxa"/>
            <w:vAlign w:val="bottom"/>
            <w:vMerge w:val="restart"/>
          </w:tcPr>
          <w:p>
            <w:pPr>
              <w:jc w:val="right"/>
              <w:ind w:right="2932"/>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Pr>
          <w:p>
            <w:pPr>
              <w:spacing w:after="0"/>
              <w:rPr>
                <w:sz w:val="19"/>
                <w:szCs w:val="19"/>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84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GMNA</w:t>
            </w:r>
          </w:p>
        </w:tc>
        <w:tc>
          <w:tcPr>
            <w:tcW w:w="13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668</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13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5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w:t>
            </w:r>
          </w:p>
        </w:tc>
        <w:tc>
          <w:tcPr>
            <w:tcW w:w="13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Shanghai General Motors Co., Ltd. (SGM), SAIC-GM-Wuling Automobile Co., Ltd. (SGMW), FAW-GM Light Duty Commercial Vehicle Co., Ltd. (FAW-GM) and SAIC GM Investment Ltd. (HKJV) joint venture production.</w:t>
      </w:r>
    </w:p>
    <w:p>
      <w:pPr>
        <w:spacing w:after="0" w:line="50"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Ownership of 34% in SGMW and 50% in FAW-GM, under the joint venture agreements, allows for significant rights as a member as well as the contractual right to report SGMW and FAW-GM production volume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8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c>
          <w:tcPr>
            <w:tcW w:w="17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March 31, 2009</w:t>
            </w:r>
          </w:p>
        </w:tc>
      </w:tr>
      <w:tr>
        <w:trPr>
          <w:trHeight w:val="129"/>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 %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Old</w:t>
            </w: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GM</w:t>
            </w:r>
          </w:p>
        </w:tc>
        <w:tc>
          <w:tcPr>
            <w:tcW w:w="7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GM</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GMNA (d)</w:t>
            </w:r>
          </w:p>
        </w:tc>
        <w:tc>
          <w:tcPr>
            <w:tcW w:w="520" w:type="dxa"/>
            <w:vAlign w:val="bottom"/>
          </w:tcPr>
          <w:p>
            <w:pPr>
              <w:jc w:val="right"/>
              <w:spacing w:after="0"/>
              <w:rPr>
                <w:sz w:val="20"/>
                <w:szCs w:val="20"/>
                <w:color w:val="auto"/>
              </w:rPr>
            </w:pPr>
            <w:r>
              <w:rPr>
                <w:rFonts w:ascii="Arial" w:cs="Arial" w:eastAsia="Arial" w:hAnsi="Arial"/>
                <w:sz w:val="18"/>
                <w:szCs w:val="18"/>
                <w:color w:val="auto"/>
              </w:rPr>
              <w:t>3,169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17.8%</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GMIO (e)(f)(g)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GME (e)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16"/>
        </w:trPr>
        <w:tc>
          <w:tcPr>
            <w:tcW w:w="7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Worldwide (e)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14,391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SGM, SGMW, FAW-GM and HKJV joint venture sales.</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Ownership of 34% in SGMW and 50% in FAW-GM under the joint venture agreements allows for significant rights as a member as well as contractual rights to report SGMW and FAW-GM vehicle sales in China as a part of global market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Segment Results</w:t>
      </w:r>
    </w:p>
    <w:p>
      <w:pPr>
        <w:spacing w:after="0" w:line="171"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Management believes earnings before interest and taxes (EBIT) provides meaningful supplemental information regarding our operating results because it excludes amounts that management does not consider part of operating results when assessing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measuring the operational and financial performance of the organization. Management believes these measures allow it to readily view operating trends, perform analytical comparisons, benchmark performance among geographic regions and assess whether our plan to return to profitability is on target. Accordingly, we believe EBIT is useful in allowing for greater transparency of our core operations and it is therefore used by management in its financial and operational decision-making.</w:t>
      </w:r>
    </w:p>
    <w:p>
      <w:pPr>
        <w:spacing w:after="0" w:line="143"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 summarizes the reconciliation of Earnings (loss) before interest and taxes to Net income (loss) attributable to stockholders for each of our operating segments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0"/>
              </w:rPr>
              <w:t>March 31, 2010</w:t>
            </w:r>
          </w:p>
        </w:tc>
        <w:tc>
          <w:tcPr>
            <w:tcW w:w="4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segments</w:t>
            </w:r>
          </w:p>
        </w:tc>
        <w:tc>
          <w:tcPr>
            <w:tcW w:w="2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GMNA (a)</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620" w:type="dxa"/>
            <w:vAlign w:val="bottom"/>
            <w:tcBorders>
              <w:right w:val="single" w:sz="8" w:color="auto"/>
            </w:tcBorders>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GMIO (a)</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GME (a)</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segments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before interest and taxes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our operating segments between Earnings (loss) attributable to stockholders before interest and taxes and Net income (loss) attributable to stockholders.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82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3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82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Three Months</w:t>
            </w:r>
          </w:p>
        </w:tc>
      </w:tr>
      <w:tr>
        <w:trPr>
          <w:trHeight w:val="149"/>
        </w:trPr>
        <w:tc>
          <w:tcPr>
            <w:tcW w:w="82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2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2010 vs. 2009</w:t>
            </w:r>
          </w:p>
        </w:tc>
      </w:tr>
      <w:tr>
        <w:trPr>
          <w:trHeight w:val="161"/>
        </w:trPr>
        <w:tc>
          <w:tcPr>
            <w:tcW w:w="8200" w:type="dxa"/>
            <w:vAlign w:val="bottom"/>
          </w:tcPr>
          <w:p>
            <w:pPr>
              <w:spacing w:after="0"/>
              <w:rPr>
                <w:sz w:val="14"/>
                <w:szCs w:val="14"/>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4"/>
                <w:szCs w:val="14"/>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9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$ 31,476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22,431</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7"/>
              </w:rPr>
              <w:t>$9,045   40.3%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Total net sales and revenue increased by $9.0 billion (or 40.3%), primarily due to:</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212" w:lineRule="exact"/>
        <w:rPr>
          <w:sz w:val="20"/>
          <w:szCs w:val="20"/>
          <w:color w:val="auto"/>
        </w:rPr>
      </w:pPr>
    </w:p>
    <w:p>
      <w:pPr>
        <w:ind w:left="660" w:hanging="43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volumes of $6.0 billion due to an improving economy;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Favorable pricing of $1.7 billion;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Favorable mix of $0.3 billion due to increased crossover and truck sales; partially offset by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$0.7 billion related to daily car rental revenue;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$0.6 billion due to unfavorable adjustments to the accrual for residential support programs for leased vehicles.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GMIO</w:t>
      </w:r>
    </w:p>
    <w:p>
      <w:pPr>
        <w:spacing w:after="0" w:line="212" w:lineRule="exact"/>
        <w:rPr>
          <w:sz w:val="20"/>
          <w:szCs w:val="20"/>
          <w:color w:val="auto"/>
        </w:rPr>
      </w:pPr>
    </w:p>
    <w:p>
      <w:pPr>
        <w:ind w:left="660" w:hanging="43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wholesale volumes of $1.0 billion as a result of increased sales throughout the region;</w:t>
      </w:r>
    </w:p>
    <w:p>
      <w:pPr>
        <w:spacing w:after="0" w:line="90"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foreign currency translation and transaction gains of $0.5 billion, primarily driven by the strengthening of major currencies such as the Korean Won and Australian Dollar versus the U.S. Dollar;</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vehicle mix of $0.3 billion, driven by launches of new vehicle models;</w:t>
      </w:r>
    </w:p>
    <w:p>
      <w:pPr>
        <w:spacing w:after="0" w:line="90" w:lineRule="exact"/>
        <w:rPr>
          <w:rFonts w:ascii="Arial" w:cs="Arial" w:eastAsia="Arial" w:hAnsi="Arial"/>
          <w:sz w:val="18"/>
          <w:szCs w:val="18"/>
          <w:color w:val="auto"/>
        </w:rPr>
      </w:pPr>
    </w:p>
    <w:p>
      <w:pPr>
        <w:ind w:left="660" w:right="220" w:hanging="43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Derivative losses of $0.2 billion that Old GM recorded in the three months ended March 31, 2009, which were primarily driven by the depreciation of the Korean Won in that period; and</w:t>
      </w:r>
    </w:p>
    <w:p>
      <w:pPr>
        <w:spacing w:after="0" w:line="5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vehicle pricing of $0.2 billion, primarily related to newly launched vehicles at GM Daewoo Auto &amp; Technology Co. (GM Daewoo) and in Venezuela to offset the devaluation caused by high inflation rate currently being experienced.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212" w:lineRule="exact"/>
        <w:rPr>
          <w:sz w:val="20"/>
          <w:szCs w:val="20"/>
          <w:color w:val="auto"/>
        </w:rPr>
      </w:pPr>
    </w:p>
    <w:p>
      <w:pPr>
        <w:ind w:left="660" w:hanging="43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Net foreign currency translation gains of $0.4 billion, driven primarily by the strengthening of the Euro and British Pound versus the U.S. Dollar;</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wholesale volumes of $0.2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Favorable vehicle pricing of $0.2 billion due to price increases throughout Europe; partially offset by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Unfavorable vehicle mix of $0.2 billion primarily due to shift in sales from Germany to southern European countries;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Decreased sales revenue from Saab of $0.2 billion due to the sale of Saab in February 2010;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Decreased revenue of $0.2 billion from lower volumes of remarketing fleet vehicles.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w:t>
      </w:r>
    </w:p>
    <w:p>
      <w:pPr>
        <w:spacing w:after="0" w:line="212" w:lineRule="exact"/>
        <w:rPr>
          <w:sz w:val="20"/>
          <w:szCs w:val="20"/>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Decreased lease financing revenue of $0.1 billion related to the liquidation of the portfolio of automotive retail leases.</w:t>
      </w:r>
    </w:p>
    <w:p>
      <w:pPr>
        <w:spacing w:after="0" w:line="171"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In the three months ended March 31, 2010 vehicle sales volumes increased most significantly in the United States where vehicle sales increased by 64,000 vehicles (or 15.6%), in Brazil where wholesale volumes increased by 45,000 vehicles (or 35.7%), and GM Daewoo where wholesale volumes increased by 20,000 vehicles (or 13.6%).</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Sales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Borders>
              <w:right w:val="single" w:sz="8" w:color="auto"/>
            </w:tcBorders>
            <w:gridSpan w:val="4"/>
          </w:tcPr>
          <w:p>
            <w:pPr>
              <w:jc w:val="right"/>
              <w:ind w:right="1280"/>
              <w:spacing w:after="0"/>
              <w:rPr>
                <w:sz w:val="20"/>
                <w:szCs w:val="20"/>
                <w:color w:val="auto"/>
              </w:rPr>
            </w:pPr>
            <w:r>
              <w:rPr>
                <w:rFonts w:ascii="Arial" w:cs="Arial" w:eastAsia="Arial" w:hAnsi="Arial"/>
                <w:sz w:val="14"/>
                <w:szCs w:val="14"/>
                <w:b w:val="1"/>
                <w:bCs w:val="1"/>
                <w:color w:val="auto"/>
              </w:rPr>
              <w:t>Successor</w:t>
            </w:r>
          </w:p>
        </w:tc>
        <w:tc>
          <w:tcPr>
            <w:tcW w:w="380" w:type="dxa"/>
            <w:vAlign w:val="bottom"/>
          </w:tcPr>
          <w:p>
            <w:pPr>
              <w:spacing w:after="0"/>
              <w:rPr>
                <w:sz w:val="19"/>
                <w:szCs w:val="19"/>
                <w:color w:val="auto"/>
              </w:rPr>
            </w:pPr>
          </w:p>
        </w:tc>
        <w:tc>
          <w:tcPr>
            <w:tcW w:w="2020" w:type="dxa"/>
            <w:vAlign w:val="bottom"/>
            <w:gridSpan w:val="4"/>
          </w:tcPr>
          <w:p>
            <w:pPr>
              <w:ind w:left="5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94"/>
              </w:rPr>
              <w:t>Three</w:t>
            </w: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Three</w:t>
            </w: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Months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of Total</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3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7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27,591</w:t>
            </w:r>
          </w:p>
        </w:tc>
        <w:tc>
          <w:tcPr>
            <w:tcW w:w="1820" w:type="dxa"/>
            <w:vAlign w:val="bottom"/>
            <w:tcBorders>
              <w:right w:val="single" w:sz="8" w:color="auto"/>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87.7%</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79"/>
              </w:rPr>
              <w:t>$ 24,611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Gross margin</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3,885</w:t>
            </w:r>
          </w:p>
        </w:tc>
        <w:tc>
          <w:tcPr>
            <w:tcW w:w="1820" w:type="dxa"/>
            <w:vAlign w:val="bottom"/>
            <w:tcBorders>
              <w:right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 (2,180)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363"/>
        </w:trPr>
        <w:tc>
          <w:tcPr>
            <w:tcW w:w="3300" w:type="dxa"/>
            <w:vAlign w:val="bottom"/>
          </w:tcPr>
          <w:p>
            <w:pPr>
              <w:spacing w:after="0"/>
              <w:rPr>
                <w:sz w:val="24"/>
                <w:szCs w:val="24"/>
                <w:color w:val="auto"/>
              </w:rPr>
            </w:pPr>
          </w:p>
        </w:tc>
        <w:tc>
          <w:tcPr>
            <w:tcW w:w="3300" w:type="dxa"/>
            <w:vAlign w:val="bottom"/>
          </w:tcPr>
          <w:p>
            <w:pPr>
              <w:jc w:val="right"/>
              <w:ind w:right="7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Cost of sales included: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212" w:lineRule="exact"/>
        <w:rPr>
          <w:sz w:val="20"/>
          <w:szCs w:val="20"/>
          <w:color w:val="auto"/>
        </w:rPr>
      </w:pPr>
    </w:p>
    <w:p>
      <w:pPr>
        <w:ind w:left="660" w:hanging="43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Foreign currency translation losses of $0.3 billion driven by the strengthening of the Canadian Dollar versus the U.S. Dollar; and</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adjustments of $0.1 billion to restructuring reserves due to increased production capacity utilization, which resulted in the recall of idled employees to fill added shifts at multiple U.S. production sites.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212" w:lineRule="exact"/>
        <w:rPr>
          <w:sz w:val="20"/>
          <w:szCs w:val="20"/>
          <w:color w:val="auto"/>
        </w:rPr>
      </w:pPr>
    </w:p>
    <w:p>
      <w:pPr>
        <w:ind w:left="660" w:hanging="436"/>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Restructuring charges of $0.3 billion to reduce our European footprint, primarily related to separation programs announced in Belgium and Spain.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Cost of sales included: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212" w:lineRule="exact"/>
        <w:rPr>
          <w:sz w:val="20"/>
          <w:szCs w:val="20"/>
          <w:color w:val="auto"/>
        </w:rPr>
      </w:pPr>
    </w:p>
    <w:p>
      <w:pPr>
        <w:ind w:left="660" w:right="280" w:hanging="43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Charges of $0.4 billion related to pension expense due to actuarial losses from lower asset returns, partially offset by lower ongoing postemployment benefit expenses from the elimination of post-65 benefits;</w:t>
      </w:r>
    </w:p>
    <w:p>
      <w:pPr>
        <w:spacing w:after="0" w:line="50"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Favorable adjustments of $0.3 billion primarily related to the suspension of the JOBS Program, Old GM’s job security provision in the collective bargaining agreement with the International Union, United Automobile, Aerospace and Agricultural Implement Workers of America (UAW) to continue paying idled employees certain wages and benefits;</w:t>
      </w:r>
    </w:p>
    <w:p>
      <w:pPr>
        <w:spacing w:after="0" w:line="59" w:lineRule="exact"/>
        <w:rPr>
          <w:rFonts w:ascii="Arial" w:cs="Arial" w:eastAsia="Arial" w:hAnsi="Arial"/>
          <w:sz w:val="18"/>
          <w:szCs w:val="18"/>
          <w:color w:val="auto"/>
        </w:rPr>
      </w:pPr>
    </w:p>
    <w:p>
      <w:pPr>
        <w:ind w:left="660" w:right="180" w:hanging="436"/>
        <w:spacing w:after="0" w:line="33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Postemployment benefit costs in the U.S. of $0.3 billion related to 7,000 employees participating in the 2009 Special Attrition Program, which offered cash and other incentives for eligible UAW-represented employees who elected to retire or voluntarily terminate employment;</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Incremental depreciation and amortization charges of $0.3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Charges of $0.3 billion related to obligations associated with the various Delphi agreements;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losses of $0.3 billion related to foreign currency exchange and commodity derivatives;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Charges of $0.3 billion for impairments for special tooling and product related machinery and equipment; and</w:t>
      </w:r>
    </w:p>
    <w:p>
      <w:pPr>
        <w:spacing w:after="0" w:line="9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Separation charges of $0.1 billion for a U.S. salaried severance program, which allows terminated employees to receive ongoing wages and benefits for no longer than 12 months.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212" w:lineRule="exact"/>
        <w:rPr>
          <w:sz w:val="20"/>
          <w:szCs w:val="20"/>
          <w:color w:val="auto"/>
        </w:rPr>
      </w:pPr>
    </w:p>
    <w:p>
      <w:pPr>
        <w:ind w:left="660" w:hanging="43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Incremental depreciation charges of $0.2 billion related to restructuring activities.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r>
      <w:tr>
        <w:trPr>
          <w:trHeight w:val="149"/>
        </w:trPr>
        <w:tc>
          <w:tcPr>
            <w:tcW w:w="4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4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4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363"/>
        </w:trPr>
        <w:tc>
          <w:tcPr>
            <w:tcW w:w="4340" w:type="dxa"/>
            <w:vAlign w:val="bottom"/>
          </w:tcPr>
          <w:p>
            <w:pPr>
              <w:spacing w:after="0"/>
              <w:rPr>
                <w:sz w:val="24"/>
                <w:szCs w:val="24"/>
                <w:color w:val="auto"/>
              </w:rPr>
            </w:pPr>
          </w:p>
        </w:tc>
        <w:tc>
          <w:tcPr>
            <w:tcW w:w="2200" w:type="dxa"/>
            <w:vAlign w:val="bottom"/>
          </w:tcPr>
          <w:p>
            <w:pPr>
              <w:jc w:val="right"/>
              <w:ind w:right="652"/>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Selling, general and administrative expense included incentive compensation and profit sharing costs of $0.1 billion and GMNA incurred an incremental $0.2 billion related to certain promotional campaigns and the launch of new vehicles.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the three months ended March 31, 2009 Selling, general and administrative expense was affected by the cancellation of certain sales and promotion contracts, overall reductions in the advertising and marketing budgets, and lower ongoing administrative expenses in GMNA due to cost savings initiatives and salaried headcount reductions.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Expenses, net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80"/>
              </w:rPr>
              <w:t>Predecessor</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6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March 31, 2010</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6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March 31, 2009</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Other expenses, net primarily consisted of ongoing expenses related to our portfolio of automotive retail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In the three months ended March 31, 2009 Other expenses, net included charges of $0.8 billion related to the deconsolidation of Saab. Saab filed for reorganization protection under the laws of Sweden in February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29"/>
        </w:trPr>
        <w:tc>
          <w:tcPr>
            <w:tcW w:w="3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84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r>
      <w:tr>
        <w:trPr>
          <w:trHeight w:val="149"/>
        </w:trPr>
        <w:tc>
          <w:tcPr>
            <w:tcW w:w="3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58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of Total</w:t>
            </w:r>
          </w:p>
        </w:tc>
        <w:tc>
          <w:tcPr>
            <w:tcW w:w="48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58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3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5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5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w:t>
            </w:r>
          </w:p>
        </w:tc>
        <w:tc>
          <w:tcPr>
            <w:tcW w:w="158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the three months ended March 31, 2010 Interest expense, net primarily related to interest expense on the UST Loans of $0.1 billion and GMIO debt of $0.1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the three months ended March 31, 2009 Interest expense, net primarily related to: (1) interest expense on the UST Loan Facility and other debt owed to the UST, unsecured bonds, secured revolver and other facilities of $0.7 billion; (2) amortization of discounts related to the UST Loan Facility of $0.3 billion; and (3) interest expense on GMIO debt of $0.1 billion.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47" w:lineRule="auto"/>
        <w:rPr>
          <w:sz w:val="20"/>
          <w:szCs w:val="20"/>
          <w:color w:val="auto"/>
        </w:rPr>
      </w:pPr>
      <w:r>
        <w:rPr>
          <w:rFonts w:ascii="Arial" w:cs="Arial" w:eastAsia="Arial" w:hAnsi="Arial"/>
          <w:sz w:val="18"/>
          <w:szCs w:val="18"/>
          <w:b w:val="1"/>
          <w:bCs w:val="1"/>
          <w:color w:val="auto"/>
        </w:rPr>
        <w:t xml:space="preserve">GENERAL MOTORS COMPANY AND SUBSIDIARIES </w:t>
      </w:r>
      <w:r>
        <w:rPr>
          <w:rFonts w:ascii="Arial" w:cs="Arial" w:eastAsia="Arial" w:hAnsi="Arial"/>
          <w:sz w:val="18"/>
          <w:szCs w:val="18"/>
          <w:i w:val="1"/>
          <w:iCs w:val="1"/>
          <w:color w:val="auto"/>
        </w:rPr>
        <w:t>Interest Income and Other Non-Operating Income, net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580"/>
              <w:spacing w:after="0"/>
              <w:rPr>
                <w:sz w:val="20"/>
                <w:szCs w:val="20"/>
                <w:color w:val="auto"/>
              </w:rPr>
            </w:pPr>
            <w:r>
              <w:rPr>
                <w:rFonts w:ascii="Arial" w:cs="Arial" w:eastAsia="Arial" w:hAnsi="Arial"/>
                <w:sz w:val="14"/>
                <w:szCs w:val="14"/>
                <w:b w:val="1"/>
                <w:bCs w:val="1"/>
                <w:color w:val="auto"/>
                <w:w w:val="79"/>
              </w:rPr>
              <w:t>Successor</w:t>
            </w:r>
          </w:p>
        </w:tc>
        <w:tc>
          <w:tcPr>
            <w:tcW w:w="74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4"/>
          </w:tcPr>
          <w:p>
            <w:pPr>
              <w:ind w:left="5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6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r>
      <w:tr>
        <w:trPr>
          <w:trHeight w:val="149"/>
        </w:trPr>
        <w:tc>
          <w:tcPr>
            <w:tcW w:w="62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5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44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5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62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In the three months ended March 31, 2010 Interest income and other non-operating income, net included a gain of $0.1 billion on the sale of Saab and gains of $0.1 billion primarily related to foreign currency exchange derivatives.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In the three months ended March 31, 2009 Interest income and other non-operating income, net included: (1) gains of $0.1 billion related to foreign currency exchange derivatives; and (2) a gain of $0.1 billion on a warrant that Old GM issued to the UST in connection with the UST Loan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(Loss) on Extinguishment of Debt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In the three months ended March 31, 2009 Gain (loss) on extinguishment of debt included a gain on extinguishment of debt of $0.9 billion related to an amendment made to Old GM’s U.S. term loan in March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 (Benefit)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66"/>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84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8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84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6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2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the three months ended March 31, 2010 Income tax expense primarily related to income tax provisions for profitable entities and a taxable foreign exchange gain in Venezuela.</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In the three months ended March 31, 2009 Income tax benefit primarily related to intraperiod tax allocation and other discrete items offset by income tax provisions for profitable entities.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Income, net of tax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84"/>
              </w:rPr>
              <w:t>Successor</w:t>
            </w:r>
          </w:p>
        </w:tc>
        <w:tc>
          <w:tcPr>
            <w:tcW w:w="740" w:type="dxa"/>
            <w:vAlign w:val="bottom"/>
            <w:tcBorders>
              <w:bottom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7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52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of Total</w:t>
            </w:r>
          </w:p>
        </w:tc>
        <w:tc>
          <w:tcPr>
            <w:tcW w:w="460" w:type="dxa"/>
            <w:vAlign w:val="bottom"/>
          </w:tcPr>
          <w:p>
            <w:pPr>
              <w:spacing w:after="0"/>
              <w:rPr>
                <w:sz w:val="12"/>
                <w:szCs w:val="12"/>
                <w:color w:val="auto"/>
              </w:rPr>
            </w:pPr>
          </w:p>
        </w:tc>
        <w:tc>
          <w:tcPr>
            <w:tcW w:w="15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Ended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7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2009</w:t>
            </w:r>
          </w:p>
        </w:tc>
        <w:tc>
          <w:tcPr>
            <w:tcW w:w="5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SGM and SGMW</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0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equity interests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income, net of tax</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0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Equity income, net of tax included equity income of $0.4 billion from our joint ventures in China, including $0.3 billion at SGM and $49 million at SGMW.</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In the three months ended March 31, 2009 Equity income, net of tax included equity income of $0.1 billion for SGM and SGMW, which was partially offset by equity losses of $56 million related to Old GM’s investments in New United Motor Manufacturing, Inc. and CAMI Automotive, Inc.</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Consolidated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84"/>
              </w:rPr>
              <w:t>Successor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12,741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notes receivable (net of allowance of $188 and $250)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8,694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11,192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2,319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and 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60,357</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59,247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Equity in net assets of nonconsolidated affiliates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8,430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Property,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18,432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30,487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13,690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non-current assets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75,664</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77,048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960"/>
              <w:spacing w:after="0"/>
              <w:rPr>
                <w:sz w:val="20"/>
                <w:szCs w:val="20"/>
                <w:color w:val="auto"/>
              </w:rPr>
            </w:pPr>
            <w:r>
              <w:rPr>
                <w:rFonts w:ascii="Arial" w:cs="Arial" w:eastAsia="Arial" w:hAnsi="Arial"/>
                <w:sz w:val="18"/>
                <w:szCs w:val="18"/>
                <w:b w:val="1"/>
                <w:bCs w:val="1"/>
                <w:color w:val="auto"/>
              </w:rPr>
              <w:t>LIABILITIES AND EQUITY (DEFICIT)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Accounts payable (principally trade)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20,450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Short-term debt and current portion of long-term debt (including debt at GM Daewoo of $1,308 at March 31, 2010)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Liabilities held for sale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(including derivative liabilities at GM Daewoo of $339 at March 31, 2010)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52,038</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Long-term debt (including debt at GM Daewoo of $740 at March 31, 2010)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Postretirement benefits other than pensions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8,794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26,492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Other liabilities and deferred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13,245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53,932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54,905</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105,970</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107,340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1"/>
              </w:rPr>
              <w:t>Preferred stock, $0.01 par value, (1,000,000,000 shares authorized, 360,000,000 shares issued and outstanding (each with 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$25.00 liquidation preference) at March 31, 2010 and December 31, 2009)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6,998</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w w:val="89"/>
              </w:rPr>
              <w:t>Common stock, $0.01 par value, (2,500,000,000 shares authorized, 500,000,000 shares issued and outstanding at March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2010 and December 31, 2009)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surplus (principally 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(3,529)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22,239</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21,249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23,053</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852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ratio (a)</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Days sales outstanding (b)</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Inventory turnover (b)</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Days payable outstanding (b)</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measurement shows the relationship of current assets to current liabilities at March 31, 2010 and December 31, 2009.</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measurements show the relationship of the applicable sales or cost of sales activity and the related average balance carried in the three months ended March 31, 2010 and December 31,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At March 31, 2010 Restricted cash of $12.7 billion decreased by $1.2 billion (or 8.5%), primarily due to the release of cash that we used to make our payments of $1.2 billion on the UST Loans and Canadian Loan in March 2010.</w:t>
      </w:r>
    </w:p>
    <w:p>
      <w:pPr>
        <w:spacing w:after="0" w:line="13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At March 31, 2010 Accounts and notes receivable of $8.7 billion increased by $1.2 billion (or 15.6%), largely due to higher sales in North America and at GM Daewoo.</w:t>
      </w:r>
    </w:p>
    <w:p>
      <w:pPr>
        <w:spacing w:after="0" w:line="132"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March 31, 2010 Inventories of $11.2 billion increased by $1.1 billion (or 10.7%) primarily due to higher production resulting from increased demand for our products.</w:t>
      </w:r>
    </w:p>
    <w:p>
      <w:pPr>
        <w:spacing w:after="0" w:line="132"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color w:val="auto"/>
        </w:rPr>
        <w:t>At March 31, 2010 Assets held for sale decreased by $0.3 billion (or 84.5%) due to a decrease of $0.4 billion related to the sale of Saab in February 2010, partially offset by an increase of $60 million related to Saab’s U.K. sales company (Saab GB). Saab GB’s assets include cash, inventory and receivables. The sales transaction related to Saab GB is expected to close in the three months ending June 30, 2010.</w:t>
      </w:r>
    </w:p>
    <w:p>
      <w:pPr>
        <w:spacing w:after="0" w:line="140"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At March 31, 2010 Equipment on operating leases, net of $2.3 billion decreased by $0.4 billion (or 15.0%) due to the continued liquidation of our portfolio of automotive retail leases. In the three months ended March 31, 2010 vehicles leased through the automotive retail portfolio were reduced by 12,000 vehicles and vehicles leased to U.S. daily rental car companies were reduced by 9,000 vehicles.</w:t>
      </w:r>
    </w:p>
    <w:p>
      <w:pPr>
        <w:spacing w:after="0" w:line="14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March 31, 2010 Other current assets and deferred income taxes of $1.9 billion increased by $0.1 billion (or 6.2%) primarily due to an increase in deferred tax benefits related to entities in jurisdictions where we have not established valuation allowances.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At March 31, 2010 Equity in net assets of nonconsolidated affiliates of $8.4 billion increased by $0.5 billion (or 6.2%), primarily due to: (1) equity income of $0.4 billion in the three months ended March 31, 2010; and (2) an investment of $0.2 billion in the HKJV joint venture; partially offset by (3) a decrease of $0.1 billion related to the sale of a 1% ownership interest in SGM to SAIC.</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March 31, 2010 Assets held for sale were reduced to $0 due to the sale of certain of our India operations (India Operations) in February 2010.</w:t>
      </w:r>
    </w:p>
    <w:p>
      <w:pPr>
        <w:spacing w:after="0" w:line="194"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At March 31, 2010 Property, net of $18.4 billion decreased by $0.3 billion (or 1.4%) primarily due to depreciation of $0.9 billion and foreign currency translation of $0.2 billion, partially offset by capital spending of $0.9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Goodwill of $30.5 billion decreased by $0.2 billion (or 0.6%) due to foreign currency translation.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At March 31, 2010 Intangible assets, net of $13.7 billion decreased by $0.9 billion (or 5.9%) primarily due to amortization of $0.7 billion and foreign currency translation of $0.1 billion.</w:t>
      </w:r>
    </w:p>
    <w:p>
      <w:pPr>
        <w:spacing w:after="0" w:line="132"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At March 31, 2010 Other assets of $4.6 billion decreased by $51 million (or 1.1%), primarily due to a reclassification of restricted cash from long-term to short-term of $0.2 billion and a decrease in deferred income taxes of $0.1 billion, partially offset by a note receivable of $0.2 billion that we received in connection with the sale of our India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At March 31, 2010 Accounts payable of $20.5 billion increased by $1.7 billion (or 9.2%) primarily due to increased production volumes that resulted in an increase in Accounts payable of $1.2 billion, the consolidation of GM Egypt’s Accounts payable of $0.2 billion in connection with our adoption of amendments to ASC 810-10 in January 2010, and the timing of payments in GMIO that resulted in higher Accounts payable balances of $0.2 billion.</w:t>
      </w:r>
    </w:p>
    <w:p>
      <w:pPr>
        <w:spacing w:after="0" w:line="10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March 31, 2010 Short-term debt and current portion of long-term debt of $8.8 billion decreased by $1.4 billion (or 14.2%), primarily due to our payments of $1.0 billion and $0.2 billion on the UST Loans and Canadian Loan in March 2010.</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At March 31, 2010 Liabilities held for sale decreased by $0.3 billion (or 83.1%) due to a decrease of $0.4 billion related to the sale of Saab in February 2010, partially offset by an increase of $60 million related to Saab GB. Saab GB’s liabilities primarily include accounts payable.</w:t>
      </w:r>
    </w:p>
    <w:p>
      <w:pPr>
        <w:spacing w:after="0" w:line="132" w:lineRule="exact"/>
        <w:rPr>
          <w:sz w:val="20"/>
          <w:szCs w:val="20"/>
          <w:color w:val="auto"/>
        </w:rPr>
      </w:pPr>
    </w:p>
    <w:p>
      <w:pPr>
        <w:jc w:val="both"/>
        <w:ind w:right="260" w:firstLine="228"/>
        <w:spacing w:after="0" w:line="259" w:lineRule="auto"/>
        <w:rPr>
          <w:sz w:val="20"/>
          <w:szCs w:val="20"/>
          <w:color w:val="auto"/>
        </w:rPr>
      </w:pPr>
      <w:r>
        <w:rPr>
          <w:rFonts w:ascii="Arial" w:cs="Arial" w:eastAsia="Arial" w:hAnsi="Arial"/>
          <w:sz w:val="18"/>
          <w:szCs w:val="18"/>
          <w:color w:val="auto"/>
        </w:rPr>
        <w:t>At March 31, 2010 Accrued expenses of $22.8 billion decreased by $0.4 billion (or 1.6%). The change in Accrued expenses was primarily related to lower deposits from rental car companies and policy, product warranty and recall campaigns of $0.7 billion, partially offset by an increase in accruals for income and other taxes.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At March 31, 2010 Long-term debt of $5.4 billion decreased by $0.2 billion (or 2.9%) primarily due to a reclassification from long-term to short-term of $0.1 billion and the payment of a long-term loan of $50 million.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Liabilities held for sale were reduced to $0 due to the sale of our India Operations in February 2010.</w:t>
      </w:r>
    </w:p>
    <w:p>
      <w:pPr>
        <w:spacing w:after="0" w:line="17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At March 31, 2010 Postretirement benefits other than pensions obligation of $8.8 billion increased by $0.1 billion (or 1.0%) primarily due to foreign currency translation.</w:t>
      </w:r>
    </w:p>
    <w:p>
      <w:pPr>
        <w:spacing w:after="0" w:line="132"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At March 31, 2010 our Pensions obligation of $26.5 billion decreased by $0.6 billion (or 2.2%) due to pension contributions of $0.2 billion and foreign currency translation of $0.4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information on each of our businesses and geographic segments is subsequently discussed.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46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4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46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12,319</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1,218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r>
      <w:tr>
        <w:trPr>
          <w:trHeight w:val="363"/>
        </w:trPr>
        <w:tc>
          <w:tcPr>
            <w:tcW w:w="4600" w:type="dxa"/>
            <w:vAlign w:val="bottom"/>
          </w:tcPr>
          <w:p>
            <w:pPr>
              <w:spacing w:after="0"/>
              <w:rPr>
                <w:sz w:val="24"/>
                <w:szCs w:val="24"/>
                <w:color w:val="auto"/>
              </w:rPr>
            </w:pPr>
          </w:p>
        </w:tc>
        <w:tc>
          <w:tcPr>
            <w:tcW w:w="4180" w:type="dxa"/>
            <w:vAlign w:val="bottom"/>
          </w:tcPr>
          <w:p>
            <w:pPr>
              <w:jc w:val="right"/>
              <w:ind w:right="289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116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1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March 31, 2009</w:t>
            </w:r>
          </w:p>
        </w:tc>
      </w:tr>
      <w:tr>
        <w:trPr>
          <w:trHeight w:val="210"/>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Cars</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620" w:type="dxa"/>
            <w:vAlign w:val="bottom"/>
            <w:tcBorders>
              <w:right w:val="single" w:sz="8" w:color="auto"/>
            </w:tcBorders>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Trucks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r>
      <w:tr>
        <w:trPr>
          <w:trHeight w:val="222"/>
        </w:trPr>
        <w:tc>
          <w:tcPr>
            <w:tcW w:w="8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620" w:type="dxa"/>
            <w:vAlign w:val="bottom"/>
            <w:tcBorders>
              <w:right w:val="single" w:sz="8" w:color="auto"/>
            </w:tcBorders>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r>
      <w:tr>
        <w:trPr>
          <w:trHeight w:val="20"/>
        </w:trPr>
        <w:tc>
          <w:tcPr>
            <w:tcW w:w="11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1"/>
              </w:rPr>
              <w:t>Successor</w:t>
            </w:r>
          </w:p>
        </w:tc>
        <w:tc>
          <w:tcPr>
            <w:tcW w:w="52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7200" w:type="dxa"/>
            <w:vAlign w:val="bottom"/>
          </w:tcPr>
          <w:p>
            <w:pPr>
              <w:spacing w:after="0"/>
              <w:rPr>
                <w:sz w:val="11"/>
                <w:szCs w:val="11"/>
                <w:color w:val="auto"/>
              </w:rPr>
            </w:pPr>
          </w:p>
        </w:tc>
        <w:tc>
          <w:tcPr>
            <w:tcW w:w="174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200" w:type="dxa"/>
            <w:vAlign w:val="bottom"/>
          </w:tcPr>
          <w:p>
            <w:pPr>
              <w:spacing w:after="0"/>
              <w:rPr>
                <w:sz w:val="14"/>
                <w:szCs w:val="14"/>
                <w:color w:val="auto"/>
              </w:rPr>
            </w:pPr>
          </w:p>
        </w:tc>
        <w:tc>
          <w:tcPr>
            <w:tcW w:w="2060" w:type="dxa"/>
            <w:vAlign w:val="bottom"/>
            <w:tcBorders>
              <w:right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0"/>
              </w:rPr>
              <w:t>March 31, 2010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GM as</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Old GM</w:t>
            </w:r>
          </w:p>
        </w:tc>
        <w:tc>
          <w:tcPr>
            <w:tcW w:w="20" w:type="dxa"/>
            <w:vAlign w:val="bottom"/>
          </w:tcPr>
          <w:p>
            <w:pPr>
              <w:spacing w:after="0"/>
              <w:rPr>
                <w:sz w:val="11"/>
                <w:szCs w:val="11"/>
                <w:color w:val="auto"/>
              </w:rPr>
            </w:pPr>
          </w:p>
        </w:tc>
      </w:tr>
      <w:tr>
        <w:trPr>
          <w:trHeight w:val="149"/>
        </w:trPr>
        <w:tc>
          <w:tcPr>
            <w:tcW w:w="7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rPr>
              <w:t>a % of</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72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Industry</w:t>
            </w:r>
          </w:p>
        </w:tc>
        <w:tc>
          <w:tcPr>
            <w:tcW w:w="180" w:type="dxa"/>
            <w:vAlign w:val="bottom"/>
          </w:tcPr>
          <w:p>
            <w:pPr>
              <w:spacing w:after="0"/>
              <w:rPr>
                <w:sz w:val="14"/>
                <w:szCs w:val="1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GM</w:t>
            </w:r>
          </w:p>
        </w:tc>
        <w:tc>
          <w:tcPr>
            <w:tcW w:w="8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Old GM</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Total GMNA</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3,169</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563</w:t>
            </w: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2,788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8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U.S. — Cars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190</w:t>
            </w: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 Trucks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8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Canada</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8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0"/>
              </w:rPr>
              <w:t>Predecessor</w:t>
            </w:r>
          </w:p>
        </w:tc>
        <w:tc>
          <w:tcPr>
            <w:tcW w:w="300" w:type="dxa"/>
            <w:vAlign w:val="bottom"/>
          </w:tcPr>
          <w:p>
            <w:pPr>
              <w:spacing w:after="0"/>
              <w:rPr>
                <w:sz w:val="19"/>
                <w:szCs w:val="19"/>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r>
      <w:tr>
        <w:trPr>
          <w:trHeight w:val="129"/>
        </w:trPr>
        <w:tc>
          <w:tcPr>
            <w:tcW w:w="45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1"/>
                <w:szCs w:val="11"/>
                <w:color w:val="auto"/>
              </w:rPr>
            </w:pPr>
          </w:p>
        </w:tc>
        <w:tc>
          <w:tcPr>
            <w:tcW w:w="980" w:type="dxa"/>
            <w:vAlign w:val="bottom"/>
          </w:tcPr>
          <w:p>
            <w:pPr>
              <w:jc w:val="center"/>
              <w:ind w:left="412"/>
              <w:spacing w:after="0" w:line="12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3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2010 vs. 2009 Change</w:t>
            </w:r>
          </w:p>
        </w:tc>
        <w:tc>
          <w:tcPr>
            <w:tcW w:w="2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$ 6,967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In the three months ended March 31, 2010 economic and industry factors continued to be challenging but they have improved compared to the corresponding period in 2009. In the three months ended March 31, 2010 our vehicle sales in the United States increased by 64,000 vehicles (or 15.6%), our United States market share was 18.4%, our vehicle sales in Canada decreased by 3,000 vehicles (or 5.0%) and our vehicle sales in Mexico increased by 1,000 vehicles (or 3.2%).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the three months ended March 31, 2010 Total net sales and revenue increased by $7.0 billion (or 56.6%), primarily due to: (1) increased volumes of $6.0 billion due to an improving economy; (2) favorable pricing of $1.7 billion; and (3) favorable mix of $0.3 billion due to increased crossover and truck sales. These increases were partially offset by: (1) a decrease of $0.7 billion related to daily rental car revenue; and (2) a decrease of $0.6 billion due to unfavorable adjustments to the accrual for residual support programs for leased vehicles.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EBIT was income of $1.2 billion driven by higher revenues. In the three months ended March 31, 2009 EBIT was a loss of $3.4 billion.</w:t>
      </w:r>
    </w:p>
    <w:p>
      <w:pPr>
        <w:spacing w:after="0" w:line="132"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Cost and expenses includes both fixed costs as well as costs which generally vary with production levels. In the three months ended March 31, 2010 certain fixed costs, primarily labor related, have continued to decrease in relation to historical levels primarily due to various separation and other programs implemented in 2009 in order to reduce labor costs as subsequently discussed. In the three months ended March 31, 2009, Old GM’s sales volumes were at historically low levels and Cost of sales exceeded Total net sales and revenue by $2.1 billion.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212" w:lineRule="exact"/>
        <w:rPr>
          <w:sz w:val="20"/>
          <w:szCs w:val="20"/>
          <w:color w:val="auto"/>
        </w:rPr>
      </w:pPr>
    </w:p>
    <w:p>
      <w:pPr>
        <w:ind w:left="660" w:hanging="43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Foreign currency translation losses of $0.3 billion driven by the strengthening of the Canadian Dollar versus the U.S. Dollar; and</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Favorable adjustments of $0.1 billion to restructuring reserves due to increased production capacity utilization, which resulted in the recall of idled employees to fill added shifts at multiple U.S. production sites.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212" w:lineRule="exact"/>
        <w:rPr>
          <w:sz w:val="20"/>
          <w:szCs w:val="20"/>
          <w:color w:val="auto"/>
        </w:rPr>
      </w:pPr>
    </w:p>
    <w:p>
      <w:pPr>
        <w:ind w:left="660" w:right="280" w:hanging="43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Charges of $0.4 billion related to pension expense due to actuarial losses from lower asset returns, partially offset by lower ongoing postemployment benefit expenses from the elimination of post-65 benefits;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Favorable adjustments of $0.3 billion primarily related to the suspension of the JOBS Program;</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Postemployment benefit costs in the U.S. of $0.3 billion related to 7,000 employees participating in the 2009 Special Attrition Program;</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Incremental depreciation and amortization of $0.3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Charges of $0.3 billion related to obligations associated with various Delphi agreements;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losses of $0.3 billion related to foreign currency exchange and commodity derivatives;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Charges of $0.3 billion for impairments for special tooling and product related machinery and equipment; and</w:t>
      </w:r>
    </w:p>
    <w:p>
      <w:pPr>
        <w:spacing w:after="0" w:line="9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Separation charges of $0.1 billion for a U.S. salaried severance program, which allows terminated employees to receive ongoing wages and benefits for no longer than 12 months.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9"/>
                <w:szCs w:val="19"/>
                <w:color w:val="auto"/>
              </w:rPr>
            </w:pPr>
          </w:p>
        </w:tc>
      </w:tr>
      <w:tr>
        <w:trPr>
          <w:trHeight w:val="156"/>
        </w:trPr>
        <w:tc>
          <w:tcPr>
            <w:tcW w:w="46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20" w:type="dxa"/>
            <w:vAlign w:val="bottom"/>
            <w:tcBorders>
              <w:right w:val="single" w:sz="8" w:color="auto"/>
            </w:tcBorders>
            <w:gridSpan w:val="3"/>
          </w:tcPr>
          <w:p>
            <w:pPr>
              <w:jc w:val="center"/>
              <w:ind w:right="520"/>
              <w:spacing w:after="0" w:line="156"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3"/>
                <w:szCs w:val="13"/>
                <w:color w:val="auto"/>
              </w:rPr>
            </w:pPr>
          </w:p>
        </w:tc>
        <w:tc>
          <w:tcPr>
            <w:tcW w:w="102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7"/>
              </w:rPr>
              <w:t>Three Months</w:t>
            </w:r>
          </w:p>
        </w:tc>
      </w:tr>
      <w:tr>
        <w:trPr>
          <w:trHeight w:val="149"/>
        </w:trPr>
        <w:tc>
          <w:tcPr>
            <w:tcW w:w="46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0"/>
              </w:rPr>
              <w:t>March 31, 2010</w:t>
            </w:r>
          </w:p>
        </w:tc>
        <w:tc>
          <w:tcPr>
            <w:tcW w:w="4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2009</w:t>
            </w:r>
          </w:p>
        </w:tc>
      </w:tr>
      <w:tr>
        <w:trPr>
          <w:trHeight w:val="20"/>
        </w:trPr>
        <w:tc>
          <w:tcPr>
            <w:tcW w:w="4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1,194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63"/>
        </w:trPr>
        <w:tc>
          <w:tcPr>
            <w:tcW w:w="4600" w:type="dxa"/>
            <w:vAlign w:val="bottom"/>
          </w:tcPr>
          <w:p>
            <w:pPr>
              <w:spacing w:after="0"/>
              <w:rPr>
                <w:sz w:val="24"/>
                <w:szCs w:val="24"/>
                <w:color w:val="auto"/>
              </w:rPr>
            </w:pPr>
          </w:p>
        </w:tc>
        <w:tc>
          <w:tcPr>
            <w:tcW w:w="3980" w:type="dxa"/>
            <w:vAlign w:val="bottom"/>
          </w:tcPr>
          <w:p>
            <w:pPr>
              <w:jc w:val="right"/>
              <w:ind w:right="269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6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8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8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20" w:type="dxa"/>
            <w:vAlign w:val="bottom"/>
            <w:tcBorders>
              <w:righ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SGM, SGMW, FAW-GM and HKJV joint venture production.</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Ownership of 34% in SGMW and 50% in FAW-GM under the joint venture agreements, allows for significant rights as a member as well as the contractual right to report SGMW and FAW-GM production volume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7800" w:type="dxa"/>
            <w:vAlign w:val="bottom"/>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7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800" w:type="dxa"/>
            <w:vAlign w:val="bottom"/>
          </w:tcPr>
          <w:p>
            <w:pPr>
              <w:spacing w:after="0"/>
              <w:rPr>
                <w:sz w:val="14"/>
                <w:szCs w:val="14"/>
                <w:color w:val="auto"/>
              </w:rPr>
            </w:pPr>
          </w:p>
        </w:tc>
        <w:tc>
          <w:tcPr>
            <w:tcW w:w="188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March 31, 2009</w:t>
            </w:r>
          </w:p>
        </w:tc>
      </w:tr>
      <w:tr>
        <w:trPr>
          <w:trHeight w:val="129"/>
        </w:trPr>
        <w:tc>
          <w:tcPr>
            <w:tcW w:w="78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Old GM as</w:t>
            </w:r>
          </w:p>
        </w:tc>
        <w:tc>
          <w:tcPr>
            <w:tcW w:w="20" w:type="dxa"/>
            <w:vAlign w:val="bottom"/>
          </w:tcPr>
          <w:p>
            <w:pPr>
              <w:spacing w:after="0"/>
              <w:rPr>
                <w:sz w:val="11"/>
                <w:szCs w:val="11"/>
                <w:color w:val="auto"/>
              </w:rPr>
            </w:pPr>
          </w:p>
        </w:tc>
      </w:tr>
      <w:tr>
        <w:trPr>
          <w:trHeight w:val="149"/>
        </w:trPr>
        <w:tc>
          <w:tcPr>
            <w:tcW w:w="7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 %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Old</w:t>
            </w:r>
          </w:p>
        </w:tc>
        <w:tc>
          <w:tcPr>
            <w:tcW w:w="1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7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GM</w:t>
            </w:r>
          </w:p>
        </w:tc>
        <w:tc>
          <w:tcPr>
            <w:tcW w:w="7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Industry</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7"/>
              </w:rPr>
              <w:t>GM</w:t>
            </w:r>
          </w:p>
        </w:tc>
        <w:tc>
          <w:tcPr>
            <w:tcW w:w="12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Total GMIO</w:t>
            </w:r>
          </w:p>
        </w:tc>
        <w:tc>
          <w:tcPr>
            <w:tcW w:w="520" w:type="dxa"/>
            <w:vAlign w:val="bottom"/>
          </w:tcPr>
          <w:p>
            <w:pPr>
              <w:jc w:val="right"/>
              <w:spacing w:after="0"/>
              <w:rPr>
                <w:sz w:val="20"/>
                <w:szCs w:val="20"/>
                <w:color w:val="auto"/>
              </w:rPr>
            </w:pPr>
            <w:r>
              <w:rPr>
                <w:rFonts w:ascii="Arial" w:cs="Arial" w:eastAsia="Arial" w:hAnsi="Arial"/>
                <w:sz w:val="18"/>
                <w:szCs w:val="18"/>
                <w:color w:val="auto"/>
              </w:rPr>
              <w:t>9,973</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1,030</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7,087</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China (d)(e)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Brazil</w:t>
            </w:r>
          </w:p>
        </w:tc>
        <w:tc>
          <w:tcPr>
            <w:tcW w:w="520" w:type="dxa"/>
            <w:vAlign w:val="bottom"/>
          </w:tcPr>
          <w:p>
            <w:pPr>
              <w:jc w:val="right"/>
              <w:spacing w:after="0"/>
              <w:rPr>
                <w:sz w:val="20"/>
                <w:szCs w:val="20"/>
                <w:color w:val="auto"/>
              </w:rPr>
            </w:pPr>
            <w:r>
              <w:rPr>
                <w:rFonts w:ascii="Arial" w:cs="Arial" w:eastAsia="Arial" w:hAnsi="Arial"/>
                <w:sz w:val="18"/>
                <w:szCs w:val="18"/>
                <w:color w:val="auto"/>
              </w:rPr>
              <w:t>788</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156</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19.9%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India (f)</w:t>
            </w:r>
          </w:p>
        </w:tc>
        <w:tc>
          <w:tcPr>
            <w:tcW w:w="520" w:type="dxa"/>
            <w:vAlign w:val="bottom"/>
          </w:tcPr>
          <w:p>
            <w:pPr>
              <w:jc w:val="right"/>
              <w:spacing w:after="0"/>
              <w:rPr>
                <w:sz w:val="20"/>
                <w:szCs w:val="20"/>
                <w:color w:val="auto"/>
              </w:rPr>
            </w:pPr>
            <w:r>
              <w:rPr>
                <w:rFonts w:ascii="Arial" w:cs="Arial" w:eastAsia="Arial" w:hAnsi="Arial"/>
                <w:sz w:val="18"/>
                <w:szCs w:val="18"/>
                <w:color w:val="auto"/>
              </w:rPr>
              <w:t>757</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543</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South Korea (g)</w:t>
            </w:r>
          </w:p>
        </w:tc>
        <w:tc>
          <w:tcPr>
            <w:tcW w:w="520" w:type="dxa"/>
            <w:vAlign w:val="bottom"/>
          </w:tcPr>
          <w:p>
            <w:pPr>
              <w:jc w:val="right"/>
              <w:spacing w:after="0"/>
              <w:rPr>
                <w:sz w:val="20"/>
                <w:szCs w:val="20"/>
                <w:color w:val="auto"/>
              </w:rPr>
            </w:pPr>
            <w:r>
              <w:rPr>
                <w:rFonts w:ascii="Arial" w:cs="Arial" w:eastAsia="Arial" w:hAnsi="Arial"/>
                <w:sz w:val="18"/>
                <w:szCs w:val="18"/>
                <w:color w:val="auto"/>
              </w:rPr>
              <w:t>369</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Middle East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Colombia</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34.1%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Venezuela</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45.6%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SGM, SGMW and FAW-GM joint venture sales.</w:t>
      </w:r>
    </w:p>
    <w:p>
      <w:pPr>
        <w:spacing w:after="0" w:line="90"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Ownership of 34% in SGMW and 50% in FAW-GM under the joint venture agreements, allows for significant rights as a member as well as the contractual right to report SGMW and FAW-GM vehicle sales in China as part of global market share. SGMW and FAW-GM sales in China included in our vehicle sales and market share data was 362,000 vehicles in the three months ended March 31, 2010. SGMW and FAW-GM sales in China included in Old GM’s vehicle sales and market share data was 231,000 vehicles in the three months ended March 31, 2009.</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HKJV joint venture sales.</w:t>
      </w:r>
    </w:p>
    <w:p>
      <w:pPr>
        <w:spacing w:after="0" w:line="9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Vehicle sales and market share data from sales of GM Daewoo produced Chevrolet brand products in Europe are reported as part of GME. Our sales of GM Daewoo produced Chevrolet brand products in Europe was 75,000 vehicles in the three months ended March 31, 2010. Old GM sales of GM Daewoo produced Chevrolet brand products in Europe was 83,000 vehicles in the three months ended March 31,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0"/>
              </w:rPr>
              <w:t>Predecessor</w:t>
            </w:r>
          </w:p>
        </w:tc>
        <w:tc>
          <w:tcPr>
            <w:tcW w:w="300" w:type="dxa"/>
            <w:vAlign w:val="bottom"/>
          </w:tcPr>
          <w:p>
            <w:pPr>
              <w:spacing w:after="0"/>
              <w:rPr>
                <w:sz w:val="19"/>
                <w:szCs w:val="19"/>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4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98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4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3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2010 vs. 2009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$ 2,328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the three months ended March 31, 2010 Total net sales and revenue increased by $2.3 billion (or 40.7%) primarily due to: (1) higher wholesale volumes of $1.0 billion as a result of increased sales throughout the region; (2) net foreign currency translation and transaction gains of $0.5 billion, primarily driven by the strengthening of local major currencies such as the Korean Won and Australian Dollar versus the U.S. Dollar; (3) favorable vehicle mix of $0.3 billion driven by launches of new vehicle models; (4) favorable pricing effect of $0.1 billion at GM Daewoo on newly launched vehicles and $0.1 billion in Venezuela to offset the devaluation caused by high inflation rate currently being experienced; and (5) derivative losses of $0.2 billion that Old GM recorded in the three months ended March 31, 2009, which were primarily driven by the depreciation of the Korean Won in that period. Subsequent to July 10, 2009, all gains and losses on nondesignated derivatives were recorded in Interest income and other non-operating income, net.</w:t>
      </w:r>
    </w:p>
    <w:p>
      <w:pPr>
        <w:spacing w:after="0" w:line="118"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Our revenue increased most significantly in Brazil and at GM Daewoo, primarily driven by a market recovery as well as a continuing effect of government incentive programs to lower interest rates and provide credit to customers, where wholesale volumes increased by 45,000 vehicles (or 35.7%) and 20,000 vehicles (or 13.6%).</w:t>
      </w:r>
    </w:p>
    <w:p>
      <w:pPr>
        <w:spacing w:after="0" w:line="140" w:lineRule="exact"/>
        <w:rPr>
          <w:sz w:val="20"/>
          <w:szCs w:val="20"/>
          <w:color w:val="auto"/>
        </w:rPr>
      </w:pPr>
    </w:p>
    <w:p>
      <w:pPr>
        <w:ind w:right="900" w:firstLine="228"/>
        <w:spacing w:after="0" w:line="268" w:lineRule="auto"/>
        <w:rPr>
          <w:sz w:val="20"/>
          <w:szCs w:val="20"/>
          <w:color w:val="auto"/>
        </w:rPr>
      </w:pPr>
      <w:r>
        <w:rPr>
          <w:rFonts w:ascii="Arial" w:cs="Arial" w:eastAsia="Arial" w:hAnsi="Arial"/>
          <w:sz w:val="18"/>
          <w:szCs w:val="18"/>
          <w:color w:val="auto"/>
        </w:rPr>
        <w:t>The increase in vehicle sales related to our China joint ventures is not reflected in Total net sales and revenue as China joint venture revenue is not consolidated in our financial results.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EBIT was income of $1.2 billion. In the three months ended March 31, 2009 EBIT was a loss of $1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90" w:lineRule="exact"/>
        <w:rPr>
          <w:sz w:val="20"/>
          <w:szCs w:val="20"/>
          <w:color w:val="auto"/>
        </w:rPr>
      </w:pPr>
    </w:p>
    <w:p>
      <w:pPr>
        <w:ind w:left="660" w:right="18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Favorable operating results of $0.7 billion from business units throughout the region primarily resulting from increased sales volume driven by market recovery and price increases;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Equity income of $0.4 billion primarily from China joint ventures;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Favorable fair value adjustments of derivative assets and liabilities of $0.1 billion primarily at GM Daewoo.</w:t>
      </w:r>
    </w:p>
    <w:p>
      <w:pPr>
        <w:spacing w:after="0" w:line="171" w:lineRule="exact"/>
        <w:rPr>
          <w:sz w:val="20"/>
          <w:szCs w:val="20"/>
          <w:color w:val="auto"/>
        </w:rPr>
      </w:pPr>
    </w:p>
    <w:p>
      <w:pPr>
        <w:jc w:val="both"/>
        <w:ind w:right="80" w:firstLine="228"/>
        <w:spacing w:after="0" w:line="303" w:lineRule="auto"/>
        <w:rPr>
          <w:sz w:val="20"/>
          <w:szCs w:val="20"/>
          <w:color w:val="auto"/>
        </w:rPr>
      </w:pPr>
      <w:r>
        <w:rPr>
          <w:rFonts w:ascii="Arial" w:cs="Arial" w:eastAsia="Arial" w:hAnsi="Arial"/>
          <w:sz w:val="15"/>
          <w:szCs w:val="15"/>
          <w:color w:val="auto"/>
        </w:rPr>
        <w:t>In January 2010 the Venezuelan government announced that the official fixed exchange rate of 2.15 Bolivar Fuerte (BsF) to $1.00 would be changed to a dual rate system that includes a 2.60 BsF to $1.00 essentials rate for food, technology and heavy machine importers and a 4.30 BsF to $1.00 non-essentials rate for all others. This devaluation required remeasurement of our Venezuelan subsidiaries’ non-U.S. dollar denominated monetary assets and liabilities. We used a rate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4.30 BsF to $1.00 to determine the remeasurement, which resulted in a charge of $25 million recorded in Cost of sales in the three months ended March 31,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90" w:lineRule="exact"/>
        <w:rPr>
          <w:sz w:val="20"/>
          <w:szCs w:val="20"/>
          <w:color w:val="auto"/>
        </w:rPr>
      </w:pPr>
    </w:p>
    <w:p>
      <w:pPr>
        <w:ind w:left="660" w:hanging="43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Equity income of $110 million primarily from China joint ventures;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Unfavorable fair value adjustment of derivative assets and liabilities of $0.1 billion primarily at GM Daewoo;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Incremental depreciation and tooling impairments of $28 million;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Separation costs and revisions to estimates of $41 million primarily related to South America and South Africa;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Unfavorable foreign currency transaction losses of $66 million primarily due to purchases of U.S. Dollars on the parallel market in Venezuela.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Europe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81"/>
              </w:rPr>
              <w:t>Successor</w:t>
            </w:r>
          </w:p>
        </w:tc>
        <w:tc>
          <w:tcPr>
            <w:tcW w:w="4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56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5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Borders>
              <w:right w:val="single" w:sz="8" w:color="auto"/>
            </w:tcBorders>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5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5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6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62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w:t>
            </w: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Loss before interest and income taxes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66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866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66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86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14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7200" w:type="dxa"/>
            <w:vAlign w:val="bottom"/>
          </w:tcPr>
          <w:p>
            <w:pPr>
              <w:spacing w:after="0"/>
              <w:rPr>
                <w:sz w:val="11"/>
                <w:szCs w:val="11"/>
                <w:color w:val="auto"/>
              </w:rPr>
            </w:pPr>
          </w:p>
        </w:tc>
        <w:tc>
          <w:tcPr>
            <w:tcW w:w="17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r>
      <w:tr>
        <w:trPr>
          <w:trHeight w:val="161"/>
        </w:trPr>
        <w:tc>
          <w:tcPr>
            <w:tcW w:w="7200" w:type="dxa"/>
            <w:vAlign w:val="bottom"/>
          </w:tcPr>
          <w:p>
            <w:pPr>
              <w:spacing w:after="0"/>
              <w:rPr>
                <w:sz w:val="14"/>
                <w:szCs w:val="14"/>
                <w:color w:val="auto"/>
              </w:rPr>
            </w:pPr>
          </w:p>
        </w:tc>
        <w:tc>
          <w:tcPr>
            <w:tcW w:w="2040" w:type="dxa"/>
            <w:vAlign w:val="bottom"/>
            <w:tcBorders>
              <w:right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8"/>
              </w:rPr>
              <w:t>March 31, 2010</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3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 a %</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Old GM</w:t>
            </w:r>
          </w:p>
        </w:tc>
      </w:tr>
      <w:tr>
        <w:trPr>
          <w:trHeight w:val="149"/>
        </w:trPr>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as a % of</w:t>
            </w:r>
          </w:p>
        </w:tc>
      </w:tr>
      <w:tr>
        <w:trPr>
          <w:trHeight w:val="161"/>
        </w:trPr>
        <w:tc>
          <w:tcPr>
            <w:tcW w:w="7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220" w:type="dxa"/>
            <w:vAlign w:val="bottom"/>
          </w:tcPr>
          <w:p>
            <w:pPr>
              <w:spacing w:after="0"/>
              <w:rPr>
                <w:sz w:val="14"/>
                <w:szCs w:val="14"/>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8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Old GM</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GME</w:t>
            </w:r>
          </w:p>
        </w:tc>
        <w:tc>
          <w:tcPr>
            <w:tcW w:w="500" w:type="dxa"/>
            <w:vAlign w:val="bottom"/>
          </w:tcPr>
          <w:p>
            <w:pPr>
              <w:jc w:val="right"/>
              <w:spacing w:after="0"/>
              <w:rPr>
                <w:sz w:val="20"/>
                <w:szCs w:val="20"/>
                <w:color w:val="auto"/>
              </w:rPr>
            </w:pPr>
            <w:r>
              <w:rPr>
                <w:rFonts w:ascii="Arial" w:cs="Arial" w:eastAsia="Arial" w:hAnsi="Arial"/>
                <w:sz w:val="18"/>
                <w:szCs w:val="18"/>
                <w:color w:val="auto"/>
              </w:rPr>
              <w:t>4,764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4,516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Germany</w:t>
            </w: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Spain</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France</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financial results from sales of GM Daewoo produced Chevrolet brand products are reported as part of GMIO. Our sales of GM Daewoo produced Chevrolet brand products included in vehicle sales and market share data was 75,000 vehicles in the three months ended March 31, 2010. Old GM sales of GM Daewoo produced Chevrolet brand products included in vehicle sales and market share data was 83,000 vehicles in the three months ended March 31, 2009.</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79"/>
              </w:rPr>
              <w:t>Successor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0"/>
              </w:rPr>
              <w:t>Predecessor</w:t>
            </w:r>
          </w:p>
        </w:tc>
        <w:tc>
          <w:tcPr>
            <w:tcW w:w="15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0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5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March 31, 2009</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2010 vs. 2009 Change</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228"/>
        <w:spacing w:after="0" w:line="286" w:lineRule="auto"/>
        <w:rPr>
          <w:sz w:val="20"/>
          <w:szCs w:val="20"/>
          <w:color w:val="auto"/>
        </w:rPr>
      </w:pPr>
      <w:r>
        <w:rPr>
          <w:rFonts w:ascii="Arial" w:cs="Arial" w:eastAsia="Arial" w:hAnsi="Arial"/>
          <w:sz w:val="16"/>
          <w:szCs w:val="16"/>
          <w:color w:val="auto"/>
        </w:rPr>
        <w:t>In the three months ended March 31, 2010 Total net sales and revenue increased by $0.2 billion (or 3.4%) due to: (1) net foreign currency translation gains of $0.4 billion, driven primarily by the strengthening of the Euro and British Pound versus the U.S. Dollar; (2) higher wholesale volumes of $0.2 billion;</w:t>
      </w:r>
    </w:p>
    <w:p>
      <w:pPr>
        <w:ind w:right="60" w:firstLine="8"/>
        <w:spacing w:after="0" w:line="255"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favorable vehicle pricing of $0.2 billion due to price increases throughout Europe; partially offset by (4) unfavorable vehicle mix of $0.2 billion primarily due to shift in sales from Germany to southern European countries; (5) decreased sales revenue from Saab of $0.2 billion due to the sale of Saab in February 2010; and (6) decreased revenue of $0.2 billion from lower volumes of remarketing fleet vehicles.</w:t>
      </w:r>
    </w:p>
    <w:p>
      <w:pPr>
        <w:spacing w:after="0" w:line="144"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line with the industry trends previously noted, our revenue increased primarily due to wholesale volume increases of 5,000 vehicles (or 1.6%). Wholesale volumes increased in southern European countries by 31,000 vehicles (or 55.6%) and commercial vehicle sales through our partnership with other manufacturers increased by 5,000 vehicles, which was partially offset with decreased wholesale volumes in Germany of 31,000 vehicles (or 39.6%).</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Before Interest and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EBIT was a loss of $0.5 billion. In the three months ended March 31, 2009 EBIT was a loss of $2.0 billion.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90" w:lineRule="exact"/>
        <w:rPr>
          <w:sz w:val="20"/>
          <w:szCs w:val="20"/>
          <w:color w:val="auto"/>
        </w:rPr>
      </w:pPr>
    </w:p>
    <w:p>
      <w:pPr>
        <w:ind w:left="660" w:hanging="436"/>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Restructuring charges of $0.3 billion to reduce our European footprint, primarily for separation programs announced in Belgium and Spain.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90" w:lineRule="exact"/>
        <w:rPr>
          <w:sz w:val="20"/>
          <w:szCs w:val="20"/>
          <w:color w:val="auto"/>
        </w:rPr>
      </w:pPr>
    </w:p>
    <w:p>
      <w:pPr>
        <w:ind w:left="660" w:right="220" w:hanging="43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expenses, net included charges of $0.8 billion related to the deconsolidation of Saab, which filed for reorganization protection under the laws of Sweden in February 2009;</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Operating losses related to Saab of $0.2 billion;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Incremental depreciation charges of $0.2 billion related to restructuring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79"/>
              </w:rPr>
              <w:t>Successor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41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4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Net loss attributable to stockholders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(851)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r>
      <w:tr>
        <w:trPr>
          <w:trHeight w:val="363"/>
        </w:trPr>
        <w:tc>
          <w:tcPr>
            <w:tcW w:w="4160" w:type="dxa"/>
            <w:vAlign w:val="bottom"/>
          </w:tcPr>
          <w:p>
            <w:pPr>
              <w:spacing w:after="0"/>
              <w:rPr>
                <w:sz w:val="24"/>
                <w:szCs w:val="24"/>
                <w:color w:val="auto"/>
              </w:rPr>
            </w:pPr>
          </w:p>
        </w:tc>
        <w:tc>
          <w:tcPr>
            <w:tcW w:w="4140" w:type="dxa"/>
            <w:vAlign w:val="bottom"/>
          </w:tcPr>
          <w:p>
            <w:pPr>
              <w:jc w:val="right"/>
              <w:ind w:right="24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Predecessor</w:t>
            </w:r>
          </w:p>
        </w:tc>
        <w:tc>
          <w:tcPr>
            <w:tcW w:w="220" w:type="dxa"/>
            <w:vAlign w:val="bottom"/>
          </w:tcPr>
          <w:p>
            <w:pPr>
              <w:spacing w:after="0"/>
              <w:rPr>
                <w:sz w:val="19"/>
                <w:szCs w:val="19"/>
                <w:color w:val="auto"/>
              </w:rPr>
            </w:pPr>
          </w:p>
        </w:tc>
        <w:tc>
          <w:tcPr>
            <w:tcW w:w="1260" w:type="dxa"/>
            <w:vAlign w:val="bottom"/>
            <w:vMerge w:val="restart"/>
          </w:tcPr>
          <w:p>
            <w:pPr>
              <w:jc w:val="center"/>
              <w:ind w:left="332"/>
              <w:spacing w:after="0"/>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26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0"/>
              </w:rPr>
              <w:t>March 31, 2010</w:t>
            </w:r>
          </w:p>
        </w:tc>
        <w:tc>
          <w:tcPr>
            <w:tcW w:w="4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March 31, 2009</w:t>
            </w:r>
          </w:p>
        </w:tc>
        <w:tc>
          <w:tcPr>
            <w:tcW w:w="220" w:type="dxa"/>
            <w:vAlign w:val="bottom"/>
          </w:tcPr>
          <w:p>
            <w:pPr>
              <w:spacing w:after="0"/>
              <w:rPr>
                <w:sz w:val="14"/>
                <w:szCs w:val="14"/>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4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  (145)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(72.9)%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the three months ended March 31, 2010 Total net sales and revenue decreased by $0.1 billion (or 72.9%) due primarily to decreased lease financing revenue related to the liquidation of the portfolio of automotive retail leases. Average outstanding automotive retail leases on-hand for GM and Old GM were 18,000 and 122,000 for the three months ended March 31, 2010 and 2009.</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Loss Attributable to Stockholders</w:t>
      </w:r>
    </w:p>
    <w:p>
      <w:pPr>
        <w:spacing w:after="0" w:line="171"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In the three months ended March 31, 2010 Net loss attributable to stockholders was $0.9 billion. In the three months ended March 31, 2009 Net loss attributable to stockholders was $0.6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90" w:lineRule="exact"/>
        <w:rPr>
          <w:sz w:val="20"/>
          <w:szCs w:val="20"/>
          <w:color w:val="auto"/>
        </w:rPr>
      </w:pPr>
    </w:p>
    <w:p>
      <w:pPr>
        <w:ind w:left="660" w:hanging="43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 expense of $0.3 billion primarily related to interest expense on the UST Loans of $0.1 billion and GMIO debt of $0.1 billion;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Income tax expense of $0.5 billion primarily related to income tax provisions for profitable entities and a taxable foreign exchange gain in Venezuela.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90" w:lineRule="exact"/>
        <w:rPr>
          <w:sz w:val="20"/>
          <w:szCs w:val="20"/>
          <w:color w:val="auto"/>
        </w:rPr>
      </w:pPr>
    </w:p>
    <w:p>
      <w:pPr>
        <w:ind w:left="660" w:hanging="436"/>
        <w:spacing w:after="0" w:line="259"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 expense of $1.2 billion primarily related to interest expense on the UST Loan Facility and other debt owed to the UST, unsecured bonds, secured revolver and other facilities of $0.7 billion, amortization of discounts related to the UST Loan Facility of $0.3 billion and interest expense on GMIO debt of $0.1 billion;</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Old GM’s proportionate share of GMAC’s loss from operations of $0.5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Gain on extinguishment of debt of $0.9 billion related to an amendment to Old GM’s term loan; and</w:t>
      </w:r>
    </w:p>
    <w:p>
      <w:pPr>
        <w:spacing w:after="0" w:line="90" w:lineRule="exact"/>
        <w:rPr>
          <w:rFonts w:ascii="Arial" w:cs="Arial" w:eastAsia="Arial" w:hAnsi="Arial"/>
          <w:sz w:val="18"/>
          <w:szCs w:val="18"/>
          <w:color w:val="auto"/>
        </w:rPr>
      </w:pPr>
    </w:p>
    <w:p>
      <w:pPr>
        <w:ind w:left="660" w:right="300" w:hanging="43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Income tax benefit of $0.1 billion primarily related to intraperiod tax allocation and other discrete items offset by income tax provisions of profitable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We believe that our current level of cash and restricted cash will be sufficient to meet our liquidity needs. However, we expect to have substantial cash requirements going forward. Our known material future uses of cash include, among other possible demands:</w:t>
      </w:r>
    </w:p>
    <w:p>
      <w:pPr>
        <w:spacing w:after="0" w:line="51" w:lineRule="exact"/>
        <w:rPr>
          <w:sz w:val="20"/>
          <w:szCs w:val="20"/>
          <w:color w:val="auto"/>
        </w:rPr>
      </w:pPr>
    </w:p>
    <w:p>
      <w:pPr>
        <w:ind w:left="660" w:right="640" w:hanging="43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Spending to implement long-term cost savings and restructuring plans such as restructuring our Opel/Vauxhall operations and potential capacity reduction programs;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Continuing capital expenditures;</w:t>
      </w:r>
    </w:p>
    <w:p>
      <w:pPr>
        <w:spacing w:after="0" w:line="90" w:lineRule="exact"/>
        <w:rPr>
          <w:rFonts w:ascii="Arial" w:cs="Arial" w:eastAsia="Arial" w:hAnsi="Arial"/>
          <w:sz w:val="18"/>
          <w:szCs w:val="18"/>
          <w:color w:val="auto"/>
        </w:rPr>
      </w:pPr>
    </w:p>
    <w:p>
      <w:pPr>
        <w:ind w:left="660" w:right="140" w:hanging="43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Repayment of the VEBA Notes that we issued under the VEBA Note Agreement with the UAW Retiree Medical Benefits Trust (New VEBA) and GM Daewoo’s revolving credit facility;</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debt payments;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Pension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sections of our 2009 Form 10-K and this report, some of which are outside our control. Macro-economic conditions could limit our ability to successfully execute our business plans and, therefore, adversely affect our liquidity plans.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Available liquidity includes cash balances and marketable securities. At March 31, 2010 available liquidity was $23.5 billion, not including funds available under credit facilities of $671 million or in the UST Credit Agreement and Canadian Health Care Trust (HCT) escrow accounts of $12.3 billion. The amount of available liquidity is subject to intra-month and seasonal fluctuations and includes balances held by various business units and subsidiaries worldwide that are needed to fund their operations.</w:t>
      </w:r>
    </w:p>
    <w:p>
      <w:pPr>
        <w:spacing w:after="0" w:line="143"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At March 31, 2010 we had substantially completed the process of changing our payment terms for the majority of our direct material, service parts and logistics suppliers from payments to be made on the second day after the second month end based on the date of purchase, which averages 47 day payment terms, to weekly payments. This change did not affect the average of 47 days that accounts payable are outstanding, but it did reduce volatility with respect to our intra-month liquidity and reduced our cash balances and liquidity at each month end. The change to weekly payment terms results in a better match between the timing of our receipt and disbursement of cash, which reduces volatility in our cash balances and lowers our minimum cash operating requirements. The effect of this change on cash balances for any particular month end will vary based on production mix and volume. We estimated that this change reduced our cash balances at March 31, 2010 by approximately $2.1 billion to $2.3 billion for suppliers then subject to the revised payment terms.</w:t>
      </w:r>
    </w:p>
    <w:p>
      <w:pPr>
        <w:spacing w:after="0" w:line="118" w:lineRule="exact"/>
        <w:rPr>
          <w:sz w:val="20"/>
          <w:szCs w:val="20"/>
          <w:color w:val="auto"/>
        </w:rPr>
      </w:pPr>
    </w:p>
    <w:p>
      <w:pPr>
        <w:ind w:right="440" w:firstLine="228"/>
        <w:spacing w:after="0" w:line="259" w:lineRule="auto"/>
        <w:rPr>
          <w:sz w:val="20"/>
          <w:szCs w:val="20"/>
          <w:color w:val="auto"/>
        </w:rPr>
      </w:pPr>
      <w:r>
        <w:rPr>
          <w:rFonts w:ascii="Arial" w:cs="Arial" w:eastAsia="Arial" w:hAnsi="Arial"/>
          <w:sz w:val="18"/>
          <w:szCs w:val="18"/>
          <w:color w:val="auto"/>
        </w:rPr>
        <w:t>We manage our global liquidity using cash investments in the U.S., the remaining unrestricted funds from the UST Credit Agreement and HCT escrow accounts, cash held at our international treasury centers and available liquidity at consolidated overseas subsidiaries. The following table summarizes global liquidity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23,310</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liquidity</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23,463</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24,134</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UST Credit Agreement and HCT escrow accounts (a)</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UST Credit Agreement and HCT escrow accounts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36,406</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Classified as restricted cash. Refer to Note 11 to the condensed consolidated financial statements.</w:t>
      </w:r>
    </w:p>
    <w:p>
      <w:pPr>
        <w:spacing w:after="0" w:line="171" w:lineRule="exact"/>
        <w:rPr>
          <w:sz w:val="20"/>
          <w:szCs w:val="20"/>
          <w:color w:val="auto"/>
        </w:rPr>
      </w:pPr>
    </w:p>
    <w:p>
      <w:pPr>
        <w:ind w:right="180" w:firstLine="228"/>
        <w:spacing w:after="0" w:line="332" w:lineRule="auto"/>
        <w:rPr>
          <w:sz w:val="20"/>
          <w:szCs w:val="20"/>
          <w:color w:val="auto"/>
        </w:rPr>
      </w:pPr>
      <w:r>
        <w:rPr>
          <w:rFonts w:ascii="Arial" w:cs="Arial" w:eastAsia="Arial" w:hAnsi="Arial"/>
          <w:sz w:val="16"/>
          <w:szCs w:val="16"/>
          <w:color w:val="auto"/>
        </w:rPr>
        <w:t>Total available liquidity increased by $0.7 billion in the three months ended March 31, 2010 primarily due to positive cash flows from operating activities of $1.7 billion and investing activities of $0.6 billion, which were partially offset by negative cash flows from financing activities of $1.7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At March 31, 2010 we had committed credit facilities of $2.1 billion, under which we had borrowed $1.9 billion leaving $220 million available. Of these committed credit facilities GM Daewoo held $1.2 billion and other entities held $0.9 billion. In addition, at March 31, 2010 we had uncommitted credit facilities of $0.5 billion, under which we had borrowed $45 million leaving $451 million available. 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Our largest credit facility is GM Daewoo’s $1.2 billion revolving credit facility, which was established in October 2002 with a syndicate of banks. All outstanding amounts at October 2010 will convert into a term loan and are required to be paid in four equal annual installments by October 2014. Borrowings under this facility bear interest based on Korean Won denominated certificates of deposit. The average interest rate on outstanding amounts under this facility at March 31, 2010 was 5.7%. The borrowings are secured by certain GM Daewoo property, plant and equipment and are used by GM Daewoo for general corporate purposes, including working capital needs. At March 31, 2010 the facility was fully utilized with $1.2 billion outstanding. In April 2010 GM Daewoo repaid $225 million of its $1.2 billion revolving credit facility.</w:t>
      </w:r>
    </w:p>
    <w:p>
      <w:pPr>
        <w:spacing w:after="0" w:line="144"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balance of our credit facilities are held by geographically dispersed subsidiaries, with available capacity on the facilities primarily concentrated at a few of our subsidiaries. At March 31, 2010 GM Hong Kong had $170 million of capacity on a $200 million term facility secured by a portion of our equity interest in SGM, with an additional $200 million revolving facility secured by the same collateral set to become available in late 2010. In addition, we have $356 million of capacity on a $371 million secured term facility available to certain of our subsidiaries in Thailand over 2010 and 2011. The facilities were entered into to fund growth opportunities within GMIO and meet potential cyclical cash needs.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right="60" w:firstLine="228"/>
        <w:spacing w:after="0" w:line="298" w:lineRule="auto"/>
        <w:rPr>
          <w:sz w:val="20"/>
          <w:szCs w:val="20"/>
          <w:color w:val="auto"/>
        </w:rPr>
      </w:pPr>
      <w:r>
        <w:rPr>
          <w:rFonts w:ascii="Arial" w:cs="Arial" w:eastAsia="Arial" w:hAnsi="Arial"/>
          <w:sz w:val="16"/>
          <w:szCs w:val="16"/>
          <w:color w:val="auto"/>
        </w:rPr>
        <w:t>At March 31, 2010 we had proceeds remaining from the DIP Facility of $11.3 billion deposited in the UST Credit Agreement escrow account. In March 2010 we made payments of $1.0 billion and $194 million on the UST Loans and Canadian Loan. Upon making such payments, equivalent amounts were released to us from escrow. In April 2010 we used funds from our escrow account of $4.7 billion to repay in full the outstanding amount of the UST Loans. In addition, GMCL repaid in full the outstanding amount of the Canadian Loan of $1.1 billion. Both loans were repaid prior to maturity.</w:t>
      </w:r>
    </w:p>
    <w:p>
      <w:pPr>
        <w:spacing w:after="0" w:line="113"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Following the repayment of the UST Loans and the Canadian Loan, the remaining funds in an amount of $6.6 billion became unrestricted. The availability of those funds is no longer subject to the conditions set forth in the UST Credit Agreement.</w:t>
      </w:r>
    </w:p>
    <w:p>
      <w:pPr>
        <w:spacing w:after="0" w:line="132"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Pursuant to an agreement between Old GM, EDC and an escrow agent we had $986 million remaining in an escrow account at March 31, 2010 to fund certain of GMCL’s health care obligations pending the satisfaction of certain preconditions which have not yet been met.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the three months ended March 31, 2010 we had positive cash flows from operating activities of $1.7 billion primarily due to: (1) net income of $1.2 billion, which included non-cash charges of $1.8 billion resulting from depreciation, impairment and amortization expense (including amortization of debt issuance costs and discounts); partially offset by (2) unfavorable changes in working capital of $0.7 billion; and (3) contributions to pension and OPEB plans of $0.6 billion. The unfavorable changes in working capital were related to increases in accounts receivables and inventories, partially offset by an increase in accounts payable.</w:t>
      </w:r>
    </w:p>
    <w:p>
      <w:pPr>
        <w:spacing w:after="0" w:line="113"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In the three months ended March 31, 2009 Old GM had negative cash flows from operating activities of $9.4 billion primarily due to: (1) net loss of $5.9 billion, which included non-cash charges of $3.0 billion resulting from depreciation, impairment and amortization expense (including amortization of debt issuance costs and discounts); (2) a decrease in accrued liabilities of $4.1 billion; (3) unfavorable working capital of $1.9 billion due to decreases in accounts payable partially offset by a decrease in accounts receivable and inventories; and (4) contributions to pension and OPEB plans of $1.3 billion; partially offset by (5) liquidations of vehicles leased to daily rental car companies of $0.9 billion.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00" w:firstLine="228"/>
        <w:spacing w:after="0" w:line="306" w:lineRule="auto"/>
        <w:rPr>
          <w:sz w:val="20"/>
          <w:szCs w:val="20"/>
          <w:color w:val="auto"/>
        </w:rPr>
      </w:pPr>
      <w:r>
        <w:rPr>
          <w:rFonts w:ascii="Arial" w:cs="Arial" w:eastAsia="Arial" w:hAnsi="Arial"/>
          <w:sz w:val="16"/>
          <w:szCs w:val="16"/>
          <w:color w:val="auto"/>
        </w:rPr>
        <w:t>In the three months ended March 31, 2010 we had positive cash flows from investing activities of $0.6 billion primarily due to: (1) a reduction in restricted cash of $1.2 billion related to withdrawals from the UST Credit Agreement escrow account; (2) liquidations of operating leases of $0.1 billion; and (3) an increase in cash of $0.1 billion from the consolidation of GM Egypt; partially offset by (4) capital expenditures of $0.8 billion.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In the three months ended March 31, 2009 Old GM had negative cash flows from investing activities of $2.3 billion primarily due to: (1) capital expenditures of $1.6 billion; and (2) investment in GMAC of $0.9 billion; partially offset by (3) liquidations of automotive retail leases of $0.3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the three months ended March 31, 2010 we had negative cash flows from financing activities of $1.7 billion primarily due to: (1) repayments on the UST Loans and Canadian Loan of $1.0 billion and $0.2 billion; (2) preferred dividend payments of $0.2 billion; (3) payments on a program announced in March 2009 to provide financial assistance to automotive suppliers (Receivables Program) of $0.2 billion; and (4) net decrease in short-term debt of $0.1 billion.</w:t>
      </w:r>
    </w:p>
    <w:p>
      <w:pPr>
        <w:spacing w:after="0" w:line="107"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In the three months ended March 31, 2009 Old GM had positive cash flows from financing activities of $9.3 billion primarily due to: (1) proceeds from debt issued to the UST of $10.3 billion; partially offset by a decrease in Short-term debt and current portion of long-term debt of $0.9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Liquid Assets (Debt)</w:t>
      </w:r>
    </w:p>
    <w:p>
      <w:pPr>
        <w:spacing w:after="0" w:line="171"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Management believes the use of net liquid assets (debt) provides meaningful supplemental information regarding our liquidity. Accordingly, we believe net liquid assets (debt) is useful in allowing for greater transparency of supplemental information used by management in its financial and operational decision making to assist in identifying resources available to meet cash requirements. Our calculation of net liquid assets (debt) may not be completely comparable to similarly titled measures of other companies due to potential differences between companies in the method of calculation. As a result, the use of net liquid assets (debt) has limitations and should not be considered in isolation from, or as a substitute for, other measures such as Cash and cash equivalents and Debt. Due to these limitations, net liquid assets (debt) is used as a supplement to U.S. GAAP measures.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net liquid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23,310</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UST Credit Agreement and Canadian HCT escrow accounts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80" w:type="dxa"/>
            <w:vAlign w:val="bottom"/>
            <w:gridSpan w:val="2"/>
          </w:tcPr>
          <w:p>
            <w:pPr>
              <w:spacing w:after="0"/>
              <w:rPr>
                <w:sz w:val="20"/>
                <w:szCs w:val="20"/>
                <w:color w:val="auto"/>
              </w:rPr>
            </w:pPr>
            <w:r>
              <w:rPr>
                <w:rFonts w:ascii="Arial" w:cs="Arial" w:eastAsia="Arial" w:hAnsi="Arial"/>
                <w:sz w:val="18"/>
                <w:szCs w:val="18"/>
                <w:color w:val="auto"/>
              </w:rPr>
              <w:t>Total liquid assets</w:t>
            </w:r>
          </w:p>
        </w:tc>
        <w:tc>
          <w:tcPr>
            <w:tcW w:w="2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35,735</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(8,773)</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(5,401)</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liquid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Total liquid asset balances exceeded our debt balances by $21.6 billion at March 31, 2010. This balance represented an increase of $1.1 billion in the net liquid asset balance in the three months ended March 31, 2010. The change was due to an increase of $0.7 billion in Cash and cash equivalents (as previously discussed) and Marketable securities and a decrease of $1.6 billion in Short-term and Long-term debt, partially offset by a reduction of $1.2 billion in the UST Credit Agreement escrow balance. The decrease in Short-term and Long-term debt primarily related to: (1) payment on the UST Loans of $1.0 billion; (2) payment on the Canadian Loan of $0.2 billion; and (3) repayment in full of the loans related to the Receivables Program of $0.2 billion.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Liquidity Issues</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363 Sale, we assumed the obligation of the Receivables Program.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GMAC currently finances our vehicles while they are in-transit to dealers in a number of markets including the U.S. In the event GMAC significantly limits or ceases to finance in-transit vehicles, our liquidity will be adversely affected.</w:t>
      </w:r>
    </w:p>
    <w:p>
      <w:pPr>
        <w:spacing w:after="0" w:line="132"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We have extended loan commitments to certain affiliated companies and critical business partners. These commitments can be triggered under certain conditions and expire in the years 2010, 2011 and 2014. At March 31, 2010 we had a total commitment of $700 million outstanding with no amounts loaned.</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We have covenants in our VEBA Note Agreement that could limit the amount and type of additional financing that we could raise to bolster our liquidity if needed.</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the three months ended March 31, 2010 GME recorded charges of $72 million related to separation/layoff plans and an early retirement plan in Spain which will affect 1,200 employees. These charges are expected to result in future cash expenditures.</w:t>
      </w:r>
    </w:p>
    <w:p>
      <w:pPr>
        <w:spacing w:after="0" w:line="132"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the three months ended March 31, 2010 GME recorded charges of $184 million as the legal minimum for a separation plan related to the closure of the Antwerp, Belgium facility. Negotiations for the final termination benefits were concluded in April 2010, and the total separation costs are estimated to be Euro 0.4 billion (equivalent to $0.5 billion), which affect 2,600 employees. These charges are expected to result in future cash expenditures. 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would hire. Employees who had not previously accepted termination benefits and were not hired by the purchaser of the plant would receive termination benefits. If an investor is not found, termination benefits will be offered to the remaining employees and the facility will close by December 31, 2010.</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Non-Cash Charges (Gains)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significant non-cash charges (gains)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related to equipment on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Long-lived asset impairment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related to equity and cost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(gain) on secured debt extinguishment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significant non-cash charges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32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Three Months</w:t>
      </w:r>
    </w:p>
    <w:p>
      <w:pPr>
        <w:ind w:left="240"/>
        <w:spacing w:after="0"/>
        <w:rPr>
          <w:sz w:val="20"/>
          <w:szCs w:val="20"/>
          <w:color w:val="auto"/>
        </w:rPr>
      </w:pPr>
      <w:r>
        <w:rPr>
          <w:rFonts w:ascii="Arial" w:cs="Arial" w:eastAsia="Arial" w:hAnsi="Arial"/>
          <w:sz w:val="14"/>
          <w:szCs w:val="14"/>
          <w:b w:val="1"/>
          <w:bCs w:val="1"/>
          <w:color w:val="auto"/>
        </w:rPr>
        <w:t>Ended</w:t>
      </w:r>
    </w:p>
    <w:p>
      <w:pPr>
        <w:ind w:left="200"/>
        <w:spacing w:after="0" w:line="221" w:lineRule="auto"/>
        <w:rPr>
          <w:sz w:val="20"/>
          <w:szCs w:val="20"/>
          <w:color w:val="auto"/>
        </w:rPr>
      </w:pPr>
      <w:r>
        <w:rPr>
          <w:rFonts w:ascii="Arial" w:cs="Arial" w:eastAsia="Arial" w:hAnsi="Arial"/>
          <w:sz w:val="14"/>
          <w:szCs w:val="14"/>
          <w:b w:val="1"/>
          <w:bCs w:val="1"/>
          <w:color w:val="auto"/>
        </w:rPr>
        <w:t>March</w:t>
      </w:r>
    </w:p>
    <w:p>
      <w:pPr>
        <w:ind w:left="180"/>
        <w:spacing w:after="0"/>
        <w:rPr>
          <w:sz w:val="20"/>
          <w:szCs w:val="20"/>
          <w:color w:val="auto"/>
        </w:rPr>
      </w:pPr>
      <w:r>
        <w:rPr>
          <w:rFonts w:ascii="Arial" w:cs="Arial" w:eastAsia="Arial" w:hAnsi="Arial"/>
          <w:sz w:val="14"/>
          <w:szCs w:val="14"/>
          <w:b w:val="1"/>
          <w:bCs w:val="1"/>
          <w:color w:val="auto"/>
        </w:rPr>
        <w:t>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232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45</w:t>
      </w:r>
    </w:p>
    <w:p>
      <w:pPr>
        <w:spacing w:after="0" w:line="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327</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23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232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5232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9760" w:space="720"/>
            <w:col w:w="920"/>
          </w:cols>
          <w:pgMar w:left="240" w:top="459" w:right="259" w:bottom="1440" w:gutter="0" w:footer="0" w:header="0"/>
          <w:type w:val="continuous"/>
        </w:sectPr>
      </w:pPr>
    </w:p>
    <w:p>
      <w:pPr>
        <w:ind w:right="80" w:firstLine="228"/>
        <w:spacing w:after="0" w:line="256" w:lineRule="auto"/>
        <w:rPr>
          <w:sz w:val="20"/>
          <w:szCs w:val="20"/>
          <w:color w:val="auto"/>
        </w:rPr>
      </w:pPr>
      <w:r>
        <w:rPr>
          <w:rFonts w:ascii="Arial" w:cs="Arial" w:eastAsia="Arial" w:hAnsi="Arial"/>
          <w:sz w:val="18"/>
          <w:szCs w:val="18"/>
          <w:color w:val="auto"/>
        </w:rPr>
        <w:t>We are considering making a discretionary contribution to the U.S. hourly defined benefit pension plan. This discretionary contribution is being considered to offset the effect of the increase to the projected benefit obligation of the U.S. hourly defined benefit pension plan incurred as a result of the Delphi Benefit Guarantee Agreements being triggered as well as to possibly reduce the projected future cash funding requirements. We are currently evaluating the amount, timing, and form of assets that may be contributed.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have provided guarantees related to the residual value of operating leases, certain suppliers’ commitments, certain product-related claims and commercial loans made by GMAC and outstanding with certain third parties excluding residual support and risk sharing related to GMAC. The maximum potential obligation under these commitments is $709 million at March 31, 2010. This amount includes a guarantee provided to GMAC in Brazil in connection with dealer floor plan financing, which is secured by an interest in certificates of deposit of $8 million purchased from GMAC to which we have title.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Our current agreement with GMAC requires the repurchase of GMAC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ends in August 2010 for vehicles invoiced through August 2009 and ends in August 2011 for vehicles invoiced through August 2010.</w:t>
      </w:r>
    </w:p>
    <w:p>
      <w:pPr>
        <w:spacing w:after="0" w:line="143"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The maximum potential amount of future payments required to be made to GMAC under this guarantee would be based on the repurchase value of total eligible vehicles financed by GMAC in dealer stock and is estimated to be $15.4 billion at March 31, 2010. If vehicles are required to be repurchased under this arrangement, the total exposure would be reduced to the extent vehicles are able to be resold to another dealer or at auction. The fair value of the guarantee was $35 million at March 31, 2010, which considers the likelihood of dealers terminating and estimated loss exposure for the ultimate disposition of vehicles.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16 to the condensed consolidated financial statements for additional information on guarantees we have provided.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January 2009 Old GM adopted ASC 820-10, “Fair Value Measurements and Disclosures,” for nonfinancial assets and nonfinancial liabilities. Refer to Note</w:t>
      </w:r>
    </w:p>
    <w:p>
      <w:pPr>
        <w:spacing w:after="0" w:line="3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20 to the condensed consolidated financial statements for additional information regarding fair value measurements of nonfinancial assets and nonfinancial liabilities. Refer to Note 18 to the condensed consolidated financial statements for additional information regarding fair value measurements of financial assets and financial liabilities.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assets and liabilities classified as Level 3, with the related Level 3 inputs, are as follows:</w:t>
      </w:r>
    </w:p>
    <w:p>
      <w:pPr>
        <w:spacing w:after="0" w:line="90" w:lineRule="exact"/>
        <w:rPr>
          <w:sz w:val="20"/>
          <w:szCs w:val="20"/>
          <w:color w:val="auto"/>
        </w:rPr>
      </w:pPr>
    </w:p>
    <w:p>
      <w:pPr>
        <w:ind w:left="660" w:right="140" w:hanging="436"/>
        <w:spacing w:after="0" w:line="25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Foreign currency derivatives — Level 3 inputs used to determine the fair value of foreign currency derivative liabilities include the appropriate credit spread to measure our nonperformance risk. Given our nonperformance risk is not observable through the credit default swap market we based this measurement on an analysis of comparable industrial companies to determine the appropriate credit spread which would be applied to us and Old GM by market participants in each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3 Assets and Liabilities</w:t>
      </w:r>
    </w:p>
    <w:p>
      <w:pPr>
        <w:spacing w:after="0" w:line="171"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At March 31, 2010 we used Level 3 inputs to measure net liabilities of $376 million (or 0.4%) of our total liabilities. These net liabilities included $23 million (or 0.1%) of the total assets, and $399 million (or 97.8%) of the total liabilities (of which $378 million were derivative liabilities) that we measured at fair value.</w:t>
      </w:r>
    </w:p>
    <w:p>
      <w:pPr>
        <w:spacing w:after="0" w:line="85"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At March 31, 2010 net liabilities of $376 million measured using Level 3 inputs were primarily comprised of foreign currency derivatives. Foreign currency derivatives were classified as Level 3 due to an unobservable input which relates to our nonperformance risk. Given our nonperformance risk is not observable through the credit default swap market we based this measurement on an analysis of comparable industrial companies to determine the appropriate credit spread which would be applied to us by market participants. At March 31, 2010 we included a non-performance risk adjustment of $19 million in the fair value measurement of these derivatives which reflects a discount of 5.1% to the fair value before considering our credit risk. We anticipate settling these derivatives at maturity at fair value unadjusted for our nonperformance risk. Credit risk adjustments made to a derivative liability reverse as the derivative contract approaches maturity. This effect is accelerated if a contract is settled prior to maturity.</w:t>
      </w:r>
    </w:p>
    <w:p>
      <w:pPr>
        <w:spacing w:after="0" w:line="118"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assets and liabilities measured using Level 3 inputs decreased $296 million from a net liability of $672 million to a net liability of $376 million primarily due to unrealized and realized gains on and the settlement of derivatives.</w:t>
      </w:r>
    </w:p>
    <w:p>
      <w:pPr>
        <w:spacing w:after="0" w:line="13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At December 31, 2009 we used Level 3 inputs to measure net liabilities of $672 million (or 0.6%) of our total liabilities. These net liabilities included $33 million (or 0.1%) of the total assets, and $705 million (or 98.7%) of the total liabilities (all of which were derivative liabilities) that we measured at fair value. At December 31, 2009 we also included a non-performance risk adjustment of $47 million in the fair value measurement of these derivatives which reflects a discount of 6.5% to the fair value before considering our credit risk.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For periods presented after June 1, 2009 nonperformance risk for us and Old GM was not observable through the credit default swap market as a result of the Chapter 11 Proceedings for Old GM and the lack of traded instruments for us. As a result, foreign currency derivatives with a fair market value of $1.6 billion were transferred from Level 2 to Level 3 in the three months ended June 30, 2009.</w:t>
      </w:r>
    </w:p>
    <w:p>
      <w:pPr>
        <w:spacing w:after="0" w:line="140"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40"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Realized gains and losses related to assets and liabilities measured using Level 3 inputs did not have a material effect on operations, liquidity or capital resources in the three months ended March 31, 2010 and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Since our formation, we have not paid any dividends on our common stock. We have no current plans to pay any dividends on our common stock. So long as any share of our Series A Fixed Rate Cumulative Perpetual Preferred Stock (Series A Preferred Stock) remains outstanding, no dividend or distribution may be declared or paid on our common stock unless all accrued and unpaid dividends have been paid on our Series A Preferred Stock subject to exceptions such as dividends on our common stock payable solely in shares of our common stock. In addition, the VEBA Note Agreement contains certain restrictions on our ability to pay dividends, other than dividends payable solely in our shares of common stock.</w:t>
      </w:r>
    </w:p>
    <w:p>
      <w:pPr>
        <w:spacing w:after="0" w:line="116"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particular, the VEBA Note Agreement provides that we may not pay any such dividends on our common stock unless no default or event of default has occurred under such agreement and is continuing at the time of such payment and, immediately prior to and after giving effect to such dividend, our consolidated leverage ratio is less than 3.00 to 1.00.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payment of dividends in the future, if any, will be determined by our Board of Directors and will be paid out of funds legally available for that purpose.</w:t>
      </w:r>
    </w:p>
    <w:p>
      <w:pPr>
        <w:spacing w:after="0" w:line="194"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On March 15, 2010 we paid dividends of $203 million on our Series A Preferred Stock for the period December 15, 2009 to March 14, 2010 following approval by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we employed 205,000 employees. The following table summarizes employment by region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84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9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GMNA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GMIO (b)</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GME (c)(d)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Total Worldwide</w:t>
            </w: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215</w:t>
            </w:r>
          </w:p>
        </w:tc>
      </w:tr>
      <w:tr>
        <w:trPr>
          <w:trHeight w:val="20"/>
        </w:trPr>
        <w:tc>
          <w:tcPr>
            <w:tcW w:w="8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Salaried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United States — Hourly</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Beginning with the three months ended March 31, 2010 substantially all of the 1,200 Corporate employees are included in GMNA.</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Decrease in GMIO reflects a reduction of 2,400 employees due to the sale of our India Operations and the reclassification of 2,700 hourly employees to contract status.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Decrease in GME primarily reflects reduction of 3,200 employees due to the sale of Saab and reduction of 800 hourly employees in Germany.</w:t>
      </w:r>
    </w:p>
    <w:p>
      <w:pPr>
        <w:spacing w:after="0" w:line="113"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GME hourly inactive employees are no longer included in GME’s totals. GME hourly inactive employees excluded in the three months ended March 31, 2010 and 2009 were 2,300 and 2,500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2009 Form 10-K.</w:t>
      </w:r>
    </w:p>
    <w:p>
      <w:pPr>
        <w:spacing w:after="0" w:line="113" w:lineRule="exact"/>
        <w:rPr>
          <w:sz w:val="20"/>
          <w:szCs w:val="20"/>
          <w:color w:val="auto"/>
        </w:rPr>
      </w:pPr>
    </w:p>
    <w:p>
      <w:pPr>
        <w:jc w:val="both"/>
        <w:ind w:right="280" w:firstLine="228"/>
        <w:spacing w:after="0" w:line="298" w:lineRule="auto"/>
        <w:rPr>
          <w:sz w:val="20"/>
          <w:szCs w:val="20"/>
          <w:color w:val="auto"/>
        </w:rPr>
      </w:pPr>
      <w:r>
        <w:rPr>
          <w:rFonts w:ascii="Arial" w:cs="Arial" w:eastAsia="Arial" w:hAnsi="Arial"/>
          <w:sz w:val="16"/>
          <w:szCs w:val="16"/>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 We have discussed the development, selection and disclosures of our critical accounting estimates with the Audit Committee of the Board of Directors, and the Audit Committee has reviewed the disclosures relating to these estimates. Modifications to our critical accounting estimates regarding deferred taxes are discussed below.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Taxes</w:t>
      </w:r>
    </w:p>
    <w:p>
      <w:pPr>
        <w:spacing w:after="0" w:line="90"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We establish and Old GM established valuation allowances for deferred tax assets based on a more likely than not threshold. The ability to realize deferred tax assets depends on the ability to generate sufficient taxable income within the carryback or carryforward periods provided for in the tax law for each applicable tax jurisdiction. We consider and Old GM considered the following possible sources of taxable income when assessing the realization of deferred tax assets:</w:t>
      </w:r>
    </w:p>
    <w:p>
      <w:pPr>
        <w:spacing w:after="0" w:line="26" w:lineRule="exact"/>
        <w:rPr>
          <w:sz w:val="20"/>
          <w:szCs w:val="20"/>
          <w:color w:val="auto"/>
        </w:rPr>
      </w:pPr>
    </w:p>
    <w:p>
      <w:pPr>
        <w:ind w:left="660" w:hanging="43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The assessment regarding whether a valuation allowance is required or should be adjusted also considers, among other matters, the nature, frequency and severity of recent losses, forecasts of future profitability, the duration of statutory carryforward periods, our and Old GM’s experience with tax attributes expiring unused and tax planning alternatives. In making such judgments, significant weight is given to evidence that can be objectively verified.</w:t>
      </w:r>
    </w:p>
    <w:p>
      <w:pPr>
        <w:spacing w:after="0" w:line="10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Concluding that a valuation allowance is not required is difficult when there is significant negative evidence that is objective and verifiable, such as cumulative losses in recent years. Although we are a new company, and our ability to achieve future profitability was enhanced by the cost and liability reductions that occurred as a result of the Chapter 11 Proceedings and 363 Sale, Old GM’s historic operating results remain relevant as they are reflective of the industry and the effect of economic conditions. The fundamental businesses and inherent risks in which we globally operate did not change from those in which Old GM operated. We utilize and Old GM utilized a rolling three years of actual and current year anticipated results as the primary measure of cumulative losses in recent years. However, because a substantial portion of those cumulative losses relate to various non-recurring matters, those three-year cumulative results are adjusted for the effect of these items. In addition the near- and medium-term financial outlook is considered when assessing the need for a valuation allowance.</w:t>
      </w:r>
    </w:p>
    <w:p>
      <w:pPr>
        <w:spacing w:after="0" w:line="118"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If, in the future, we generate taxable income in jurisdictions where we have recorded full valuation allowances, on a sustained basis, our conclusion regarding the need for full valuation allowances in these tax jurisdictions could change, resulting in the reversal of some or all of the valuation allowances. If our operations generate taxable income prior to reaching profitability on a sustained basis, we would reverse a portion of the valuation allowance related to the corresponding realized tax benefit for that period, without changing our conclusions on the need for a full valuation allowance against the remaining net deferred tax assets.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The valuation of deferred tax assets requires judgment and accounting for deferred tax consequences of events that have been recorded in the financial statements or in the tax returns and our future profitability represents our best estimate of those future events. Changes in our current estimates, due to unanticipated events or otherwise, could have a material effect on our financial condition and results of operations. In 2008 because Old GM concluded there was substantial doubt related to its ability to continue as a going concern, it was determined that it was more likely than not that it would not realize its net deferred tax assets in most jurisdictions even though certain of these entities were not in three-year adjusted cumulative loss positions. In July 2009 with U.S. parent company liquidity concerns resolved in connection with the Chapter 11 Proceedings and the 363 Sale, to the extent there was no other significant negative evidence, we concluded that it is more likely than not that we would realize the deferred tax assets in jurisdictions not in three-year adjusted cumulative loss positions.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3 to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this report and in reports we subsequently file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37" w:lineRule="exact"/>
        <w:rPr>
          <w:sz w:val="20"/>
          <w:szCs w:val="20"/>
          <w:color w:val="auto"/>
        </w:rPr>
      </w:pPr>
    </w:p>
    <w:p>
      <w:pPr>
        <w:ind w:left="660" w:hanging="43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160" w:hanging="436"/>
        <w:spacing w:after="0" w:line="33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ability of our new executive management team to quickly learn the automotive industry, and adapt and excel in their new management roles;</w:t>
      </w:r>
    </w:p>
    <w:p>
      <w:pPr>
        <w:spacing w:after="0" w:line="113" w:lineRule="exact"/>
        <w:rPr>
          <w:rFonts w:ascii="Arial" w:cs="Arial" w:eastAsia="Arial" w:hAnsi="Arial"/>
          <w:sz w:val="16"/>
          <w:szCs w:val="16"/>
          <w:color w:val="auto"/>
        </w:rPr>
      </w:pPr>
    </w:p>
    <w:p>
      <w:pPr>
        <w:ind w:left="660" w:right="620" w:hanging="43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right="120" w:hanging="436"/>
        <w:spacing w:after="0" w:line="33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the VEBA Note Agreement;</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right="20" w:hanging="43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qualify for federal funding of our advanced technology vehicle programs under Section 136 of the Energy Independence and Security Act of 2007;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right="180" w:hanging="43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ability of our European operations to successfully restructure and receive adequate financial support from various European governments or other sources;</w:t>
      </w:r>
    </w:p>
    <w:p>
      <w:pPr>
        <w:spacing w:after="0" w:line="50" w:lineRule="exact"/>
        <w:rPr>
          <w:rFonts w:ascii="Arial" w:cs="Arial" w:eastAsia="Arial" w:hAnsi="Arial"/>
          <w:sz w:val="18"/>
          <w:szCs w:val="18"/>
          <w:color w:val="auto"/>
        </w:rPr>
      </w:pPr>
    </w:p>
    <w:p>
      <w:pPr>
        <w:jc w:val="both"/>
        <w:ind w:left="660" w:right="260" w:hanging="436"/>
        <w:spacing w:after="0" w:line="306"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continued availability of both wholesale and retail financing from GMAC and its affiliates in the United States, Canada and the other markets in which we operate to support our ability to sell vehicles in those markets, which is dependent on GMAC’s ability to obtain funding and which may be suspended by GMAC if GMAC’s credit exposure to us exceeds certain limitations provided in our operating arrangements with GMAC;</w:t>
      </w:r>
    </w:p>
    <w:p>
      <w:pPr>
        <w:spacing w:after="0" w:line="25" w:lineRule="exact"/>
        <w:rPr>
          <w:rFonts w:ascii="Arial" w:cs="Arial" w:eastAsia="Arial" w:hAnsi="Arial"/>
          <w:sz w:val="16"/>
          <w:szCs w:val="16"/>
          <w:color w:val="auto"/>
        </w:rPr>
      </w:pPr>
    </w:p>
    <w:p>
      <w:pPr>
        <w:ind w:left="660" w:hanging="436"/>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ind w:left="660" w:right="220" w:hanging="436"/>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Continued economic and automotive industry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w:t>
      </w:r>
    </w:p>
    <w:p>
      <w:pPr>
        <w:spacing w:after="0" w:line="90" w:lineRule="exact"/>
        <w:rPr>
          <w:rFonts w:ascii="Arial" w:cs="Arial" w:eastAsia="Arial" w:hAnsi="Arial"/>
          <w:sz w:val="18"/>
          <w:szCs w:val="18"/>
          <w:color w:val="auto"/>
        </w:rPr>
      </w:pPr>
    </w:p>
    <w:p>
      <w:pPr>
        <w:ind w:left="660" w:right="140" w:hanging="43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in our markets, on our pricing policies or use of incentives and the introduction of new and improved vehicle models by our competitors;</w:t>
      </w:r>
    </w:p>
    <w:p>
      <w:pPr>
        <w:spacing w:after="0" w:line="50" w:lineRule="exact"/>
        <w:rPr>
          <w:rFonts w:ascii="Arial" w:cs="Arial" w:eastAsia="Arial" w:hAnsi="Arial"/>
          <w:sz w:val="18"/>
          <w:szCs w:val="18"/>
          <w:color w:val="auto"/>
        </w:rPr>
      </w:pPr>
    </w:p>
    <w:p>
      <w:pPr>
        <w:ind w:left="660" w:right="120" w:hanging="436"/>
        <w:spacing w:after="0" w:line="33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where such actions may affect the production, licensing, distribution or sale of our products, the cost thereof or applicable tax rates;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20" w:hanging="43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w:t>
      </w:r>
    </w:p>
    <w:p>
      <w:pPr>
        <w:spacing w:after="0" w:line="5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risks described from time to time in periodic and current reports that we file with the SEC.</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in our exposure to market risk since December 31, 2009. Refer to item 7A in our 2009 Form 10-K.</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7"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Our management, with the participation of our Chairman and CEO and Vice Chairman and CFO, evaluated the effectiveness of our disclosure controls and procedures (as defined in Rules 13a-15(e) or 15d-15(e) promulgated under the Exchange Act) at March 31, 2010. Based on this evaluation, our CEO and CFO concluded that, at that date, the disclosure controls and procedures required by paragraph (b) of Rules 13a-15 or 15d-15 were not effective at a reasonable assurance level because of a material weakness in internal control over financial reporting at GM as reported in our 2009 Form 10-K at December 31, 2009 that continues to exist.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Remediation, and Changes in Internal Controls</w:t>
      </w:r>
    </w:p>
    <w:p>
      <w:pPr>
        <w:spacing w:after="0" w:line="17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material weakness relates to controls that were not effective over the period-end financial reporting process. This ineffective process resulted in a significant number and magnitude of out-of-period adjustments to the consolidated financial statements. Specifically, controls have not been effective to ensure that accounting estimates and other adjustments were appropriately reviewed, analyzed and monitored by competent accounting staff on a timely basis. Additionally, some of the adjustments that were recorded related to account reconciliations not being performed effectively. Such a material weakness in the period-end financial reporting process has a pervasive effect on the reliability of financial reporting and could result in a company not being able to meet its regulatory filing deadlines. If not remediated, it is reasonably possible that our condensed consolidated financial statements could contain a material misstatement or that we could miss a filing deadline in the future.</w:t>
      </w:r>
    </w:p>
    <w:p>
      <w:pPr>
        <w:spacing w:after="0" w:line="118"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We believe that the remediation activities completed at December 31, 2009 and discussed in our 2009 Form 10-K would have been sufficient to allow us to conclude that the previously identified material weakness no longer existed at December 31, 2009. However, due to the complexity of fresh-start adjustments resulting from the Chapter 11 Proceedings and the related 363 Sale in 2009 and the number of accounting periods open at one time, management did not have clear visibility into the operational effectiveness of newly remediated controls within the period-end financial reporting process. In some cases, management was not able to sufficiently test the operating effectiveness of certain remediated controls in 2009 and to conclude that the controls related to the period-end financial reporting process were operating effectively. During the three months ended March 31, 2010, management led various initiatives, including training, to help ensure the controls related to the period-end financial close process would operate as they had been designed and deployed during the 2009 material weakness remediation efforts. Testing is planned to assess operational effectiveness during 2010. Also, management identified additional opportunities to improve the effectiveness and efficiency of the Company’s internal controls related to the period-end financial reporting process.</w:t>
      </w:r>
    </w:p>
    <w:p>
      <w:pPr>
        <w:spacing w:after="0" w:line="120"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8"/>
          <w:szCs w:val="18"/>
          <w:color w:val="auto"/>
        </w:rPr>
        <w:t>Corporate Accounting and other key departments had their resources augmented by utilizing external resources and performing additional closing procedures in 2010. As a result, we believe that there are no material inaccuracies or omissions of material fact and, to the best of our knowledge, believe that the condensed consolidated financial statements of the Company at and for the three months ended March 31, 2010, fairly present in all material respects, the financial condition and results of operations in conformity with U.S. GAAP.</w:t>
      </w:r>
    </w:p>
    <w:p>
      <w:pPr>
        <w:spacing w:after="0" w:line="143"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There have not been any other changes in internal control over financial reporting in the three months ended March 31, 2010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The discussion in the following paragraphs is limited to an update of developments that have occurred in various material pending legal proceedings to which we are a party, other than ordinary routine litigation incidental to our business. These proceedings are fully described in our 2009 Form 10-K. We and other defendants affiliated with us intend to defend all of the following actions vigorously.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Delphi Salaried Pension Plan Claim</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 xml:space="preserve">In the previously reported case in the United States District Court for the Eastern District of Michigan captioned </w:t>
      </w:r>
      <w:r>
        <w:rPr>
          <w:rFonts w:ascii="Arial" w:cs="Arial" w:eastAsia="Arial" w:hAnsi="Arial"/>
          <w:sz w:val="16"/>
          <w:szCs w:val="16"/>
          <w:i w:val="1"/>
          <w:iCs w:val="1"/>
          <w:color w:val="auto"/>
        </w:rPr>
        <w:t>Dennis Black, Charles Cunningham, Kenneth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Hollis and the Delphi Salaried Retiree Association v. The Pension Benefit Guaranty Corporation, the US Treasury Departments, The Presidential Task Force on the Auto Industry, Timothy Geithner, Steve Rattner, Ron Bloom and General Motors Company </w:t>
      </w:r>
      <w:r>
        <w:rPr>
          <w:rFonts w:ascii="Arial" w:cs="Arial" w:eastAsia="Arial" w:hAnsi="Arial"/>
          <w:sz w:val="16"/>
          <w:szCs w:val="16"/>
          <w:color w:val="auto"/>
        </w:rPr>
        <w:t>in which we were served with an Amended Complaint,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motion to dismiss their lawsuit against us, which the Court granted on March 12, 2010. That dismissal, however, does not preclude plaintiffs from petitioning the Bankruptcy Court in the future to set aside its injunction based upon new evidence that we had willfully violated plaintiffs’ constitutional rights. At this time, it appears unlikely that plaintiffs will be able to discover or present any such new evidence and that the matter is concluded as to GM.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Dioxide Emission Standard Litigation</w:t>
      </w:r>
    </w:p>
    <w:p>
      <w:pPr>
        <w:spacing w:after="0" w:line="177" w:lineRule="exact"/>
        <w:rPr>
          <w:sz w:val="20"/>
          <w:szCs w:val="20"/>
          <w:color w:val="auto"/>
        </w:rPr>
      </w:pPr>
    </w:p>
    <w:p>
      <w:pPr>
        <w:ind w:right="100" w:firstLine="228"/>
        <w:spacing w:after="0" w:line="248" w:lineRule="auto"/>
        <w:rPr>
          <w:sz w:val="20"/>
          <w:szCs w:val="20"/>
          <w:color w:val="auto"/>
        </w:rPr>
      </w:pPr>
      <w:r>
        <w:rPr>
          <w:rFonts w:ascii="Arial" w:cs="Arial" w:eastAsia="Arial" w:hAnsi="Arial"/>
          <w:sz w:val="17"/>
          <w:szCs w:val="17"/>
          <w:color w:val="auto"/>
        </w:rPr>
        <w:t>As previously reported, we and the Alliance of Automobile Manufacturers, the Association of International Automobile Manufacturers, Chrysler, and various automobile dealers brought suit for declaratory and injunctive relief from state regulations imposing stringent controls on new motor vehicle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On April 1, 2010 California completed rulemaking to revise its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standards, and the EPA and the National Highway Traffic Safety Administration completed rulemaking to establish coordinated vehicle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and fuel economy standards. The parties have reached agreement on the terms for dismissal of all pending litigation against the state standards, in which we are involved, and motions to dismiss these actions were filed in six courts in early April 2010. All courts have granted the motions to dismiss and we consider this matter to be closed as to GM.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Other than as discussed below, there have been no material changes to the Risk Factors disclosed in our 2009 Form 10-K. While we described each risk separately, some of these risks are interrelated and certain risks could trigger the applicability of other risks.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Inadequate cash flow could materially adversely affect our business operations in the future.</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We will require substantial liquidity to implement long-term cost savings and restructuring plans, continue capital spending to support product programs and development of advanced technologies, and meet scheduled term debt and lease maturities, in each case as contemplated by our business plan. If our cash levels approach the minimum cash levels necessary to support our normal business operations, we may be forced to borrow additional funds at rates that may not be favorable, curtail capital spending, and reduce research and development and other programs that are important to the future success of our business. If this were to happen, our need for cash would be intensified.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Although we believe that the funding we received in connection with our formation and our purchase of substantially all of MLC’s assets provides us with sufficient liquidity to operate our business in the near-term, our ability to maintain adequate liquidity in the medium- and long-term will depend significantly on the volume, mix and quality of vehicle sales and the continuing reduction of operating expenses. Our liquidity needs are sensitive to changes in each of these and other factors.</w:t>
      </w:r>
    </w:p>
    <w:p>
      <w:pPr>
        <w:spacing w:after="0" w:line="143" w:lineRule="exact"/>
        <w:rPr>
          <w:sz w:val="20"/>
          <w:szCs w:val="20"/>
          <w:color w:val="auto"/>
        </w:rPr>
      </w:pPr>
    </w:p>
    <w:p>
      <w:pPr>
        <w:ind w:left="240" w:right="200"/>
        <w:spacing w:after="0" w:line="370" w:lineRule="auto"/>
        <w:rPr>
          <w:sz w:val="20"/>
          <w:szCs w:val="20"/>
          <w:color w:val="auto"/>
        </w:rPr>
      </w:pPr>
      <w:r>
        <w:rPr>
          <w:rFonts w:ascii="Arial" w:cs="Arial" w:eastAsia="Arial" w:hAnsi="Arial"/>
          <w:sz w:val="15"/>
          <w:szCs w:val="15"/>
          <w:b w:val="1"/>
          <w:bCs w:val="1"/>
          <w:i w:val="1"/>
          <w:iCs w:val="1"/>
          <w:color w:val="auto"/>
        </w:rPr>
        <w:t>As part of our business plan, we have reduced compensation for our most highly paid executives and have reduced the number of our management and non-management salaried employees, and these actions may materially adversely affect our ability to hire and retain salaried employees.</w:t>
      </w:r>
    </w:p>
    <w:p>
      <w:pPr>
        <w:spacing w:after="0" w:line="62"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As part of the cost reduction initiatives in our business plan, and pursuant to the direction of the Special Master for TARP Executive Compensation we have imposed salary reductions on our most highly paid executives, and reduced benefits to a level that we believe is significantly lower than offered by other major corporations. Furthermore, while we have repaid the UST Credit Agreement in full, the UST Credit Agreement continues to restrict the compensation that we can provide to our top executives and prohibits certain types of compensation or benefits for any employees. At the same time, we have substantially decreased the number of salaried employees so that the workload is shared among fewer employees and in general the demands on each salaried employee are increased. Companies in similar situations have experienced significant difficulties in hiring and retaining highly skilled employees, particularly in competitive specialties. Given our compensation structure and increasing job demands, there is no assurance that we will be able to hire and retain the employees whose expertise is required to execute our business plan while at the same time developing and producing vehicles that will stimulate demand for our products.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UST (or its designee) owns a controlling interest in us and its interests may differ from those of our other stockholders.</w:t>
      </w:r>
    </w:p>
    <w:p>
      <w:pPr>
        <w:spacing w:after="0" w:line="171" w:lineRule="exact"/>
        <w:rPr>
          <w:sz w:val="20"/>
          <w:szCs w:val="20"/>
          <w:color w:val="auto"/>
        </w:rPr>
      </w:pPr>
    </w:p>
    <w:p>
      <w:pPr>
        <w:jc w:val="both"/>
        <w:ind w:right="220" w:firstLine="228"/>
        <w:spacing w:after="0" w:line="256" w:lineRule="auto"/>
        <w:rPr>
          <w:sz w:val="20"/>
          <w:szCs w:val="20"/>
          <w:color w:val="auto"/>
        </w:rPr>
      </w:pPr>
      <w:r>
        <w:rPr>
          <w:rFonts w:ascii="Arial" w:cs="Arial" w:eastAsia="Arial" w:hAnsi="Arial"/>
          <w:sz w:val="18"/>
          <w:szCs w:val="18"/>
          <w:color w:val="auto"/>
        </w:rPr>
        <w:t>The UST beneficially owns a majority of our common stock on a fully diluted basis. As a result of its majority stock ownership interest, the UST is able to exercise significant influence and control over our business if it elects to do so. This includes the ability to have significant influence and control over matters brought for a shareholder vote. To the extent the UST elects to exercise such influence or control over us, its interests (as a government entity) may differ from those of our other stockholders and it may influence matters including:</w:t>
      </w:r>
    </w:p>
    <w:p>
      <w:pPr>
        <w:spacing w:after="0" w:line="62" w:lineRule="exact"/>
        <w:rPr>
          <w:sz w:val="20"/>
          <w:szCs w:val="20"/>
          <w:color w:val="auto"/>
        </w:rPr>
      </w:pPr>
    </w:p>
    <w:p>
      <w:pPr>
        <w:ind w:left="660" w:hanging="43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selection, tenure and compensation of our management;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business strategy and product offerings;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relationship with our employees, unions and other constituencies;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financing activities, including the issuance of debt and equity securities.</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the future we may also become subject to new and additional laws and government regulations regarding various aspects of our business as a result of participation in the TARP program and the U.S. government’s ownership in our business. These regulations could make it more difficult for us to compete with other companies that are not subject to similar regulations. Refer to “Directors, Executive Officers and Corporate Governance — Stockholders Agreement” in our 2009 Form 10-K for further information.</w:t>
      </w:r>
    </w:p>
    <w:p>
      <w:pPr>
        <w:spacing w:after="0" w:line="14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VEBA Note Agreement and the UST Credit Agreement contain significant covenants that may restrict our ability and the ability of our subsidiaries to take actions management believes are important to our long-term strategy.</w:t>
      </w:r>
    </w:p>
    <w:p>
      <w:pPr>
        <w:spacing w:after="0" w:line="132" w:lineRule="exact"/>
        <w:rPr>
          <w:sz w:val="20"/>
          <w:szCs w:val="20"/>
          <w:color w:val="auto"/>
        </w:rPr>
      </w:pPr>
    </w:p>
    <w:p>
      <w:pPr>
        <w:jc w:val="both"/>
        <w:ind w:right="100" w:firstLine="228"/>
        <w:spacing w:after="0" w:line="294" w:lineRule="auto"/>
        <w:rPr>
          <w:sz w:val="20"/>
          <w:szCs w:val="20"/>
          <w:color w:val="auto"/>
        </w:rPr>
      </w:pPr>
      <w:r>
        <w:rPr>
          <w:rFonts w:ascii="Arial" w:cs="Arial" w:eastAsia="Arial" w:hAnsi="Arial"/>
          <w:sz w:val="16"/>
          <w:szCs w:val="16"/>
          <w:color w:val="auto"/>
        </w:rPr>
        <w:t>The VEBA Note Agreement contains affirmative covenants requiring us to take certain actions and negative covenants restricting our ability to take certain actions. The affirmative covenants impose obligations on us with respect to, among other things, financial reporting to the New VEBA, use of proceeds of asset sales, maintenance of facility collateral and other property and payment of obligations. The negative covenants in the VEBA Note Agreement generally apply to us and our U.S. subsidiaries that provided guarantees of our obligations under that agreement and restrict us with respect to, among other things, granting liens, distributions on capital stock, amendments or waivers of certain documents and entering into new indebtedness.</w:t>
      </w:r>
    </w:p>
    <w:p>
      <w:pPr>
        <w:spacing w:after="0" w:line="116"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In addition, while we have repaid the UST Credit Agreement in full, certain of the covenants in the UST Credit Agreement remain in effect and impose obligations on us with respect to, among other things, certain expense policies, executive privileges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compensation requirements. Compliance with the covenants contained in the VEBA Note Agreement and the UST Credit Agreement could restrict our ability to take actions that management believes are important to our long-term strategy. If strategic transactions we wish to undertake are prohibited or inconsistent with, or detrimental to, our long-term viability, our ability to execute our long-term strategy could be materially adversely affected. In addition, monitoring and certifying our compliance with the VEBA Note Agreement and the UST Credit Agreement requires a high level of expense and management attention on a continuing basis.</w:t>
      </w:r>
    </w:p>
    <w:p>
      <w:pPr>
        <w:spacing w:after="0" w:line="143"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failure to comply with the covenants in the agreements governing our present and future indebtedness could adversely affect our financial condition and liquidity.</w:t>
      </w:r>
    </w:p>
    <w:p>
      <w:pPr>
        <w:spacing w:after="0" w:line="132"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Several of the agreements governing our indebtedness, including the VEBA Note Agreement and other loan facility agreements, contain covenants requiring us to take certain actions and negative covenants restricting our ability to take certain actions. In the past, we have failed to meet certain of these covenants, including by failing to provide financial statements in a timely manner and failing certain financial tests. In addition, the Chapter 11 Proceedings and the change in control as a result of the 363 Sale triggered technical defaults in certain loans for which we had assumed the obligations. A breach of any of these covenants, if uncured, could lead to an event of default under the agreement, which in some circumstances could give the lender the right to demand that we accelerate repayment of amounts due under the agreement. Therefore, in the event of any such breach, we may need to seek covenant waivers or amendments from the lenders or to seek alternative or additional sources of financing, and we cannot assure you that we would be able to obtain any such waivers or amendments or alternative or additional financing on acceptable terms, if at all. Refer to Note 12 to the condensed consolidated financial statements for additional information on technical defaults and covenants violations that have occurred recently. In addition, any covenant breach or event of default could harm our credit rating and our ability to obtain additional financing on acceptable terms. The occurrence of any of these events could have a material adverse effect on our financial condition and liquidity.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pension funding obligations may increase significantly due to weak performance of financial markets and its effect on plan assets.</w:t>
      </w:r>
    </w:p>
    <w:p>
      <w:pPr>
        <w:spacing w:after="0" w:line="194"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Our future funding obligations for our U.S. defined benefit pension plans qualified with the IRS depends upon the future performance of assets placed in trusts for these plans, the level of interest rates used to determine funding levels, the level of benefits provided for by the plans and any changes in government laws and regulations. Our employee benefit plans currently hold a significant amount of equity and fixed income securities. Due to Old GM’s contributions to the plans and to the strong performance of these assets during prior periods, the U.S. hourly and salaried pension plans were consistently overfunded from 2005 through 2007, which allowed Old GM to maintain a surplus without making additional contributions to the plans. However, due to significant declines in financial markets and a deterioration in the value of our plan assets, as well as the coverage of additional retirees, including certain Delphi hourly employees, we may need to make significant contributions to our U.S. pension plans in 2013 and beyond. There is no assurance that interest rates will remain constant or that our pension fund assets can earn our assumed rate of 8.5% annually, and our actual experience may be significantly more negative.</w:t>
      </w:r>
    </w:p>
    <w:p>
      <w:pPr>
        <w:spacing w:after="0" w:line="118"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If the market values of the assets held by our pension plans decline, our pension expenses would increase and, as a result, could materially adversely affect our financial position. Changes in interest rates that are not offset by contributions and asset returns could also increase our obligations under such plans. Additionally, the pension plans use swaps, primarily to hedge exposures to changes in interest rates and to manage investment risks. A potential consequence of federal financial reform legislation pending in Congress is the possible loss or reduction of access by the pension plans to swap dealers and swaps and similar instruments and/or increased costs related thereto. Such developments, in a declining interest rate environment, could adversely affect the U.S. defined benefit pension plans’ funded status, increase the funded status volatility of the plans and possibly accelerate the need for cash contributions to the plans, which would negatively affect our cash flows. In addition, if local legal authorities increase the minimum funding requirements for our pension plans outside the U.S., we could be required to contribute more funds, which would negatively affect our cash flow.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400" w:type="dxa"/>
            <w:vAlign w:val="bottom"/>
            <w:gridSpan w:val="3"/>
          </w:tcPr>
          <w:p>
            <w:pPr>
              <w:ind w:left="3040"/>
              <w:spacing w:after="0"/>
              <w:rPr>
                <w:sz w:val="20"/>
                <w:szCs w:val="20"/>
                <w:color w:val="auto"/>
              </w:rPr>
            </w:pPr>
            <w:r>
              <w:rPr>
                <w:rFonts w:ascii="Arial" w:cs="Arial" w:eastAsia="Arial" w:hAnsi="Arial"/>
                <w:sz w:val="18"/>
                <w:szCs w:val="18"/>
                <w:b w:val="1"/>
                <w:bCs w:val="1"/>
                <w:color w:val="auto"/>
              </w:rPr>
              <w:t>GENERAL MOTORS COMPANY AND SUBSIDIARIES</w:t>
            </w:r>
          </w:p>
        </w:tc>
      </w:tr>
      <w:tr>
        <w:trPr>
          <w:trHeight w:val="365"/>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20" w:type="dxa"/>
            <w:vAlign w:val="bottom"/>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540" w:type="dxa"/>
            <w:vAlign w:val="bottom"/>
          </w:tcPr>
          <w:p>
            <w:pPr>
              <w:spacing w:after="0"/>
              <w:rPr>
                <w:sz w:val="15"/>
                <w:szCs w:val="15"/>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020" w:type="dxa"/>
            <w:vAlign w:val="bottom"/>
          </w:tcPr>
          <w:p>
            <w:pPr>
              <w:ind w:left="460"/>
              <w:spacing w:after="0" w:line="195" w:lineRule="exact"/>
              <w:rPr>
                <w:sz w:val="20"/>
                <w:szCs w:val="20"/>
                <w:color w:val="auto"/>
              </w:rPr>
            </w:pPr>
            <w:r>
              <w:rPr>
                <w:rFonts w:ascii="Arial" w:cs="Arial" w:eastAsia="Arial" w:hAnsi="Arial"/>
                <w:sz w:val="18"/>
                <w:szCs w:val="18"/>
                <w:color w:val="auto"/>
                <w:w w:val="92"/>
              </w:rPr>
              <w:t>Summary of Employment Arrangement between</w:t>
            </w:r>
          </w:p>
        </w:tc>
        <w:tc>
          <w:tcPr>
            <w:tcW w:w="4380" w:type="dxa"/>
            <w:vAlign w:val="bottom"/>
            <w:gridSpan w:val="2"/>
          </w:tcPr>
          <w:p>
            <w:pPr>
              <w:spacing w:after="0" w:line="195" w:lineRule="exact"/>
              <w:rPr>
                <w:sz w:val="20"/>
                <w:szCs w:val="20"/>
                <w:color w:val="auto"/>
              </w:rPr>
            </w:pPr>
            <w:r>
              <w:rPr>
                <w:rFonts w:ascii="Arial" w:cs="Arial" w:eastAsia="Arial" w:hAnsi="Arial"/>
                <w:sz w:val="18"/>
                <w:szCs w:val="18"/>
                <w:color w:val="auto"/>
                <w:w w:val="99"/>
              </w:rPr>
              <w:t>General Motors Company and Edward E. Whitacre, Jr.,</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incorporated herein by reference to Item 5.02 of the Current Report on Form 8-K of General Motors Company</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filed February 19,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Summary of Employment Arrangement between General Motors Company and Stephen J. Girsky, incorporated</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herein by reference to Item 1.01 of the Current Report on Form 8-K of General Motors Company filed March 5,</w:t>
            </w:r>
          </w:p>
        </w:tc>
      </w:tr>
      <w:tr>
        <w:trPr>
          <w:trHeight w:val="222"/>
        </w:trPr>
        <w:tc>
          <w:tcPr>
            <w:tcW w:w="500" w:type="dxa"/>
            <w:vAlign w:val="bottom"/>
          </w:tcPr>
          <w:p>
            <w:pPr>
              <w:spacing w:after="0"/>
              <w:rPr>
                <w:sz w:val="19"/>
                <w:szCs w:val="19"/>
                <w:color w:val="auto"/>
              </w:rPr>
            </w:pPr>
          </w:p>
        </w:tc>
        <w:tc>
          <w:tcPr>
            <w:tcW w:w="4020" w:type="dxa"/>
            <w:vAlign w:val="bottom"/>
          </w:tcPr>
          <w:p>
            <w:pPr>
              <w:ind w:left="46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Employment Agreement for Christopher P. Liddell</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General Motors Executive Retirement Plan, as amended March 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bl>
    <w:p>
      <w:pPr>
        <w:spacing w:after="0" w:line="156"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900" w:space="500"/>
            <w:col w:w="1880"/>
          </w:cols>
          <w:pgMar w:left="240" w:top="459" w:right="3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726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(Nick S. Cyprus, Vice President, Controller and Chief Accounting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400" w:type="dxa"/>
            <w:vAlign w:val="bottom"/>
            <w:gridSpan w:val="3"/>
          </w:tcPr>
          <w:p>
            <w:pPr>
              <w:jc w:val="center"/>
              <w:ind w:left="1932"/>
              <w:spacing w:after="0"/>
              <w:rPr>
                <w:sz w:val="20"/>
                <w:szCs w:val="20"/>
                <w:color w:val="auto"/>
              </w:rPr>
            </w:pPr>
            <w:r>
              <w:rPr>
                <w:rFonts w:ascii="Arial" w:cs="Arial" w:eastAsia="Arial" w:hAnsi="Arial"/>
                <w:sz w:val="18"/>
                <w:szCs w:val="18"/>
                <w:b w:val="1"/>
                <w:bCs w:val="1"/>
                <w:color w:val="auto"/>
                <w:w w:val="97"/>
              </w:rPr>
              <w:t>GENERAL MOTORS COMPANY AND SUBSIDIARIES</w:t>
            </w:r>
          </w:p>
        </w:tc>
      </w:tr>
      <w:tr>
        <w:trPr>
          <w:trHeight w:val="365"/>
        </w:trPr>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8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20" w:type="dxa"/>
            <w:vAlign w:val="bottom"/>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540" w:type="dxa"/>
            <w:vAlign w:val="bottom"/>
          </w:tcPr>
          <w:p>
            <w:pPr>
              <w:spacing w:after="0"/>
              <w:rPr>
                <w:sz w:val="15"/>
                <w:szCs w:val="15"/>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020" w:type="dxa"/>
            <w:vAlign w:val="bottom"/>
          </w:tcPr>
          <w:p>
            <w:pPr>
              <w:ind w:left="460"/>
              <w:spacing w:after="0" w:line="195" w:lineRule="exact"/>
              <w:rPr>
                <w:sz w:val="20"/>
                <w:szCs w:val="20"/>
                <w:color w:val="auto"/>
              </w:rPr>
            </w:pPr>
            <w:r>
              <w:rPr>
                <w:rFonts w:ascii="Arial" w:cs="Arial" w:eastAsia="Arial" w:hAnsi="Arial"/>
                <w:sz w:val="18"/>
                <w:szCs w:val="18"/>
                <w:color w:val="auto"/>
                <w:w w:val="92"/>
              </w:rPr>
              <w:t>Summary of Employment Arrangement between</w:t>
            </w:r>
          </w:p>
        </w:tc>
        <w:tc>
          <w:tcPr>
            <w:tcW w:w="4380" w:type="dxa"/>
            <w:vAlign w:val="bottom"/>
            <w:gridSpan w:val="2"/>
          </w:tcPr>
          <w:p>
            <w:pPr>
              <w:spacing w:after="0" w:line="195" w:lineRule="exact"/>
              <w:rPr>
                <w:sz w:val="20"/>
                <w:szCs w:val="20"/>
                <w:color w:val="auto"/>
              </w:rPr>
            </w:pPr>
            <w:r>
              <w:rPr>
                <w:rFonts w:ascii="Arial" w:cs="Arial" w:eastAsia="Arial" w:hAnsi="Arial"/>
                <w:sz w:val="18"/>
                <w:szCs w:val="18"/>
                <w:color w:val="auto"/>
                <w:w w:val="99"/>
              </w:rPr>
              <w:t>General Motors Company and Edward E. Whitacre, Jr.,</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incorporated herein by reference to Item 5.02 of the Current Report on Form 8-K of General Motors Company</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filed February 19,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Summary of Employment Arrangement between General Motors Company and Stephen J. Girsky, incorporated</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herein by reference to Item 1.01 of the Current Report on Form 8-K of General Motors Company filed March 5,</w:t>
            </w:r>
          </w:p>
        </w:tc>
      </w:tr>
      <w:tr>
        <w:trPr>
          <w:trHeight w:val="222"/>
        </w:trPr>
        <w:tc>
          <w:tcPr>
            <w:tcW w:w="500" w:type="dxa"/>
            <w:vAlign w:val="bottom"/>
          </w:tcPr>
          <w:p>
            <w:pPr>
              <w:spacing w:after="0"/>
              <w:rPr>
                <w:sz w:val="19"/>
                <w:szCs w:val="19"/>
                <w:color w:val="auto"/>
              </w:rPr>
            </w:pPr>
          </w:p>
        </w:tc>
        <w:tc>
          <w:tcPr>
            <w:tcW w:w="4020" w:type="dxa"/>
            <w:vAlign w:val="bottom"/>
          </w:tcPr>
          <w:p>
            <w:pPr>
              <w:ind w:left="46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Employment Agreement for Christopher P. Liddell</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General Motors Executive Retirement Plan, as amended March 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65"/>
        </w:trPr>
        <w:tc>
          <w:tcPr>
            <w:tcW w:w="500" w:type="dxa"/>
            <w:vAlign w:val="bottom"/>
          </w:tcPr>
          <w:p>
            <w:pPr>
              <w:spacing w:after="0"/>
              <w:rPr>
                <w:sz w:val="24"/>
                <w:szCs w:val="24"/>
                <w:color w:val="auto"/>
              </w:rPr>
            </w:pPr>
          </w:p>
        </w:tc>
        <w:tc>
          <w:tcPr>
            <w:tcW w:w="8400" w:type="dxa"/>
            <w:vAlign w:val="bottom"/>
            <w:gridSpan w:val="3"/>
          </w:tcPr>
          <w:p>
            <w:pPr>
              <w:jc w:val="center"/>
              <w:ind w:left="1932"/>
              <w:spacing w:after="0"/>
              <w:rPr>
                <w:sz w:val="20"/>
                <w:szCs w:val="20"/>
                <w:color w:val="auto"/>
              </w:rPr>
            </w:pPr>
            <w:r>
              <w:rPr>
                <w:rFonts w:ascii="Arial" w:cs="Arial" w:eastAsia="Arial" w:hAnsi="Arial"/>
                <w:sz w:val="18"/>
                <w:szCs w:val="18"/>
                <w:color w:val="auto"/>
                <w:w w:val="89"/>
              </w:rPr>
              <w:t>90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sectPr>
      <w:pgSz w:w="11900" w:h="16838" w:orient="portrait"/>
      <w:cols w:equalWidth="0" w:num="2">
        <w:col w:w="8900" w:space="500"/>
        <w:col w:w="18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
      <w:numFmt w:val="bullet"/>
      <w:start w:val="1"/>
    </w:lvl>
    <w:lvl w:ilvl="1">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1)"/>
      <w:numFmt w:val="lowerLetter"/>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lowerLetter"/>
      <w:start w:val="2"/>
    </w:lvl>
  </w:abstractNum>
  <w:abstractNum w:abstractNumId="20">
    <w:nsid w:val="1CF10FD8"/>
    <w:multiLevelType w:val="hybridMultilevel"/>
    <w:lvl w:ilvl="0">
      <w:lvlJc w:val="left"/>
      <w:lvlText w:val="(%1)"/>
      <w:numFmt w:val="decimal"/>
      <w:start w:val="4"/>
    </w:lvl>
  </w:abstractNum>
  <w:abstractNum w:abstractNumId="21">
    <w:nsid w:val="180115BE"/>
    <w:multiLevelType w:val="hybridMultilevel"/>
    <w:lvl w:ilvl="0">
      <w:lvlJc w:val="left"/>
      <w:lvlText w:val="(%1)"/>
      <w:numFmt w:val="lowerLetter"/>
      <w:start w:val="1"/>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lowerLetter"/>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3"/>
    </w:lvl>
  </w:abstractNum>
  <w:abstractNum w:abstractNumId="27">
    <w:nsid w:val="D34B6A8"/>
    <w:multiLevelType w:val="hybridMultilevel"/>
    <w:lvl w:ilvl="0">
      <w:lvlJc w:val="left"/>
      <w:lvlText w:val="(%1)"/>
      <w:numFmt w:val="lowerLetter"/>
      <w:start w:val="1"/>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lowerLetter"/>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lowerLetter"/>
      <w:start w:val="1"/>
    </w:lvl>
  </w:abstractNum>
  <w:abstractNum w:abstractNumId="40">
    <w:nsid w:val="1F48EAA1"/>
    <w:multiLevelType w:val="hybridMultilevel"/>
    <w:lvl w:ilvl="0">
      <w:lvlJc w:val="left"/>
      <w:lvlText w:val="(%1)"/>
      <w:numFmt w:val="lowerLetter"/>
      <w:start w:val="1"/>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lowerLetter"/>
      <w:start w:val="2"/>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Letter"/>
      <w:start w:val="6"/>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3"/>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decimal"/>
      <w:start w:val="3"/>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3"/>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2019-12-11T06:54:59Z</dcterms:created>
  <dcterms:modified xsi:type="dcterms:W3CDTF">2019-12-11T06:54:59Z</dcterms:modified>
</cp:coreProperties>
</file>