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Hatto Christopher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Vice President &amp; CAO</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11/17/2021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7,353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65</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10,984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right="92"/>
              <w:spacing w:after="0"/>
              <w:rPr>
                <w:sz w:val="20"/>
                <w:szCs w:val="20"/>
                <w:color w:val="auto"/>
              </w:rPr>
            </w:pPr>
            <w:r>
              <w:rPr>
                <w:rFonts w:ascii="Arial" w:cs="Arial" w:eastAsia="Arial" w:hAnsi="Arial"/>
                <w:sz w:val="17"/>
                <w:szCs w:val="17"/>
                <w:color w:val="0000FF"/>
              </w:rPr>
              <w:t>600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65.01</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10,384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$65.00 to $65.03,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11/19/2021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Hatto</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2021-11-19T16:17:41Z</dcterms:created>
  <dcterms:modified xsi:type="dcterms:W3CDTF">2021-11-19T16:17:41Z</dcterms:modified>
</cp:coreProperties>
</file>