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6426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64261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Reuss Mark 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980"/>
        <w:spacing w:after="0" w:line="339" w:lineRule="auto"/>
        <w:rPr>
          <w:sz w:val="20"/>
          <w:szCs w:val="20"/>
          <w:color w:val="auto"/>
        </w:rPr>
      </w:pPr>
      <w:r>
        <w:rPr>
          <w:rFonts w:ascii="Arial" w:cs="Arial" w:eastAsia="Arial" w:hAnsi="Arial"/>
          <w:sz w:val="16"/>
          <w:szCs w:val="16"/>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General Motors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GM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06/30/2016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63"/>
        <w:spacing w:after="0"/>
        <w:rPr>
          <w:sz w:val="20"/>
          <w:szCs w:val="20"/>
          <w:color w:val="auto"/>
        </w:rPr>
      </w:pPr>
      <w:r>
        <w:rPr>
          <w:rFonts w:ascii="Arial" w:cs="Arial" w:eastAsia="Arial" w:hAnsi="Arial"/>
          <w:sz w:val="18"/>
          <w:szCs w:val="18"/>
          <w:color w:val="0000FF"/>
        </w:rPr>
        <w:t>Executive Vice President</w:t>
      </w:r>
    </w:p>
    <w:p>
      <w:pPr>
        <w:spacing w:after="0" w:line="448"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3800" w:type="dxa"/>
            <w:vAlign w:val="bottom"/>
            <w:gridSpan w:val="7"/>
          </w:tcPr>
          <w:p>
            <w:pPr>
              <w:jc w:val="right"/>
              <w:ind w:right="152"/>
              <w:spacing w:after="0" w:line="104" w:lineRule="exact"/>
              <w:rPr>
                <w:sz w:val="20"/>
                <w:szCs w:val="20"/>
                <w:color w:val="auto"/>
              </w:rPr>
            </w:pPr>
            <w:r>
              <w:rPr>
                <w:rFonts w:ascii="Arial" w:cs="Arial" w:eastAsia="Arial" w:hAnsi="Arial"/>
                <w:sz w:val="11"/>
                <w:szCs w:val="11"/>
                <w:color w:val="auto"/>
              </w:rPr>
              <w:t>4. If Amendment, Date of Original Filed (Month/Day/Year)</w:t>
            </w:r>
          </w:p>
        </w:tc>
        <w:tc>
          <w:tcPr>
            <w:tcW w:w="3800" w:type="dxa"/>
            <w:vAlign w:val="bottom"/>
            <w:gridSpan w:val="10"/>
          </w:tcPr>
          <w:p>
            <w:pPr>
              <w:ind w:left="340"/>
              <w:spacing w:after="0" w:line="104"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gridSpan w:val="2"/>
          </w:tcPr>
          <w:p>
            <w:pPr>
              <w:ind w:left="340"/>
              <w:spacing w:after="0"/>
              <w:rPr>
                <w:sz w:val="20"/>
                <w:szCs w:val="20"/>
                <w:color w:val="auto"/>
              </w:rPr>
            </w:pPr>
            <w:r>
              <w:rPr>
                <w:rFonts w:ascii="Arial" w:cs="Arial" w:eastAsia="Arial" w:hAnsi="Arial"/>
                <w:sz w:val="14"/>
                <w:szCs w:val="14"/>
                <w:color w:val="auto"/>
              </w:rPr>
              <w:t>Line)</w:t>
            </w: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60" w:type="dxa"/>
            <w:vAlign w:val="bottom"/>
            <w:gridSpan w:val="9"/>
            <w:vMerge w:val="restart"/>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0000FF"/>
              </w:rPr>
              <w:t>DETROIT</w:t>
            </w:r>
          </w:p>
        </w:tc>
        <w:tc>
          <w:tcPr>
            <w:tcW w:w="220" w:type="dxa"/>
            <w:vAlign w:val="bottom"/>
            <w:vMerge w:val="restart"/>
          </w:tcPr>
          <w:p>
            <w:pPr>
              <w:spacing w:after="0"/>
              <w:rPr>
                <w:sz w:val="20"/>
                <w:szCs w:val="20"/>
                <w:color w:val="auto"/>
              </w:rPr>
            </w:pPr>
            <w:r>
              <w:rPr>
                <w:rFonts w:ascii="Arial" w:cs="Arial" w:eastAsia="Arial" w:hAnsi="Arial"/>
                <w:sz w:val="18"/>
                <w:szCs w:val="18"/>
                <w:color w:val="0000FF"/>
                <w:w w:val="99"/>
              </w:rPr>
              <w:t>MI</w:t>
            </w:r>
          </w:p>
        </w:tc>
        <w:tc>
          <w:tcPr>
            <w:tcW w:w="1020" w:type="dxa"/>
            <w:vAlign w:val="bottom"/>
          </w:tcPr>
          <w:p>
            <w:pPr>
              <w:spacing w:after="0"/>
              <w:rPr>
                <w:sz w:val="11"/>
                <w:szCs w:val="11"/>
                <w:color w:val="auto"/>
              </w:rPr>
            </w:pP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48265-3000</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6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60" w:type="dxa"/>
            <w:vAlign w:val="bottom"/>
            <w:gridSpan w:val="8"/>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6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restart"/>
          </w:tcPr>
          <w:p>
            <w:pPr>
              <w:ind w:left="160"/>
              <w:spacing w:after="0"/>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7"/>
                <w:szCs w:val="7"/>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3"/>
          </w:tcPr>
          <w:p>
            <w:pPr>
              <w:spacing w:after="0"/>
              <w:rPr>
                <w:sz w:val="11"/>
                <w:szCs w:val="11"/>
                <w:color w:val="auto"/>
              </w:rPr>
            </w:pPr>
          </w:p>
        </w:tc>
        <w:tc>
          <w:tcPr>
            <w:tcW w:w="1620" w:type="dxa"/>
            <w:vAlign w:val="bottom"/>
            <w:tcBorders>
              <w:bottom w:val="single" w:sz="8" w:color="2C2C2C"/>
            </w:tcBorders>
            <w:gridSpan w:val="4"/>
          </w:tcPr>
          <w:p>
            <w:pPr>
              <w:spacing w:after="0"/>
              <w:rPr>
                <w:sz w:val="11"/>
                <w:szCs w:val="11"/>
                <w:color w:val="auto"/>
              </w:rPr>
            </w:pPr>
          </w:p>
        </w:tc>
        <w:tc>
          <w:tcPr>
            <w:tcW w:w="2720" w:type="dxa"/>
            <w:vAlign w:val="bottom"/>
            <w:tcBorders>
              <w:bottom w:val="single" w:sz="8" w:color="2C2C2C"/>
            </w:tcBorders>
            <w:gridSpan w:val="4"/>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440" w:type="dxa"/>
            <w:vAlign w:val="bottom"/>
            <w:tcBorders>
              <w:top w:val="single" w:sz="8" w:color="2C2C2C"/>
            </w:tcBorders>
            <w:gridSpan w:val="13"/>
          </w:tcPr>
          <w:p>
            <w:pPr>
              <w:ind w:left="76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16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6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00" w:type="dxa"/>
            <w:vAlign w:val="bottom"/>
            <w:gridSpan w:val="3"/>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74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2"/>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(1)</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00"/>
              <w:spacing w:after="0"/>
              <w:rPr>
                <w:sz w:val="20"/>
                <w:szCs w:val="20"/>
                <w:color w:val="auto"/>
              </w:rPr>
            </w:pPr>
            <w:r>
              <w:rPr>
                <w:rFonts w:ascii="Arial" w:cs="Arial" w:eastAsia="Arial" w:hAnsi="Arial"/>
                <w:sz w:val="18"/>
                <w:szCs w:val="18"/>
                <w:color w:val="0000FF"/>
              </w:rPr>
              <w:t>06/30/2016</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6"/>
              <w:spacing w:after="0"/>
              <w:rPr>
                <w:sz w:val="20"/>
                <w:szCs w:val="20"/>
                <w:color w:val="auto"/>
              </w:rPr>
            </w:pPr>
            <w:r>
              <w:rPr>
                <w:rFonts w:ascii="Arial" w:cs="Arial" w:eastAsia="Arial" w:hAnsi="Arial"/>
                <w:sz w:val="14"/>
                <w:szCs w:val="14"/>
                <w:color w:val="0000FF"/>
              </w:rPr>
              <w:t>M</w:t>
            </w:r>
          </w:p>
        </w:tc>
        <w:tc>
          <w:tcPr>
            <w:tcW w:w="72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7"/>
              </w:rPr>
              <w:t>6,038</w:t>
            </w:r>
          </w:p>
        </w:tc>
        <w:tc>
          <w:tcPr>
            <w:tcW w:w="700" w:type="dxa"/>
            <w:vAlign w:val="bottom"/>
            <w:tcBorders>
              <w:bottom w:val="single" w:sz="8" w:color="2C2C2C"/>
            </w:tcBorders>
          </w:tcPr>
          <w:p>
            <w:pPr>
              <w:jc w:val="right"/>
              <w:ind w:right="152"/>
              <w:spacing w:after="0"/>
              <w:rPr>
                <w:sz w:val="20"/>
                <w:szCs w:val="20"/>
                <w:color w:val="auto"/>
              </w:rPr>
            </w:pPr>
            <w:r>
              <w:rPr>
                <w:rFonts w:ascii="Arial" w:cs="Arial" w:eastAsia="Arial" w:hAnsi="Arial"/>
                <w:sz w:val="18"/>
                <w:szCs w:val="18"/>
                <w:color w:val="0000FF"/>
              </w:rPr>
              <w:t>A</w:t>
            </w:r>
          </w:p>
        </w:tc>
        <w:tc>
          <w:tcPr>
            <w:tcW w:w="540" w:type="dxa"/>
            <w:vAlign w:val="bottom"/>
            <w:tcBorders>
              <w:bottom w:val="single" w:sz="8" w:color="2C2C2C"/>
            </w:tcBorders>
          </w:tcPr>
          <w:p>
            <w:pPr>
              <w:jc w:val="center"/>
              <w:ind w:left="113"/>
              <w:spacing w:after="0" w:line="324" w:lineRule="exact"/>
              <w:rPr>
                <w:sz w:val="20"/>
                <w:szCs w:val="20"/>
                <w:color w:val="auto"/>
              </w:rPr>
            </w:pPr>
            <w:r>
              <w:rPr>
                <w:rFonts w:ascii="Arial" w:cs="Arial" w:eastAsia="Arial" w:hAnsi="Arial"/>
                <w:sz w:val="35"/>
                <w:szCs w:val="35"/>
                <w:color w:val="000000"/>
                <w:w w:val="81"/>
                <w:vertAlign w:val="subscript"/>
              </w:rPr>
              <w:t>$</w:t>
            </w:r>
            <w:r>
              <w:rPr>
                <w:rFonts w:ascii="Arial" w:cs="Arial" w:eastAsia="Arial" w:hAnsi="Arial"/>
                <w:sz w:val="35"/>
                <w:szCs w:val="35"/>
                <w:color w:val="0000FF"/>
                <w:w w:val="81"/>
                <w:vertAlign w:val="subscript"/>
              </w:rPr>
              <w:t>0</w:t>
            </w:r>
            <w:r>
              <w:rPr>
                <w:rFonts w:ascii="Arial" w:cs="Arial" w:eastAsia="Arial" w:hAnsi="Arial"/>
                <w:sz w:val="11"/>
                <w:szCs w:val="11"/>
                <w:color w:val="008000"/>
                <w:w w:val="81"/>
              </w:rPr>
              <w:t>(2)</w:t>
            </w:r>
          </w:p>
        </w:tc>
        <w:tc>
          <w:tcPr>
            <w:tcW w:w="20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73,668</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00"/>
              <w:spacing w:after="0"/>
              <w:rPr>
                <w:sz w:val="20"/>
                <w:szCs w:val="20"/>
                <w:color w:val="auto"/>
              </w:rPr>
            </w:pPr>
            <w:r>
              <w:rPr>
                <w:rFonts w:ascii="Arial" w:cs="Arial" w:eastAsia="Arial" w:hAnsi="Arial"/>
                <w:sz w:val="18"/>
                <w:szCs w:val="18"/>
                <w:color w:val="0000FF"/>
              </w:rPr>
              <w:t>06/30/2016</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36"/>
              <w:spacing w:after="0"/>
              <w:rPr>
                <w:sz w:val="20"/>
                <w:szCs w:val="20"/>
                <w:color w:val="auto"/>
              </w:rPr>
            </w:pPr>
            <w:r>
              <w:rPr>
                <w:rFonts w:ascii="Arial" w:cs="Arial" w:eastAsia="Arial" w:hAnsi="Arial"/>
                <w:sz w:val="14"/>
                <w:szCs w:val="14"/>
                <w:color w:val="0000FF"/>
                <w:w w:val="98"/>
              </w:rPr>
              <w:t>D</w:t>
            </w:r>
          </w:p>
        </w:tc>
        <w:tc>
          <w:tcPr>
            <w:tcW w:w="72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7"/>
              </w:rPr>
              <w:t>3,248</w:t>
            </w:r>
          </w:p>
        </w:tc>
        <w:tc>
          <w:tcPr>
            <w:tcW w:w="700" w:type="dxa"/>
            <w:vAlign w:val="bottom"/>
            <w:tcBorders>
              <w:bottom w:val="single" w:sz="8" w:color="2C2C2C"/>
            </w:tcBorders>
          </w:tcPr>
          <w:p>
            <w:pPr>
              <w:jc w:val="right"/>
              <w:ind w:right="152"/>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28.68</w:t>
            </w:r>
            <w:r>
              <w:rPr>
                <w:rFonts w:ascii="Arial" w:cs="Arial" w:eastAsia="Arial" w:hAnsi="Arial"/>
                <w:sz w:val="22"/>
                <w:szCs w:val="22"/>
                <w:color w:val="008000"/>
                <w:w w:val="84"/>
                <w:vertAlign w:val="superscript"/>
              </w:rPr>
              <w:t>(2)</w:t>
            </w:r>
          </w:p>
        </w:tc>
        <w:tc>
          <w:tcPr>
            <w:tcW w:w="122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70,420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00"/>
              <w:spacing w:after="0"/>
              <w:rPr>
                <w:sz w:val="20"/>
                <w:szCs w:val="20"/>
                <w:color w:val="auto"/>
              </w:rPr>
            </w:pPr>
            <w:r>
              <w:rPr>
                <w:rFonts w:ascii="Arial" w:cs="Arial" w:eastAsia="Arial" w:hAnsi="Arial"/>
                <w:sz w:val="18"/>
                <w:szCs w:val="18"/>
                <w:color w:val="0000FF"/>
              </w:rPr>
              <w:t>06/30/2016</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6"/>
              <w:spacing w:after="0"/>
              <w:rPr>
                <w:sz w:val="20"/>
                <w:szCs w:val="20"/>
                <w:color w:val="auto"/>
              </w:rPr>
            </w:pPr>
            <w:r>
              <w:rPr>
                <w:rFonts w:ascii="Arial" w:cs="Arial" w:eastAsia="Arial" w:hAnsi="Arial"/>
                <w:sz w:val="14"/>
                <w:szCs w:val="14"/>
                <w:color w:val="0000FF"/>
                <w:w w:val="92"/>
              </w:rPr>
              <w:t>F</w:t>
            </w:r>
          </w:p>
        </w:tc>
        <w:tc>
          <w:tcPr>
            <w:tcW w:w="72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7"/>
              </w:rPr>
              <w:t>2,790</w:t>
            </w:r>
          </w:p>
        </w:tc>
        <w:tc>
          <w:tcPr>
            <w:tcW w:w="700" w:type="dxa"/>
            <w:vAlign w:val="bottom"/>
            <w:tcBorders>
              <w:bottom w:val="single" w:sz="8" w:color="2C2C2C"/>
            </w:tcBorders>
          </w:tcPr>
          <w:p>
            <w:pPr>
              <w:jc w:val="right"/>
              <w:ind w:right="152"/>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28.68</w:t>
            </w:r>
            <w:r>
              <w:rPr>
                <w:rFonts w:ascii="Arial" w:cs="Arial" w:eastAsia="Arial" w:hAnsi="Arial"/>
                <w:sz w:val="22"/>
                <w:szCs w:val="22"/>
                <w:color w:val="008000"/>
                <w:w w:val="84"/>
                <w:vertAlign w:val="superscript"/>
              </w:rPr>
              <w:t>(2)</w:t>
            </w:r>
          </w:p>
        </w:tc>
        <w:tc>
          <w:tcPr>
            <w:tcW w:w="122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67,630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440" w:type="dxa"/>
            <w:vAlign w:val="bottom"/>
            <w:tcBorders>
              <w:top w:val="single" w:sz="8" w:color="2C2C2C"/>
            </w:tcBorders>
            <w:gridSpan w:val="13"/>
          </w:tcPr>
          <w:p>
            <w:pPr>
              <w:jc w:val="center"/>
              <w:ind w:left="769"/>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20" w:type="dxa"/>
            <w:vAlign w:val="bottom"/>
            <w:gridSpan w:val="11"/>
          </w:tcPr>
          <w:p>
            <w:pPr>
              <w:jc w:val="center"/>
              <w:ind w:left="348"/>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Salary</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(3)</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6,038</w:t>
            </w: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vMerge w:val="restart"/>
          </w:tcPr>
          <w:p>
            <w:pPr>
              <w:ind w:left="200"/>
              <w:spacing w:after="0" w:line="146" w:lineRule="exact"/>
              <w:rPr>
                <w:sz w:val="20"/>
                <w:szCs w:val="20"/>
                <w:color w:val="auto"/>
              </w:rPr>
            </w:pPr>
            <w:r>
              <w:rPr>
                <w:rFonts w:ascii="Arial" w:cs="Arial" w:eastAsia="Arial" w:hAnsi="Arial"/>
                <w:sz w:val="14"/>
                <w:szCs w:val="14"/>
                <w:color w:val="0000FF"/>
              </w:rPr>
              <w:t>06/30/2016</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vMerge w:val="restart"/>
          </w:tcPr>
          <w:p>
            <w:pPr>
              <w:ind w:left="80"/>
              <w:spacing w:after="0" w:line="146" w:lineRule="exact"/>
              <w:rPr>
                <w:sz w:val="20"/>
                <w:szCs w:val="20"/>
                <w:color w:val="auto"/>
              </w:rPr>
            </w:pPr>
            <w:r>
              <w:rPr>
                <w:rFonts w:ascii="Arial" w:cs="Arial" w:eastAsia="Arial" w:hAnsi="Arial"/>
                <w:sz w:val="14"/>
                <w:szCs w:val="14"/>
                <w:color w:val="0000FF"/>
              </w:rPr>
              <w:t>M</w:t>
            </w:r>
          </w:p>
        </w:tc>
        <w:tc>
          <w:tcPr>
            <w:tcW w:w="220" w:type="dxa"/>
            <w:vAlign w:val="bottom"/>
          </w:tcPr>
          <w:p>
            <w:pPr>
              <w:spacing w:after="0"/>
              <w:rPr>
                <w:sz w:val="7"/>
                <w:szCs w:val="7"/>
                <w:color w:val="auto"/>
              </w:rPr>
            </w:pPr>
          </w:p>
        </w:tc>
        <w:tc>
          <w:tcPr>
            <w:tcW w:w="820" w:type="dxa"/>
            <w:vAlign w:val="bottom"/>
            <w:vMerge w:val="restart"/>
          </w:tcPr>
          <w:p>
            <w:pPr>
              <w:ind w:left="400"/>
              <w:spacing w:after="0" w:line="146" w:lineRule="exact"/>
              <w:rPr>
                <w:sz w:val="20"/>
                <w:szCs w:val="20"/>
                <w:color w:val="auto"/>
              </w:rPr>
            </w:pPr>
            <w:r>
              <w:rPr>
                <w:rFonts w:ascii="Arial" w:cs="Arial" w:eastAsia="Arial" w:hAnsi="Arial"/>
                <w:sz w:val="14"/>
                <w:szCs w:val="14"/>
                <w:color w:val="0000FF"/>
              </w:rPr>
              <w:t>6,038</w:t>
            </w: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(3)</w:t>
            </w:r>
          </w:p>
        </w:tc>
        <w:tc>
          <w:tcPr>
            <w:tcW w:w="720" w:type="dxa"/>
            <w:vAlign w:val="bottom"/>
            <w:vMerge w:val="restart"/>
          </w:tcPr>
          <w:p>
            <w:pPr>
              <w:ind w:left="260"/>
              <w:spacing w:after="0"/>
              <w:rPr>
                <w:sz w:val="20"/>
                <w:szCs w:val="20"/>
                <w:color w:val="auto"/>
              </w:rPr>
            </w:pPr>
            <w:r>
              <w:rPr>
                <w:rFonts w:ascii="Arial" w:cs="Arial" w:eastAsia="Arial" w:hAnsi="Arial"/>
                <w:sz w:val="11"/>
                <w:szCs w:val="11"/>
                <w:color w:val="008000"/>
              </w:rPr>
              <w:t>(3)</w:t>
            </w:r>
          </w:p>
        </w:tc>
        <w:tc>
          <w:tcPr>
            <w:tcW w:w="70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restart"/>
          </w:tcPr>
          <w:p>
            <w:pPr>
              <w:ind w:left="10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ind w:left="380"/>
              <w:spacing w:after="0" w:line="146" w:lineRule="exact"/>
              <w:rPr>
                <w:sz w:val="20"/>
                <w:szCs w:val="20"/>
                <w:color w:val="auto"/>
              </w:rPr>
            </w:pPr>
            <w:r>
              <w:rPr>
                <w:rFonts w:ascii="Arial" w:cs="Arial" w:eastAsia="Arial" w:hAnsi="Arial"/>
                <w:sz w:val="14"/>
                <w:szCs w:val="14"/>
                <w:color w:val="0000FF"/>
              </w:rPr>
              <w:t>0</w:t>
            </w:r>
          </w:p>
        </w:tc>
        <w:tc>
          <w:tcPr>
            <w:tcW w:w="280" w:type="dxa"/>
            <w:vAlign w:val="bottom"/>
          </w:tcPr>
          <w:p>
            <w:pPr>
              <w:spacing w:after="0"/>
              <w:rPr>
                <w:sz w:val="7"/>
                <w:szCs w:val="7"/>
                <w:color w:val="auto"/>
              </w:rPr>
            </w:pPr>
          </w:p>
        </w:tc>
        <w:tc>
          <w:tcPr>
            <w:tcW w:w="700" w:type="dxa"/>
            <w:vAlign w:val="bottom"/>
            <w:vMerge w:val="restart"/>
          </w:tcPr>
          <w:p>
            <w:pPr>
              <w:ind w:left="340"/>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restart"/>
          </w:tcPr>
          <w:p>
            <w:pPr>
              <w:jc w:val="right"/>
              <w:ind w:right="172"/>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27"/>
                <w:szCs w:val="27"/>
                <w:color w:val="0000FF"/>
                <w:w w:val="94"/>
                <w:vertAlign w:val="subscript"/>
              </w:rPr>
              <w:t>Units</w:t>
            </w:r>
            <w:r>
              <w:rPr>
                <w:rFonts w:ascii="Arial" w:cs="Arial" w:eastAsia="Arial" w:hAnsi="Arial"/>
                <w:sz w:val="11"/>
                <w:szCs w:val="11"/>
                <w:color w:val="008000"/>
                <w:w w:val="94"/>
              </w:rPr>
              <w:t>(1)(2)</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31" w:lineRule="exact"/>
        <w:rPr>
          <w:sz w:val="24"/>
          <w:szCs w:val="24"/>
          <w:color w:val="auto"/>
        </w:rPr>
      </w:pPr>
    </w:p>
    <w:p>
      <w:pPr>
        <w:ind w:left="40" w:right="3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Common Stock reported in this item was issued upon the settlement of a portion of a grant of Salary Stock Units ("SSUs") awarded on June 30, 2013 pursuant to the Company's Salary Stock Plan (the "GMSSP"). The portion of this award currently payable was settled on June 30, 2016 in cash, less a portion withheld for taxes.</w:t>
      </w:r>
    </w:p>
    <w:p>
      <w:pPr>
        <w:spacing w:after="0" w:line="30" w:lineRule="exact"/>
        <w:rPr>
          <w:rFonts w:ascii="Arial" w:cs="Arial" w:eastAsia="Arial" w:hAnsi="Arial"/>
          <w:sz w:val="14"/>
          <w:szCs w:val="14"/>
          <w:color w:val="008000"/>
        </w:rPr>
      </w:pPr>
    </w:p>
    <w:p>
      <w:pPr>
        <w:ind w:left="40" w:right="140" w:firstLine="9"/>
        <w:spacing w:after="0" w:line="27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SSU is the economic equivalent of one share of the Company's common stock. Grants of SSUs are fully vested when made and will be settled in three equal, annual installments beginning one year after the date of grant. The GMSSP gives the Reporting Person the option of having a settlement made by delivery of shares of the Company's common stock or by the delivery of cash in an amount equal to the fair market value of the Company's common stock as of the applicable anniversary date of the SSU's grant. Under the GMSSP, the fair value of the Company's common stock is the average of the high and low trading prices for the Company's common stock as reported on the New York Stock Exchange, on which it is listed, on the date of the transaction, which was $28.68.</w:t>
      </w:r>
    </w:p>
    <w:p>
      <w:pPr>
        <w:spacing w:after="0" w:line="8" w:lineRule="exact"/>
        <w:rPr>
          <w:rFonts w:ascii="Arial" w:cs="Arial" w:eastAsia="Arial" w:hAnsi="Arial"/>
          <w:sz w:val="12"/>
          <w:szCs w:val="12"/>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SSUs do not have an expiration or exercise date or carry a conversion or exercise price.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700" w:type="dxa"/>
            <w:vAlign w:val="bottom"/>
            <w:tcBorders>
              <w:bottom w:val="single" w:sz="8" w:color="auto"/>
            </w:tcBorders>
          </w:tcPr>
          <w:p>
            <w:pPr>
              <w:spacing w:after="0"/>
              <w:rPr>
                <w:sz w:val="20"/>
                <w:szCs w:val="20"/>
                <w:color w:val="auto"/>
              </w:rPr>
            </w:pPr>
            <w:r>
              <w:rPr>
                <w:rFonts w:ascii="Arial" w:cs="Arial" w:eastAsia="Arial" w:hAnsi="Arial"/>
                <w:sz w:val="18"/>
                <w:szCs w:val="18"/>
                <w:color w:val="0000FF"/>
                <w:w w:val="86"/>
              </w:rPr>
              <w:t>/s/ Robert C. Shrosbree,</w:t>
            </w:r>
          </w:p>
        </w:tc>
        <w:tc>
          <w:tcPr>
            <w:tcW w:w="54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vMerge w:val="restart"/>
          </w:tcPr>
          <w:p>
            <w:pPr>
              <w:spacing w:after="0"/>
              <w:rPr>
                <w:sz w:val="20"/>
                <w:szCs w:val="20"/>
                <w:color w:val="auto"/>
              </w:rPr>
            </w:pPr>
            <w:r>
              <w:rPr>
                <w:rFonts w:ascii="Arial" w:cs="Arial" w:eastAsia="Arial" w:hAnsi="Arial"/>
                <w:sz w:val="18"/>
                <w:szCs w:val="18"/>
                <w:color w:val="0000FF"/>
                <w:w w:val="86"/>
              </w:rPr>
              <w:t>07/05/2016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3"/>
        </w:trPr>
        <w:tc>
          <w:tcPr>
            <w:tcW w:w="224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w w:val="91"/>
              </w:rPr>
              <w:t>Attorney-In-Fact for Mr. Reuss</w:t>
            </w:r>
          </w:p>
        </w:tc>
        <w:tc>
          <w:tcPr>
            <w:tcW w:w="60" w:type="dxa"/>
            <w:vAlign w:val="bottom"/>
            <w:vMerge w:val="restart"/>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40" w:type="dxa"/>
            <w:vAlign w:val="bottom"/>
            <w:gridSpan w:val="3"/>
            <w:vMerge w:val="continue"/>
          </w:tcPr>
          <w:p>
            <w:pPr>
              <w:spacing w:after="0"/>
              <w:rPr>
                <w:sz w:val="7"/>
                <w:szCs w:val="7"/>
                <w:color w:val="auto"/>
              </w:rPr>
            </w:pPr>
          </w:p>
        </w:tc>
        <w:tc>
          <w:tcPr>
            <w:tcW w:w="6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0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 Signature of Reporting Person</w:t>
            </w:r>
          </w:p>
        </w:tc>
        <w:tc>
          <w:tcPr>
            <w:tcW w:w="40" w:type="dxa"/>
            <w:vAlign w:val="bottom"/>
          </w:tcPr>
          <w:p>
            <w:pPr>
              <w:spacing w:after="0"/>
              <w:rPr>
                <w:sz w:val="20"/>
                <w:szCs w:val="20"/>
                <w:color w:val="auto"/>
              </w:rPr>
            </w:pPr>
          </w:p>
        </w:tc>
        <w:tc>
          <w:tcPr>
            <w:tcW w:w="880" w:type="dxa"/>
            <w:vAlign w:val="bottom"/>
            <w:gridSpan w:val="3"/>
          </w:tcPr>
          <w:p>
            <w:pPr>
              <w:ind w:left="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92362"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2019-12-08T18:09:46Z</dcterms:created>
  <dcterms:modified xsi:type="dcterms:W3CDTF">2019-12-08T18:09:46Z</dcterms:modified>
</cp:coreProperties>
</file>