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12005528.xml.htm"/>
      <w:bookmarkStart w:id="1" w:name="kswkform4_171200552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Johnson Gerald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 RENAISSANCE CENTER</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M/C: 482-C24-A68</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DETROIT</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48265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General Motors Co</w:t>
              </w:r>
            </w:hyperlink>
            <w:r>
              <w:rPr/>
              <w:t xml:space="preserve"> [ </w:t>
            </w:r>
            <w:r>
              <w:rPr>
                <w:rFonts w:ascii="Times;serif" w:hAnsi="Times;serif"/>
                <w:color w:val="0000FF"/>
                <w:sz w:val="24"/>
                <w:shd w:fill="FFFFFF" w:val="clear"/>
              </w:rPr>
              <w:t>GM</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Executive Vice President</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03/28/2024</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231"/>
              <w:gridCol w:w="6303"/>
            </w:tblGrid>
            <w:tr>
              <w:trPr/>
              <w:tc>
                <w:tcPr>
                  <w:tcW w:w="231" w:type="dxa"/>
                  <w:tcBorders/>
                  <w:vAlign w:val="center"/>
                </w:tcPr>
                <w:tbl>
                  <w:tblPr>
                    <w:tblW w:w="346" w:type="dxa"/>
                    <w:jc w:val="left"/>
                    <w:tblInd w:w="0" w:type="dxa"/>
                    <w:tblLayout w:type="fixed"/>
                    <w:tblCellMar>
                      <w:top w:w="28" w:type="dxa"/>
                      <w:left w:w="28" w:type="dxa"/>
                      <w:bottom w:w="28" w:type="dxa"/>
                      <w:right w:w="28" w:type="dxa"/>
                    </w:tblCellMar>
                  </w:tblPr>
                  <w:tblGrid>
                    <w:gridCol w:w="346"/>
                  </w:tblGrid>
                  <w:tr>
                    <w:trPr/>
                    <w:tc>
                      <w:tcPr>
                        <w:tcW w:w="3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X</w:t>
                        </w:r>
                      </w:p>
                    </w:tc>
                  </w:tr>
                </w:tbl>
                <w:p>
                  <w:pPr>
                    <w:pStyle w:val="TableContents"/>
                    <w:bidi w:val="0"/>
                    <w:spacing w:before="0" w:after="283"/>
                    <w:jc w:val="left"/>
                    <w:rPr>
                      <w:sz w:val="4"/>
                      <w:szCs w:val="4"/>
                    </w:rPr>
                  </w:pPr>
                  <w:r>
                    <w:rPr>
                      <w:sz w:val="4"/>
                      <w:szCs w:val="4"/>
                    </w:rPr>
                  </w:r>
                </w:p>
              </w:tc>
              <w:tc>
                <w:tcPr>
                  <w:tcW w:w="63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970"/>
        <w:gridCol w:w="451"/>
        <w:gridCol w:w="752"/>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03/28/2024</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27,122</w:t>
            </w:r>
            <w:r>
              <w:rPr>
                <w:rFonts w:ascii="Times;serif" w:hAnsi="Times;serif"/>
                <w:color w:val="008000"/>
                <w:position w:val="7"/>
                <w:sz w:val="16"/>
                <w:sz w:val="20"/>
                <w:shd w:fill="FFFFFF" w:val="clear"/>
              </w:rPr>
              <w:t>(1)</w:t>
            </w:r>
            <w:r>
              <w:rPr/>
              <w:t xml:space="preserve"> </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45.26</w:t>
            </w:r>
            <w:r>
              <w:rPr/>
              <w:t xml:space="preserve"> </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71,506</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in Column 4 is the weighted average selling price of the shares. The shares were sold in multiple transactions at prices from $45.00 to $45.54, inclusive. The Reporting Person undertakes to provide to the SEC, GM and any security holder, upon request, full information regarding the number of shares sold at each price point within the ranges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Tia Y. Turk, Attorney-in-Fact for Mr. Johnson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04/01/2024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772226" TargetMode="External"/><Relationship Id="rId4" Type="http://schemas.openxmlformats.org/officeDocument/2006/relationships/hyperlink" Target="http://www.sec.gov/cgi-bin/browse-edgar?action=getcompany&amp;CIK=0001467858"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626</Words>
  <Characters>3390</Characters>
  <CharactersWithSpaces>3951</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