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333-215924</w:t>
      </w:r>
    </w:p>
    <w:p>
      <w:pPr>
        <w:spacing w:after="0" w:line="122" w:lineRule="exact"/>
        <w:rPr>
          <w:sz w:val="24"/>
          <w:szCs w:val="24"/>
          <w:color w:val="auto"/>
        </w:rPr>
      </w:pPr>
    </w:p>
    <w:p>
      <w:pPr>
        <w:ind w:right="46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we are not soliciting offers to buy these securities, in any state or jurisdiction where the offer or sale is not permitted.</w:t>
      </w:r>
    </w:p>
    <w:p>
      <w:pPr>
        <w:spacing w:after="0" w:line="112"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DE1A1E"/>
        </w:rPr>
        <w:t>SUBJECT TO COMPLETION, DATED AUGUST 2, 2017</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99" w:lineRule="exact"/>
        <w:rPr>
          <w:sz w:val="24"/>
          <w:szCs w:val="24"/>
          <w:color w:val="auto"/>
        </w:rPr>
      </w:pPr>
    </w:p>
    <w:p>
      <w:pPr>
        <w:ind w:left="20"/>
        <w:spacing w:after="0"/>
        <w:rPr>
          <w:sz w:val="20"/>
          <w:szCs w:val="20"/>
          <w:color w:val="auto"/>
        </w:rPr>
      </w:pPr>
      <w:r>
        <w:rPr>
          <w:rFonts w:ascii="Arial" w:cs="Arial" w:eastAsia="Arial" w:hAnsi="Arial"/>
          <w:sz w:val="18"/>
          <w:szCs w:val="18"/>
          <w:color w:val="auto"/>
        </w:rPr>
        <w:t>(To Prospectus dated February 7, 2017)</w:t>
      </w:r>
    </w:p>
    <w:p>
      <w:pPr>
        <w:spacing w:after="0" w:line="37" w:lineRule="exact"/>
        <w:rPr>
          <w:sz w:val="24"/>
          <w:szCs w:val="24"/>
          <w:color w:val="auto"/>
        </w:rPr>
      </w:pPr>
    </w:p>
    <w:p>
      <w:pPr>
        <w:ind w:left="45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80645</wp:posOffset>
            </wp:positionV>
            <wp:extent cx="452818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378"/>
        </w:trPr>
        <w:tc>
          <w:tcPr>
            <w:tcW w:w="3740" w:type="dxa"/>
            <w:vAlign w:val="bottom"/>
          </w:tcPr>
          <w:p>
            <w:pPr>
              <w:jc w:val="right"/>
              <w:ind w:right="1415"/>
              <w:spacing w:after="0"/>
              <w:rPr>
                <w:sz w:val="20"/>
                <w:szCs w:val="20"/>
                <w:color w:val="auto"/>
              </w:rPr>
            </w:pPr>
            <w:r>
              <w:rPr>
                <w:rFonts w:ascii="Arial" w:cs="Arial" w:eastAsia="Arial" w:hAnsi="Arial"/>
                <w:sz w:val="32"/>
                <w:szCs w:val="32"/>
                <w:b w:val="1"/>
                <w:bCs w:val="1"/>
                <w:color w:val="auto"/>
              </w:rPr>
              <w:t>$</w:t>
            </w:r>
          </w:p>
        </w:tc>
        <w:tc>
          <w:tcPr>
            <w:tcW w:w="5400" w:type="dxa"/>
            <w:vAlign w:val="bottom"/>
            <w:gridSpan w:val="6"/>
          </w:tcPr>
          <w:p>
            <w:pPr>
              <w:jc w:val="center"/>
              <w:ind w:right="12"/>
              <w:spacing w:after="0"/>
              <w:rPr>
                <w:sz w:val="20"/>
                <w:szCs w:val="20"/>
                <w:color w:val="auto"/>
              </w:rPr>
            </w:pPr>
            <w:r>
              <w:rPr>
                <w:rFonts w:ascii="Arial" w:cs="Arial" w:eastAsia="Arial" w:hAnsi="Arial"/>
                <w:sz w:val="32"/>
                <w:szCs w:val="32"/>
                <w:b w:val="1"/>
                <w:bCs w:val="1"/>
                <w:color w:val="auto"/>
              </w:rPr>
              <w:t>Floating Rate Senior Notes due 20</w:t>
            </w:r>
          </w:p>
        </w:tc>
        <w:tc>
          <w:tcPr>
            <w:tcW w:w="2020" w:type="dxa"/>
            <w:vAlign w:val="bottom"/>
          </w:tcPr>
          <w:p>
            <w:pPr>
              <w:spacing w:after="0"/>
              <w:rPr>
                <w:sz w:val="24"/>
                <w:szCs w:val="24"/>
                <w:color w:val="auto"/>
              </w:rPr>
            </w:pPr>
          </w:p>
        </w:tc>
      </w:tr>
      <w:tr>
        <w:trPr>
          <w:trHeight w:val="378"/>
        </w:trPr>
        <w:tc>
          <w:tcPr>
            <w:tcW w:w="3740" w:type="dxa"/>
            <w:vAlign w:val="bottom"/>
          </w:tcPr>
          <w:p>
            <w:pPr>
              <w:jc w:val="right"/>
              <w:ind w:right="515"/>
              <w:spacing w:after="0"/>
              <w:rPr>
                <w:sz w:val="20"/>
                <w:szCs w:val="20"/>
                <w:color w:val="auto"/>
              </w:rPr>
            </w:pPr>
            <w:r>
              <w:rPr>
                <w:rFonts w:ascii="Arial" w:cs="Arial" w:eastAsia="Arial" w:hAnsi="Arial"/>
                <w:sz w:val="32"/>
                <w:szCs w:val="32"/>
                <w:b w:val="1"/>
                <w:bCs w:val="1"/>
                <w:color w:val="auto"/>
              </w:rPr>
              <w: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4"/>
          </w:tcPr>
          <w:p>
            <w:pPr>
              <w:jc w:val="center"/>
              <w:ind w:right="792"/>
              <w:spacing w:after="0"/>
              <w:rPr>
                <w:sz w:val="20"/>
                <w:szCs w:val="20"/>
                <w:color w:val="auto"/>
              </w:rPr>
            </w:pPr>
            <w:r>
              <w:rPr>
                <w:rFonts w:ascii="Arial" w:cs="Arial" w:eastAsia="Arial" w:hAnsi="Arial"/>
                <w:sz w:val="32"/>
                <w:szCs w:val="32"/>
                <w:b w:val="1"/>
                <w:bCs w:val="1"/>
                <w:color w:val="auto"/>
              </w:rPr>
              <w:t>% Senior Notes due 20</w:t>
            </w:r>
          </w:p>
        </w:tc>
        <w:tc>
          <w:tcPr>
            <w:tcW w:w="2020" w:type="dxa"/>
            <w:vAlign w:val="bottom"/>
          </w:tcPr>
          <w:p>
            <w:pPr>
              <w:spacing w:after="0"/>
              <w:rPr>
                <w:sz w:val="24"/>
                <w:szCs w:val="24"/>
                <w:color w:val="auto"/>
              </w:rPr>
            </w:pPr>
          </w:p>
        </w:tc>
      </w:tr>
      <w:tr>
        <w:trPr>
          <w:trHeight w:val="378"/>
        </w:trPr>
        <w:tc>
          <w:tcPr>
            <w:tcW w:w="3740" w:type="dxa"/>
            <w:vAlign w:val="bottom"/>
          </w:tcPr>
          <w:p>
            <w:pPr>
              <w:jc w:val="right"/>
              <w:ind w:right="515"/>
              <w:spacing w:after="0"/>
              <w:rPr>
                <w:sz w:val="20"/>
                <w:szCs w:val="20"/>
                <w:color w:val="auto"/>
              </w:rPr>
            </w:pPr>
            <w:r>
              <w:rPr>
                <w:rFonts w:ascii="Arial" w:cs="Arial" w:eastAsia="Arial" w:hAnsi="Arial"/>
                <w:sz w:val="32"/>
                <w:szCs w:val="32"/>
                <w:b w:val="1"/>
                <w:bCs w:val="1"/>
                <w:color w:val="auto"/>
              </w:rPr>
              <w: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4"/>
          </w:tcPr>
          <w:p>
            <w:pPr>
              <w:jc w:val="center"/>
              <w:ind w:right="792"/>
              <w:spacing w:after="0"/>
              <w:rPr>
                <w:sz w:val="20"/>
                <w:szCs w:val="20"/>
                <w:color w:val="auto"/>
              </w:rPr>
            </w:pPr>
            <w:r>
              <w:rPr>
                <w:rFonts w:ascii="Arial" w:cs="Arial" w:eastAsia="Arial" w:hAnsi="Arial"/>
                <w:sz w:val="32"/>
                <w:szCs w:val="32"/>
                <w:b w:val="1"/>
                <w:bCs w:val="1"/>
                <w:color w:val="auto"/>
              </w:rPr>
              <w:t>% Senior Notes due 20</w:t>
            </w:r>
          </w:p>
        </w:tc>
        <w:tc>
          <w:tcPr>
            <w:tcW w:w="2020" w:type="dxa"/>
            <w:vAlign w:val="bottom"/>
          </w:tcPr>
          <w:p>
            <w:pPr>
              <w:spacing w:after="0"/>
              <w:rPr>
                <w:sz w:val="24"/>
                <w:szCs w:val="24"/>
                <w:color w:val="auto"/>
              </w:rPr>
            </w:pPr>
          </w:p>
        </w:tc>
      </w:tr>
      <w:tr>
        <w:trPr>
          <w:trHeight w:val="429"/>
        </w:trPr>
        <w:tc>
          <w:tcPr>
            <w:tcW w:w="3740" w:type="dxa"/>
            <w:vAlign w:val="bottom"/>
          </w:tcPr>
          <w:p>
            <w:pPr>
              <w:jc w:val="right"/>
              <w:ind w:right="515"/>
              <w:spacing w:after="0"/>
              <w:rPr>
                <w:sz w:val="20"/>
                <w:szCs w:val="20"/>
                <w:color w:val="auto"/>
              </w:rPr>
            </w:pPr>
            <w:r>
              <w:rPr>
                <w:rFonts w:ascii="Arial" w:cs="Arial" w:eastAsia="Arial" w:hAnsi="Arial"/>
                <w:sz w:val="32"/>
                <w:szCs w:val="32"/>
                <w:b w:val="1"/>
                <w:bCs w:val="1"/>
                <w:color w:val="auto"/>
              </w:rPr>
              <w:t>$</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4"/>
          </w:tcPr>
          <w:p>
            <w:pPr>
              <w:jc w:val="center"/>
              <w:ind w:right="792"/>
              <w:spacing w:after="0"/>
              <w:rPr>
                <w:sz w:val="20"/>
                <w:szCs w:val="20"/>
                <w:color w:val="auto"/>
              </w:rPr>
            </w:pPr>
            <w:r>
              <w:rPr>
                <w:rFonts w:ascii="Arial" w:cs="Arial" w:eastAsia="Arial" w:hAnsi="Arial"/>
                <w:sz w:val="32"/>
                <w:szCs w:val="32"/>
                <w:b w:val="1"/>
                <w:bCs w:val="1"/>
                <w:color w:val="auto"/>
              </w:rPr>
              <w:t>% Senior Notes due 20</w:t>
            </w:r>
          </w:p>
        </w:tc>
        <w:tc>
          <w:tcPr>
            <w:tcW w:w="2020" w:type="dxa"/>
            <w:vAlign w:val="bottom"/>
          </w:tcPr>
          <w:p>
            <w:pPr>
              <w:spacing w:after="0"/>
              <w:rPr>
                <w:sz w:val="24"/>
                <w:szCs w:val="24"/>
                <w:color w:val="auto"/>
              </w:rPr>
            </w:pPr>
          </w:p>
        </w:tc>
      </w:tr>
      <w:tr>
        <w:trPr>
          <w:trHeight w:val="161"/>
        </w:trPr>
        <w:tc>
          <w:tcPr>
            <w:tcW w:w="3740" w:type="dxa"/>
            <w:vAlign w:val="bottom"/>
          </w:tcPr>
          <w:p>
            <w:pPr>
              <w:spacing w:after="0"/>
              <w:rPr>
                <w:sz w:val="13"/>
                <w:szCs w:val="13"/>
                <w:color w:val="auto"/>
              </w:rPr>
            </w:pPr>
          </w:p>
        </w:tc>
        <w:tc>
          <w:tcPr>
            <w:tcW w:w="780" w:type="dxa"/>
            <w:vAlign w:val="bottom"/>
            <w:gridSpan w:val="2"/>
          </w:tcPr>
          <w:p>
            <w:pPr>
              <w:spacing w:after="0"/>
              <w:rPr>
                <w:sz w:val="13"/>
                <w:szCs w:val="13"/>
                <w:color w:val="auto"/>
              </w:rPr>
            </w:pPr>
          </w:p>
        </w:tc>
        <w:tc>
          <w:tcPr>
            <w:tcW w:w="2380" w:type="dxa"/>
            <w:vAlign w:val="bottom"/>
            <w:tcBorders>
              <w:bottom w:val="single" w:sz="8" w:color="auto"/>
            </w:tcBorders>
            <w:gridSpan w:val="2"/>
          </w:tcPr>
          <w:p>
            <w:pPr>
              <w:spacing w:after="0"/>
              <w:rPr>
                <w:sz w:val="13"/>
                <w:szCs w:val="13"/>
                <w:color w:val="auto"/>
              </w:rPr>
            </w:pPr>
          </w:p>
        </w:tc>
        <w:tc>
          <w:tcPr>
            <w:tcW w:w="2240" w:type="dxa"/>
            <w:vAlign w:val="bottom"/>
            <w:gridSpan w:val="2"/>
          </w:tcPr>
          <w:p>
            <w:pPr>
              <w:spacing w:after="0"/>
              <w:rPr>
                <w:sz w:val="13"/>
                <w:szCs w:val="13"/>
                <w:color w:val="auto"/>
              </w:rPr>
            </w:pPr>
          </w:p>
        </w:tc>
        <w:tc>
          <w:tcPr>
            <w:tcW w:w="2020" w:type="dxa"/>
            <w:vAlign w:val="bottom"/>
          </w:tcPr>
          <w:p>
            <w:pPr>
              <w:spacing w:after="0"/>
              <w:rPr>
                <w:sz w:val="13"/>
                <w:szCs w:val="13"/>
                <w:color w:val="auto"/>
              </w:rPr>
            </w:pPr>
          </w:p>
        </w:tc>
      </w:tr>
      <w:tr>
        <w:trPr>
          <w:trHeight w:val="280"/>
        </w:trPr>
        <w:tc>
          <w:tcPr>
            <w:tcW w:w="3740" w:type="dxa"/>
            <w:vAlign w:val="bottom"/>
          </w:tcPr>
          <w:p>
            <w:pPr>
              <w:ind w:left="460"/>
              <w:spacing w:after="0"/>
              <w:rPr>
                <w:sz w:val="20"/>
                <w:szCs w:val="20"/>
                <w:color w:val="auto"/>
              </w:rPr>
            </w:pPr>
            <w:r>
              <w:rPr>
                <w:rFonts w:ascii="Arial" w:cs="Arial" w:eastAsia="Arial" w:hAnsi="Arial"/>
                <w:sz w:val="18"/>
                <w:szCs w:val="18"/>
                <w:color w:val="auto"/>
              </w:rPr>
              <w:t>General Motors Company is offering $</w:t>
            </w: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w w:val="97"/>
              </w:rPr>
              <w:t>in aggregate principal amount of Floating Rate Senior Notes due 20</w:t>
            </w:r>
          </w:p>
        </w:tc>
        <w:tc>
          <w:tcPr>
            <w:tcW w:w="2020" w:type="dxa"/>
            <w:vAlign w:val="bottom"/>
          </w:tcPr>
          <w:p>
            <w:pPr>
              <w:ind w:left="220"/>
              <w:spacing w:after="0"/>
              <w:rPr>
                <w:sz w:val="20"/>
                <w:szCs w:val="20"/>
                <w:color w:val="auto"/>
              </w:rPr>
            </w:pPr>
            <w:r>
              <w:rPr>
                <w:rFonts w:ascii="Arial" w:cs="Arial" w:eastAsia="Arial" w:hAnsi="Arial"/>
                <w:sz w:val="18"/>
                <w:szCs w:val="18"/>
                <w:color w:val="auto"/>
              </w:rPr>
              <w:t>(the “Floating Rate</w:t>
            </w: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w w:val="97"/>
              </w:rPr>
              <w:t>Notes”), $in aggregate principal amount of</w:t>
            </w:r>
          </w:p>
        </w:tc>
        <w:tc>
          <w:tcPr>
            <w:tcW w:w="3120" w:type="dxa"/>
            <w:vAlign w:val="bottom"/>
            <w:gridSpan w:val="3"/>
          </w:tcPr>
          <w:p>
            <w:pPr>
              <w:jc w:val="center"/>
              <w:spacing w:after="0" w:line="202" w:lineRule="exact"/>
              <w:rPr>
                <w:sz w:val="20"/>
                <w:szCs w:val="20"/>
                <w:color w:val="auto"/>
              </w:rPr>
            </w:pPr>
            <w:r>
              <w:rPr>
                <w:rFonts w:ascii="Arial" w:cs="Arial" w:eastAsia="Arial" w:hAnsi="Arial"/>
                <w:sz w:val="18"/>
                <w:szCs w:val="18"/>
                <w:color w:val="auto"/>
              </w:rPr>
              <w:t>% Senior Notes due 20   (the “20</w:t>
            </w:r>
          </w:p>
        </w:tc>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Notes”), $</w:t>
            </w:r>
          </w:p>
        </w:tc>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 aggregate principal amount of   %</w:t>
            </w:r>
          </w:p>
        </w:tc>
      </w:tr>
      <w:tr>
        <w:trPr>
          <w:trHeight w:val="203"/>
        </w:trPr>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Senior Notes due 20   (the “20   Notes”) and $</w:t>
            </w:r>
          </w:p>
        </w:tc>
        <w:tc>
          <w:tcPr>
            <w:tcW w:w="2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 aggregate principal amount of</w:t>
            </w:r>
          </w:p>
        </w:tc>
        <w:tc>
          <w:tcPr>
            <w:tcW w:w="40" w:type="dxa"/>
            <w:vAlign w:val="bottom"/>
          </w:tcPr>
          <w:p>
            <w:pPr>
              <w:spacing w:after="0"/>
              <w:rPr>
                <w:sz w:val="17"/>
                <w:szCs w:val="17"/>
                <w:color w:val="auto"/>
              </w:rPr>
            </w:pPr>
          </w:p>
        </w:tc>
        <w:tc>
          <w:tcPr>
            <w:tcW w:w="42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 Senior Notes due 20   (the “20   Notes” and,</w:t>
            </w: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together with the Floating Rate Notes, the 20</w:t>
            </w:r>
          </w:p>
        </w:tc>
        <w:tc>
          <w:tcPr>
            <w:tcW w:w="3120" w:type="dxa"/>
            <w:vAlign w:val="bottom"/>
            <w:gridSpan w:val="3"/>
          </w:tcPr>
          <w:p>
            <w:pPr>
              <w:jc w:val="center"/>
              <w:spacing w:after="0"/>
              <w:rPr>
                <w:sz w:val="20"/>
                <w:szCs w:val="20"/>
                <w:color w:val="auto"/>
              </w:rPr>
            </w:pPr>
            <w:r>
              <w:rPr>
                <w:rFonts w:ascii="Arial" w:cs="Arial" w:eastAsia="Arial" w:hAnsi="Arial"/>
                <w:sz w:val="18"/>
                <w:szCs w:val="18"/>
                <w:color w:val="auto"/>
              </w:rPr>
              <w:t>Notes and the 20   Notes, the “Notes”).</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75"/>
        </w:trPr>
        <w:tc>
          <w:tcPr>
            <w:tcW w:w="3740" w:type="dxa"/>
            <w:vAlign w:val="bottom"/>
          </w:tcPr>
          <w:p>
            <w:pPr>
              <w:ind w:left="460"/>
              <w:spacing w:after="0"/>
              <w:rPr>
                <w:sz w:val="20"/>
                <w:szCs w:val="20"/>
                <w:color w:val="auto"/>
              </w:rPr>
            </w:pPr>
            <w:r>
              <w:rPr>
                <w:rFonts w:ascii="Arial" w:cs="Arial" w:eastAsia="Arial" w:hAnsi="Arial"/>
                <w:sz w:val="18"/>
                <w:szCs w:val="18"/>
                <w:color w:val="auto"/>
              </w:rPr>
              <w:t>The Floating Rate Notes will mature on</w:t>
            </w:r>
          </w:p>
        </w:tc>
        <w:tc>
          <w:tcPr>
            <w:tcW w:w="360" w:type="dxa"/>
            <w:vAlign w:val="bottom"/>
          </w:tcPr>
          <w:p>
            <w:pPr>
              <w:spacing w:after="0"/>
              <w:rPr>
                <w:sz w:val="23"/>
                <w:szCs w:val="23"/>
                <w:color w:val="auto"/>
              </w:rPr>
            </w:pPr>
          </w:p>
        </w:tc>
        <w:tc>
          <w:tcPr>
            <w:tcW w:w="3760" w:type="dxa"/>
            <w:vAlign w:val="bottom"/>
            <w:gridSpan w:val="4"/>
          </w:tcPr>
          <w:p>
            <w:pPr>
              <w:ind w:left="220"/>
              <w:spacing w:after="0"/>
              <w:rPr>
                <w:sz w:val="20"/>
                <w:szCs w:val="20"/>
                <w:color w:val="auto"/>
              </w:rPr>
            </w:pPr>
            <w:r>
              <w:rPr>
                <w:rFonts w:ascii="Arial" w:cs="Arial" w:eastAsia="Arial" w:hAnsi="Arial"/>
                <w:sz w:val="18"/>
                <w:szCs w:val="18"/>
                <w:color w:val="auto"/>
              </w:rPr>
              <w:t>, 20   , the 20 Notes will mature on</w:t>
            </w:r>
          </w:p>
        </w:tc>
        <w:tc>
          <w:tcPr>
            <w:tcW w:w="3300" w:type="dxa"/>
            <w:vAlign w:val="bottom"/>
            <w:gridSpan w:val="2"/>
          </w:tcPr>
          <w:p>
            <w:pPr>
              <w:ind w:left="260"/>
              <w:spacing w:after="0"/>
              <w:rPr>
                <w:sz w:val="20"/>
                <w:szCs w:val="20"/>
                <w:color w:val="auto"/>
              </w:rPr>
            </w:pPr>
            <w:r>
              <w:rPr>
                <w:rFonts w:ascii="Arial" w:cs="Arial" w:eastAsia="Arial" w:hAnsi="Arial"/>
                <w:sz w:val="18"/>
                <w:szCs w:val="18"/>
                <w:color w:val="auto"/>
              </w:rPr>
              <w:t>, 20   , the 20   Notes will mature on</w:t>
            </w:r>
          </w:p>
        </w:tc>
      </w:tr>
      <w:tr>
        <w:trPr>
          <w:trHeight w:val="203"/>
        </w:trPr>
        <w:tc>
          <w:tcPr>
            <w:tcW w:w="410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 20   and the 20   Notes will mature on</w:t>
            </w:r>
          </w:p>
        </w:tc>
        <w:tc>
          <w:tcPr>
            <w:tcW w:w="420" w:type="dxa"/>
            <w:vAlign w:val="bottom"/>
          </w:tcPr>
          <w:p>
            <w:pPr>
              <w:spacing w:after="0"/>
              <w:rPr>
                <w:sz w:val="17"/>
                <w:szCs w:val="17"/>
                <w:color w:val="auto"/>
              </w:rPr>
            </w:pPr>
          </w:p>
        </w:tc>
        <w:tc>
          <w:tcPr>
            <w:tcW w:w="4620" w:type="dxa"/>
            <w:vAlign w:val="bottom"/>
            <w:gridSpan w:val="4"/>
          </w:tcPr>
          <w:p>
            <w:pPr>
              <w:ind w:left="300"/>
              <w:spacing w:after="0" w:line="202" w:lineRule="exact"/>
              <w:rPr>
                <w:sz w:val="20"/>
                <w:szCs w:val="20"/>
                <w:color w:val="auto"/>
              </w:rPr>
            </w:pPr>
            <w:r>
              <w:rPr>
                <w:rFonts w:ascii="Arial" w:cs="Arial" w:eastAsia="Arial" w:hAnsi="Arial"/>
                <w:sz w:val="18"/>
                <w:szCs w:val="18"/>
                <w:color w:val="auto"/>
              </w:rPr>
              <w:t>, 20   . Interest on the Notes will accrue from</w:t>
            </w:r>
          </w:p>
        </w:tc>
        <w:tc>
          <w:tcPr>
            <w:tcW w:w="2020" w:type="dxa"/>
            <w:vAlign w:val="bottom"/>
          </w:tcPr>
          <w:p>
            <w:pPr>
              <w:ind w:left="40"/>
              <w:spacing w:after="0" w:line="202" w:lineRule="exact"/>
              <w:rPr>
                <w:sz w:val="20"/>
                <w:szCs w:val="20"/>
                <w:color w:val="auto"/>
              </w:rPr>
            </w:pPr>
            <w:r>
              <w:rPr>
                <w:rFonts w:ascii="Arial" w:cs="Arial" w:eastAsia="Arial" w:hAnsi="Arial"/>
                <w:sz w:val="18"/>
                <w:szCs w:val="18"/>
                <w:color w:val="auto"/>
                <w:w w:val="96"/>
              </w:rPr>
              <w:t>, 2017. The Floating Rate</w:t>
            </w:r>
          </w:p>
        </w:tc>
      </w:tr>
    </w:tbl>
    <w:p>
      <w:pPr>
        <w:spacing w:after="0"/>
        <w:tabs>
          <w:tab w:leader="none" w:pos="6580" w:val="left"/>
        </w:tabs>
        <w:rPr>
          <w:sz w:val="20"/>
          <w:szCs w:val="20"/>
          <w:color w:val="auto"/>
        </w:rPr>
      </w:pPr>
      <w:r>
        <w:rPr>
          <w:rFonts w:ascii="Arial" w:cs="Arial" w:eastAsia="Arial" w:hAnsi="Arial"/>
          <w:sz w:val="18"/>
          <w:szCs w:val="18"/>
          <w:color w:val="auto"/>
        </w:rPr>
        <w:t>Notes will bear interest at a rate, reset quarterly, equal to three-month LIBOR plus</w:t>
      </w:r>
      <w:r>
        <w:rPr>
          <w:sz w:val="20"/>
          <w:szCs w:val="20"/>
          <w:color w:val="auto"/>
        </w:rPr>
        <w:tab/>
      </w:r>
      <w:r>
        <w:rPr>
          <w:rFonts w:ascii="Arial" w:cs="Arial" w:eastAsia="Arial" w:hAnsi="Arial"/>
          <w:sz w:val="16"/>
          <w:szCs w:val="16"/>
          <w:color w:val="auto"/>
        </w:rPr>
        <w:t>%. We will pay interest on the Floating Rate Notes quarterly</w:t>
      </w:r>
    </w:p>
    <w:p>
      <w:pPr>
        <w:spacing w:after="0"/>
        <w:tabs>
          <w:tab w:leader="none" w:pos="820" w:val="left"/>
          <w:tab w:leader="none" w:pos="1500" w:val="left"/>
          <w:tab w:leader="none" w:pos="2240" w:val="left"/>
          <w:tab w:leader="none" w:pos="3160" w:val="left"/>
          <w:tab w:leader="none" w:pos="6280" w:val="left"/>
          <w:tab w:leader="none" w:pos="9400" w:val="left"/>
          <w:tab w:leader="none" w:pos="106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commencing on</w:t>
      </w:r>
      <w:r>
        <w:rPr>
          <w:sz w:val="20"/>
          <w:szCs w:val="20"/>
          <w:color w:val="auto"/>
        </w:rPr>
        <w:tab/>
      </w:r>
      <w:r>
        <w:rPr>
          <w:rFonts w:ascii="Arial" w:cs="Arial" w:eastAsia="Arial" w:hAnsi="Arial"/>
          <w:sz w:val="18"/>
          <w:szCs w:val="18"/>
          <w:color w:val="auto"/>
        </w:rPr>
        <w:t>, 2017. We will pay interest on the 20</w:t>
        <w:tab/>
        <w:t>Notes, the 20</w:t>
      </w:r>
      <w:r>
        <w:rPr>
          <w:sz w:val="20"/>
          <w:szCs w:val="20"/>
          <w:color w:val="auto"/>
        </w:rPr>
        <w:tab/>
      </w:r>
      <w:r>
        <w:rPr>
          <w:rFonts w:ascii="Arial" w:cs="Arial" w:eastAsia="Arial" w:hAnsi="Arial"/>
          <w:sz w:val="16"/>
          <w:szCs w:val="16"/>
          <w:color w:val="auto"/>
        </w:rPr>
        <w:t>Notes</w:t>
      </w:r>
    </w:p>
    <w:p>
      <w:pPr>
        <w:spacing w:after="0"/>
        <w:tabs>
          <w:tab w:leader="none" w:pos="1060" w:val="left"/>
          <w:tab w:leader="none" w:pos="3280" w:val="left"/>
          <w:tab w:leader="none" w:pos="4120" w:val="left"/>
          <w:tab w:leader="none" w:pos="7580" w:val="left"/>
        </w:tabs>
        <w:rPr>
          <w:sz w:val="20"/>
          <w:szCs w:val="20"/>
          <w:color w:val="auto"/>
        </w:rPr>
      </w:pPr>
      <w:r>
        <w:rPr>
          <w:rFonts w:ascii="Arial" w:cs="Arial" w:eastAsia="Arial" w:hAnsi="Arial"/>
          <w:sz w:val="18"/>
          <w:szCs w:val="18"/>
          <w:color w:val="auto"/>
        </w:rPr>
        <w:t>and the 20</w:t>
        <w:tab/>
        <w:t>Notes semi-annually</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 of each year, commencing on</w:t>
      </w:r>
      <w:r>
        <w:rPr>
          <w:sz w:val="20"/>
          <w:szCs w:val="20"/>
          <w:color w:val="auto"/>
        </w:rPr>
        <w:tab/>
      </w:r>
      <w:r>
        <w:rPr>
          <w:rFonts w:ascii="Arial" w:cs="Arial" w:eastAsia="Arial" w:hAnsi="Arial"/>
          <w:sz w:val="16"/>
          <w:szCs w:val="16"/>
          <w:color w:val="auto"/>
        </w:rPr>
        <w:t>, 2018. The Notes will be our senior unsecured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obligations and will rank equally in right of payment with all of our existing and future senior unsecured indebtedness.</w:t>
      </w:r>
    </w:p>
    <w:p>
      <w:pPr>
        <w:spacing w:after="0" w:line="72" w:lineRule="exact"/>
        <w:rPr>
          <w:sz w:val="24"/>
          <w:szCs w:val="24"/>
          <w:color w:val="auto"/>
        </w:rPr>
      </w:pPr>
    </w:p>
    <w:p>
      <w:pPr>
        <w:ind w:left="460"/>
        <w:spacing w:after="0"/>
        <w:tabs>
          <w:tab w:leader="none" w:pos="9540" w:val="left"/>
          <w:tab w:leader="none" w:pos="10840" w:val="left"/>
        </w:tabs>
        <w:rPr>
          <w:sz w:val="20"/>
          <w:szCs w:val="20"/>
          <w:color w:val="auto"/>
        </w:rPr>
      </w:pPr>
      <w:r>
        <w:rPr>
          <w:rFonts w:ascii="Arial" w:cs="Arial" w:eastAsia="Arial" w:hAnsi="Arial"/>
          <w:sz w:val="18"/>
          <w:szCs w:val="18"/>
          <w:color w:val="auto"/>
        </w:rPr>
        <w:t>We may not redeem the Floating Rate Notes prior to maturity. We may, at our option, redeem some or all of the 20</w:t>
        <w:tab/>
        <w:t>Notes, the 20</w:t>
      </w:r>
      <w:r>
        <w:rPr>
          <w:sz w:val="20"/>
          <w:szCs w:val="20"/>
          <w:color w:val="auto"/>
        </w:rPr>
        <w:tab/>
      </w:r>
      <w:r>
        <w:rPr>
          <w:rFonts w:ascii="Arial" w:cs="Arial" w:eastAsia="Arial" w:hAnsi="Arial"/>
          <w:sz w:val="16"/>
          <w:szCs w:val="16"/>
          <w:color w:val="auto"/>
        </w:rPr>
        <w:t>Notes</w:t>
      </w:r>
    </w:p>
    <w:p>
      <w:pPr>
        <w:ind w:right="380"/>
        <w:spacing w:after="0" w:line="239" w:lineRule="auto"/>
        <w:rPr>
          <w:sz w:val="20"/>
          <w:szCs w:val="20"/>
          <w:color w:val="auto"/>
        </w:rPr>
      </w:pPr>
      <w:r>
        <w:rPr>
          <w:rFonts w:ascii="Arial" w:cs="Arial" w:eastAsia="Arial" w:hAnsi="Arial"/>
          <w:sz w:val="18"/>
          <w:szCs w:val="18"/>
          <w:color w:val="auto"/>
        </w:rPr>
        <w:t>and the 20 Notes at any time and from time to time at the applicable redemption prices described under “Description of the Notes—Optional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jc w:val="both"/>
        <w:ind w:right="1040" w:firstLine="456"/>
        <w:spacing w:after="0" w:line="328"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risks. See “</w:t>
      </w:r>
      <w:hyperlink w:anchor="page1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w:t>
      </w:r>
      <w:hyperlink w:anchor="page14">
        <w:r>
          <w:rPr>
            <w:rFonts w:ascii="Arial" w:cs="Arial" w:eastAsia="Arial" w:hAnsi="Arial"/>
            <w:sz w:val="16"/>
            <w:szCs w:val="16"/>
            <w:b w:val="1"/>
            <w:bCs w:val="1"/>
            <w:u w:val="single" w:color="auto"/>
            <w:color w:val="0000EE"/>
          </w:rPr>
          <w:t>10</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52705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0"/>
          <w:szCs w:val="20"/>
          <w:color w:val="auto"/>
        </w:rPr>
      </w:pPr>
    </w:p>
    <w:p>
      <w:pPr>
        <w:ind w:right="220" w:firstLine="456"/>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Per Floating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Per 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Per 20</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Per 20</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29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 Note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Note</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Note</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Note</w:t>
            </w:r>
          </w:p>
        </w:tc>
        <w:tc>
          <w:tcPr>
            <w:tcW w:w="3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196"/>
        </w:trPr>
        <w:tc>
          <w:tcPr>
            <w:tcW w:w="2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Price to Public(1)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jc w:val="right"/>
              <w:ind w:right="712"/>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32"/>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7"/>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7"/>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3"/>
        </w:trPr>
        <w:tc>
          <w:tcPr>
            <w:tcW w:w="2960" w:type="dxa"/>
            <w:vAlign w:val="bottom"/>
          </w:tcPr>
          <w:p>
            <w:pPr>
              <w:spacing w:after="0" w:line="202" w:lineRule="exact"/>
              <w:rPr>
                <w:sz w:val="20"/>
                <w:szCs w:val="20"/>
                <w:color w:val="auto"/>
              </w:rPr>
            </w:pPr>
            <w:r>
              <w:rPr>
                <w:rFonts w:ascii="Arial" w:cs="Arial" w:eastAsia="Arial" w:hAnsi="Arial"/>
                <w:sz w:val="18"/>
                <w:szCs w:val="18"/>
                <w:color w:val="auto"/>
              </w:rPr>
              <w:t>Underwriting Discounts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87"/>
              </w:rPr>
              <w:t>%</w:t>
            </w:r>
          </w:p>
        </w:tc>
        <w:tc>
          <w:tcPr>
            <w:tcW w:w="100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17"/>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697"/>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r>
      <w:tr>
        <w:trPr>
          <w:trHeight w:val="203"/>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3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7"/>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7"/>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43"/>
        </w:trPr>
        <w:tc>
          <w:tcPr>
            <w:tcW w:w="2960" w:type="dxa"/>
            <w:vAlign w:val="bottom"/>
          </w:tcPr>
          <w:p>
            <w:pPr>
              <w:spacing w:after="0"/>
              <w:rPr>
                <w:sz w:val="20"/>
                <w:szCs w:val="20"/>
                <w:color w:val="auto"/>
              </w:rPr>
            </w:pPr>
            <w:r>
              <w:rPr>
                <w:rFonts w:ascii="Arial" w:cs="Arial" w:eastAsia="Arial" w:hAnsi="Arial"/>
                <w:sz w:val="14"/>
                <w:szCs w:val="14"/>
                <w:color w:val="auto"/>
                <w:w w:val="95"/>
              </w:rPr>
              <w:t>(1)Plus accrued interest, if any, from</w:t>
            </w:r>
          </w:p>
        </w:tc>
        <w:tc>
          <w:tcPr>
            <w:tcW w:w="980" w:type="dxa"/>
            <w:vAlign w:val="bottom"/>
            <w:gridSpan w:val="2"/>
          </w:tcPr>
          <w:p>
            <w:pPr>
              <w:jc w:val="right"/>
              <w:ind w:right="372"/>
              <w:spacing w:after="0"/>
              <w:rPr>
                <w:sz w:val="20"/>
                <w:szCs w:val="20"/>
                <w:color w:val="auto"/>
              </w:rPr>
            </w:pPr>
            <w:r>
              <w:rPr>
                <w:rFonts w:ascii="Arial" w:cs="Arial" w:eastAsia="Arial" w:hAnsi="Arial"/>
                <w:sz w:val="14"/>
                <w:szCs w:val="14"/>
                <w:color w:val="auto"/>
              </w:rPr>
              <w:t>, 2017.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or automated quotation system. Currently there are no markets for 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expect to deliver the Notes to purchasers in book-entry form through the facilities of The Depository Trust Company and 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60" w:type="dxa"/>
            <w:vAlign w:val="bottom"/>
            <w:gridSpan w:val="3"/>
          </w:tcPr>
          <w:p>
            <w:pPr>
              <w:spacing w:after="0"/>
              <w:rPr>
                <w:sz w:val="20"/>
                <w:szCs w:val="20"/>
                <w:color w:val="auto"/>
              </w:rPr>
            </w:pPr>
            <w:r>
              <w:rPr>
                <w:rFonts w:ascii="Arial" w:cs="Arial" w:eastAsia="Arial" w:hAnsi="Arial"/>
                <w:sz w:val="18"/>
                <w:szCs w:val="18"/>
                <w:color w:val="auto"/>
              </w:rPr>
              <w:t xml:space="preserve">participants, including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on or about</w:t>
            </w:r>
          </w:p>
        </w:tc>
        <w:tc>
          <w:tcPr>
            <w:tcW w:w="2960" w:type="dxa"/>
            <w:vAlign w:val="bottom"/>
          </w:tcPr>
          <w:p>
            <w:pPr>
              <w:jc w:val="right"/>
              <w:ind w:right="1990"/>
              <w:spacing w:after="0"/>
              <w:rPr>
                <w:sz w:val="20"/>
                <w:szCs w:val="20"/>
                <w:color w:val="auto"/>
              </w:rPr>
            </w:pPr>
            <w:r>
              <w:rPr>
                <w:rFonts w:ascii="Arial" w:cs="Arial" w:eastAsia="Arial" w:hAnsi="Arial"/>
                <w:sz w:val="18"/>
                <w:szCs w:val="18"/>
                <w:color w:val="auto"/>
              </w:rPr>
              <w:t>, 2017.</w:t>
            </w:r>
          </w:p>
        </w:tc>
      </w:tr>
      <w:tr>
        <w:trPr>
          <w:trHeight w:val="146"/>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56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289"/>
        </w:trPr>
        <w:tc>
          <w:tcPr>
            <w:tcW w:w="4520" w:type="dxa"/>
            <w:vAlign w:val="bottom"/>
          </w:tcPr>
          <w:p>
            <w:pPr>
              <w:spacing w:after="0"/>
              <w:rPr>
                <w:sz w:val="24"/>
                <w:szCs w:val="24"/>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i w:val="1"/>
                <w:iCs w:val="1"/>
                <w:color w:val="auto"/>
              </w:rPr>
              <w:t>Joint Book-Running Managers</w:t>
            </w:r>
          </w:p>
        </w:tc>
        <w:tc>
          <w:tcPr>
            <w:tcW w:w="2960" w:type="dxa"/>
            <w:vAlign w:val="bottom"/>
          </w:tcPr>
          <w:p>
            <w:pPr>
              <w:spacing w:after="0"/>
              <w:rPr>
                <w:sz w:val="24"/>
                <w:szCs w:val="24"/>
                <w:color w:val="auto"/>
              </w:rPr>
            </w:pPr>
          </w:p>
        </w:tc>
      </w:tr>
      <w:tr>
        <w:trPr>
          <w:trHeight w:val="319"/>
        </w:trPr>
        <w:tc>
          <w:tcPr>
            <w:tcW w:w="4520" w:type="dxa"/>
            <w:vAlign w:val="bottom"/>
          </w:tcPr>
          <w:p>
            <w:pPr>
              <w:spacing w:after="0"/>
              <w:rPr>
                <w:sz w:val="20"/>
                <w:szCs w:val="20"/>
                <w:color w:val="auto"/>
              </w:rPr>
            </w:pPr>
            <w:r>
              <w:rPr>
                <w:rFonts w:ascii="Arial" w:cs="Arial" w:eastAsia="Arial" w:hAnsi="Arial"/>
                <w:sz w:val="24"/>
                <w:szCs w:val="24"/>
                <w:b w:val="1"/>
                <w:bCs w:val="1"/>
                <w:color w:val="auto"/>
              </w:rPr>
              <w:t>Deutsche Bank Securities</w:t>
            </w:r>
          </w:p>
        </w:tc>
        <w:tc>
          <w:tcPr>
            <w:tcW w:w="3940" w:type="dxa"/>
            <w:vAlign w:val="bottom"/>
            <w:gridSpan w:val="2"/>
          </w:tcPr>
          <w:p>
            <w:pPr>
              <w:ind w:left="240"/>
              <w:spacing w:after="0"/>
              <w:rPr>
                <w:sz w:val="20"/>
                <w:szCs w:val="20"/>
                <w:color w:val="auto"/>
              </w:rPr>
            </w:pPr>
            <w:r>
              <w:rPr>
                <w:rFonts w:ascii="Arial" w:cs="Arial" w:eastAsia="Arial" w:hAnsi="Arial"/>
                <w:sz w:val="24"/>
                <w:szCs w:val="24"/>
                <w:b w:val="1"/>
                <w:bCs w:val="1"/>
                <w:color w:val="auto"/>
              </w:rPr>
              <w:t>BofA Merrill Lynch</w:t>
            </w:r>
          </w:p>
        </w:tc>
        <w:tc>
          <w:tcPr>
            <w:tcW w:w="2960" w:type="dxa"/>
            <w:vAlign w:val="bottom"/>
          </w:tcPr>
          <w:p>
            <w:pPr>
              <w:jc w:val="right"/>
              <w:spacing w:after="0"/>
              <w:rPr>
                <w:sz w:val="20"/>
                <w:szCs w:val="20"/>
                <w:color w:val="auto"/>
              </w:rPr>
            </w:pPr>
            <w:r>
              <w:rPr>
                <w:rFonts w:ascii="Arial" w:cs="Arial" w:eastAsia="Arial" w:hAnsi="Arial"/>
                <w:sz w:val="24"/>
                <w:szCs w:val="24"/>
                <w:b w:val="1"/>
                <w:bCs w:val="1"/>
                <w:color w:val="auto"/>
              </w:rPr>
              <w:t>Morgan Stanley</w:t>
            </w:r>
          </w:p>
        </w:tc>
      </w:tr>
      <w:tr>
        <w:trPr>
          <w:trHeight w:val="322"/>
        </w:trPr>
        <w:tc>
          <w:tcPr>
            <w:tcW w:w="452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24"/>
                <w:szCs w:val="24"/>
                <w:b w:val="1"/>
                <w:bCs w:val="1"/>
                <w:color w:val="auto"/>
              </w:rPr>
              <w:t>J.P. Morgan</w:t>
            </w:r>
          </w:p>
        </w:tc>
      </w:tr>
    </w:tbl>
    <w:p>
      <w:pPr>
        <w:spacing w:after="0" w:line="80" w:lineRule="exact"/>
        <w:rPr>
          <w:sz w:val="20"/>
          <w:szCs w:val="20"/>
          <w:color w:val="auto"/>
        </w:rPr>
      </w:pPr>
    </w:p>
    <w:p>
      <w:pPr>
        <w:sectPr>
          <w:pgSz w:w="11900" w:h="16838" w:orient="portrait"/>
          <w:cols w:equalWidth="0" w:num="1">
            <w:col w:w="11420"/>
          </w:cols>
          <w:pgMar w:left="240" w:top="230" w:right="239" w:bottom="1440" w:gutter="0" w:footer="0" w:header="0"/>
        </w:sectPr>
      </w:pPr>
    </w:p>
    <w:p>
      <w:pPr>
        <w:ind w:left="3400"/>
        <w:spacing w:after="0"/>
        <w:tabs>
          <w:tab w:leader="none" w:pos="7460" w:val="left"/>
        </w:tabs>
        <w:rPr>
          <w:sz w:val="20"/>
          <w:szCs w:val="20"/>
          <w:color w:val="auto"/>
        </w:rPr>
      </w:pPr>
      <w:r>
        <w:rPr>
          <w:rFonts w:ascii="Arial" w:cs="Arial" w:eastAsia="Arial" w:hAnsi="Arial"/>
          <w:sz w:val="18"/>
          <w:szCs w:val="18"/>
          <w:color w:val="auto"/>
        </w:rPr>
        <w:t>The date of this prospectus supplement is</w:t>
      </w:r>
      <w:r>
        <w:rPr>
          <w:sz w:val="20"/>
          <w:szCs w:val="20"/>
          <w:color w:val="auto"/>
        </w:rPr>
        <w:tab/>
      </w:r>
      <w:r>
        <w:rPr>
          <w:rFonts w:ascii="Arial" w:cs="Arial" w:eastAsia="Arial" w:hAnsi="Arial"/>
          <w:sz w:val="16"/>
          <w:szCs w:val="16"/>
          <w:color w:val="auto"/>
        </w:rPr>
        <w:t>,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jc w:val="center"/>
              <w:ind w:left="12"/>
              <w:spacing w:after="0"/>
              <w:rPr>
                <w:sz w:val="20"/>
                <w:szCs w:val="20"/>
                <w:color w:val="auto"/>
              </w:rPr>
            </w:pPr>
            <w:r>
              <w:rPr>
                <w:rFonts w:ascii="Arial" w:cs="Arial" w:eastAsia="Arial" w:hAnsi="Arial"/>
                <w:sz w:val="18"/>
                <w:szCs w:val="18"/>
                <w:b w:val="1"/>
                <w:bCs w:val="1"/>
                <w:color w:val="auto"/>
                <w:w w:val="96"/>
              </w:rPr>
              <w:t>TABLE OF CONTENTS</w:t>
            </w:r>
          </w:p>
        </w:tc>
        <w:tc>
          <w:tcPr>
            <w:tcW w:w="4260" w:type="dxa"/>
            <w:vAlign w:val="bottom"/>
          </w:tcPr>
          <w:p>
            <w:pPr>
              <w:spacing w:after="0"/>
              <w:rPr>
                <w:sz w:val="20"/>
                <w:szCs w:val="20"/>
                <w:color w:val="auto"/>
              </w:rPr>
            </w:pPr>
          </w:p>
        </w:tc>
      </w:tr>
      <w:tr>
        <w:trPr>
          <w:trHeight w:val="284"/>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8"/>
              </w:rPr>
              <w:t>Prospectus Supplement</w:t>
            </w:r>
          </w:p>
        </w:tc>
        <w:tc>
          <w:tcPr>
            <w:tcW w:w="4260" w:type="dxa"/>
            <w:vAlign w:val="bottom"/>
          </w:tcPr>
          <w:p>
            <w:pPr>
              <w:spacing w:after="0"/>
              <w:rPr>
                <w:sz w:val="24"/>
                <w:szCs w:val="24"/>
                <w:color w:val="auto"/>
              </w:rPr>
            </w:pPr>
          </w:p>
        </w:tc>
      </w:tr>
      <w:tr>
        <w:trPr>
          <w:trHeight w:val="367"/>
        </w:trPr>
        <w:tc>
          <w:tcPr>
            <w:tcW w:w="27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4340" w:type="dxa"/>
            <w:vAlign w:val="bottom"/>
            <w:gridSpan w:val="6"/>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S-ii</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6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Prospectus Supplement Summary</w:t>
              </w:r>
            </w:hyperlink>
          </w:p>
        </w:tc>
        <w:tc>
          <w:tcPr>
            <w:tcW w:w="4420" w:type="dxa"/>
            <w:vAlign w:val="bottom"/>
            <w:gridSpan w:val="7"/>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382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Consolidated Ratio of Earnings to Fixed Charges</w:t>
              </w:r>
            </w:hyperlink>
          </w:p>
        </w:tc>
        <w:tc>
          <w:tcPr>
            <w:tcW w:w="3280" w:type="dxa"/>
            <w:vAlign w:val="bottom"/>
            <w:gridSpan w:val="3"/>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Notes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Material U.S. Federal Tax Considerations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S-24</w:t>
            </w:r>
          </w:p>
        </w:tc>
      </w:tr>
      <w:tr>
        <w:trPr>
          <w:trHeight w:val="183"/>
        </w:trPr>
        <w:tc>
          <w:tcPr>
            <w:tcW w:w="32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Underwriting (Conflicts of Interest)</w:t>
              </w:r>
            </w:hyperlink>
          </w:p>
        </w:tc>
        <w:tc>
          <w:tcPr>
            <w:tcW w:w="3900" w:type="dxa"/>
            <w:vAlign w:val="bottom"/>
            <w:gridSpan w:val="4"/>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S-29</w:t>
            </w:r>
          </w:p>
        </w:tc>
      </w:tr>
      <w:tr>
        <w:trPr>
          <w:trHeight w:val="183"/>
        </w:trPr>
        <w:tc>
          <w:tcPr>
            <w:tcW w:w="10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Legal Matters</w:t>
              </w:r>
            </w:hyperlink>
          </w:p>
        </w:tc>
        <w:tc>
          <w:tcPr>
            <w:tcW w:w="1580" w:type="dxa"/>
            <w:vAlign w:val="bottom"/>
            <w:tcBorders>
              <w:top w:val="single" w:sz="8" w:color="0000EE"/>
            </w:tcBorders>
            <w:gridSpan w:val="11"/>
          </w:tcPr>
          <w:p>
            <w:pPr>
              <w:spacing w:after="0"/>
              <w:rPr>
                <w:sz w:val="15"/>
                <w:szCs w:val="15"/>
                <w:color w:val="auto"/>
              </w:rPr>
            </w:pPr>
          </w:p>
        </w:tc>
        <w:tc>
          <w:tcPr>
            <w:tcW w:w="4440" w:type="dxa"/>
            <w:vAlign w:val="bottom"/>
            <w:gridSpan w:val="8"/>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S-34</w:t>
            </w: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Incorporation of Certain Documents by Reference</w:t>
              </w:r>
            </w:hyperlink>
          </w:p>
        </w:tc>
        <w:tc>
          <w:tcPr>
            <w:tcW w:w="3220" w:type="dxa"/>
            <w:vAlign w:val="bottom"/>
            <w:gridSpan w:val="2"/>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S-34</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S-35</w:t>
            </w:r>
          </w:p>
        </w:tc>
      </w:tr>
      <w:tr>
        <w:trPr>
          <w:trHeight w:val="545"/>
        </w:trPr>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tcPr>
          <w:p>
            <w:pPr>
              <w:jc w:val="center"/>
              <w:ind w:left="12"/>
              <w:spacing w:after="0"/>
              <w:rPr>
                <w:sz w:val="20"/>
                <w:szCs w:val="20"/>
                <w:color w:val="auto"/>
              </w:rPr>
            </w:pPr>
            <w:r>
              <w:rPr>
                <w:rFonts w:ascii="Arial" w:cs="Arial" w:eastAsia="Arial" w:hAnsi="Arial"/>
                <w:sz w:val="18"/>
                <w:szCs w:val="18"/>
                <w:b w:val="1"/>
                <w:bCs w:val="1"/>
                <w:color w:val="auto"/>
                <w:w w:val="97"/>
              </w:rPr>
              <w:t>Prospectus</w:t>
            </w:r>
          </w:p>
        </w:tc>
        <w:tc>
          <w:tcPr>
            <w:tcW w:w="4260" w:type="dxa"/>
            <w:vAlign w:val="bottom"/>
          </w:tcPr>
          <w:p>
            <w:pPr>
              <w:spacing w:after="0"/>
              <w:rPr>
                <w:sz w:val="24"/>
                <w:szCs w:val="24"/>
                <w:color w:val="auto"/>
              </w:rPr>
            </w:pPr>
          </w:p>
        </w:tc>
      </w:tr>
      <w:tr>
        <w:trPr>
          <w:trHeight w:val="367"/>
        </w:trPr>
        <w:tc>
          <w:tcPr>
            <w:tcW w:w="17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About This Prospectus</w:t>
              </w:r>
            </w:hyperlink>
          </w:p>
        </w:tc>
        <w:tc>
          <w:tcPr>
            <w:tcW w:w="5320" w:type="dxa"/>
            <w:vAlign w:val="bottom"/>
            <w:gridSpan w:val="16"/>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Incorporation of Certain Documents by Reference</w:t>
              </w:r>
            </w:hyperlink>
          </w:p>
        </w:tc>
        <w:tc>
          <w:tcPr>
            <w:tcW w:w="3220" w:type="dxa"/>
            <w:vAlign w:val="bottom"/>
            <w:gridSpan w:val="2"/>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02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General Motors Company</w:t>
              </w:r>
            </w:hyperlink>
          </w:p>
        </w:tc>
        <w:tc>
          <w:tcPr>
            <w:tcW w:w="5080" w:type="dxa"/>
            <w:vAlign w:val="bottom"/>
            <w:gridSpan w:val="14"/>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382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Consolidated Ratio of Earnings to Fixed Charges</w:t>
              </w:r>
            </w:hyperlink>
          </w:p>
        </w:tc>
        <w:tc>
          <w:tcPr>
            <w:tcW w:w="3280" w:type="dxa"/>
            <w:vAlign w:val="bottom"/>
            <w:gridSpan w:val="3"/>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710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Consolidated Ratio of Earnings to Combined Fixed Charges and Preferred Stock Dividends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Forward-Looking Statements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3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Overview of Our Capital Stock</w:t>
              </w:r>
            </w:hyperlink>
          </w:p>
        </w:tc>
        <w:tc>
          <w:tcPr>
            <w:tcW w:w="4720" w:type="dxa"/>
            <w:vAlign w:val="bottom"/>
            <w:gridSpan w:val="9"/>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General Description of Securities That May Be Offered</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42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Debt Securities</w:t>
              </w:r>
            </w:hyperlink>
          </w:p>
        </w:tc>
        <w:tc>
          <w:tcPr>
            <w:tcW w:w="2860" w:type="dxa"/>
            <w:vAlign w:val="bottom"/>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236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Description of Preferred Stock</w:t>
              </w:r>
            </w:hyperlink>
          </w:p>
        </w:tc>
        <w:tc>
          <w:tcPr>
            <w:tcW w:w="4740" w:type="dxa"/>
            <w:vAlign w:val="bottom"/>
            <w:gridSpan w:val="10"/>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34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Description of Common Stock</w:t>
              </w:r>
            </w:hyperlink>
          </w:p>
        </w:tc>
        <w:tc>
          <w:tcPr>
            <w:tcW w:w="4760" w:type="dxa"/>
            <w:vAlign w:val="bottom"/>
            <w:gridSpan w:val="11"/>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8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Description of Warrants</w:t>
              </w:r>
            </w:hyperlink>
          </w:p>
        </w:tc>
        <w:tc>
          <w:tcPr>
            <w:tcW w:w="5220" w:type="dxa"/>
            <w:vAlign w:val="bottom"/>
            <w:gridSpan w:val="15"/>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0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Legal Matters</w:t>
              </w:r>
            </w:hyperlink>
          </w:p>
        </w:tc>
        <w:tc>
          <w:tcPr>
            <w:tcW w:w="400" w:type="dxa"/>
            <w:vAlign w:val="bottom"/>
            <w:tcBorders>
              <w:top w:val="single" w:sz="8" w:color="0000EE"/>
            </w:tcBorders>
            <w:gridSpan w:val="2"/>
          </w:tcPr>
          <w:p>
            <w:pPr>
              <w:spacing w:after="0"/>
              <w:rPr>
                <w:sz w:val="15"/>
                <w:szCs w:val="15"/>
                <w:color w:val="auto"/>
              </w:rPr>
            </w:pPr>
          </w:p>
        </w:tc>
        <w:tc>
          <w:tcPr>
            <w:tcW w:w="5620" w:type="dxa"/>
            <w:vAlign w:val="bottom"/>
            <w:gridSpan w:val="17"/>
          </w:tcPr>
          <w:p>
            <w:pPr>
              <w:spacing w:after="0"/>
              <w:rPr>
                <w:sz w:val="15"/>
                <w:szCs w:val="15"/>
                <w:color w:val="auto"/>
              </w:rPr>
            </w:pP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7100" w:type="dxa"/>
            <w:vAlign w:val="bottom"/>
            <w:gridSpan w:val="22"/>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600" w:type="dxa"/>
            <w:vAlign w:val="bottom"/>
            <w:shd w:val="clear" w:color="auto" w:fill="0000EE"/>
          </w:tcPr>
          <w:p>
            <w:pPr>
              <w:spacing w:after="0" w:line="20" w:lineRule="exact"/>
              <w:rPr>
                <w:sz w:val="1"/>
                <w:szCs w:val="1"/>
                <w:color w:val="auto"/>
              </w:rPr>
            </w:pPr>
          </w:p>
        </w:tc>
        <w:tc>
          <w:tcPr>
            <w:tcW w:w="6500" w:type="dxa"/>
            <w:vAlign w:val="bottom"/>
            <w:gridSpan w:val="21"/>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83"/>
        </w:trPr>
        <w:tc>
          <w:tcPr>
            <w:tcW w:w="7100" w:type="dxa"/>
            <w:vAlign w:val="bottom"/>
            <w:gridSpan w:val="22"/>
          </w:tcPr>
          <w:p>
            <w:pPr>
              <w:spacing w:after="0" w:line="182" w:lineRule="exact"/>
              <w:rPr>
                <w:sz w:val="20"/>
                <w:szCs w:val="20"/>
                <w:color w:val="auto"/>
              </w:rPr>
            </w:pPr>
            <w:r>
              <w:rPr>
                <w:rFonts w:ascii="Arial" w:cs="Arial" w:eastAsia="Arial" w:hAnsi="Arial"/>
                <w:sz w:val="18"/>
                <w:szCs w:val="18"/>
                <w:color w:val="0000EE"/>
              </w:rPr>
              <w:t>Where You Can Find More Information</w:t>
            </w:r>
          </w:p>
        </w:tc>
        <w:tc>
          <w:tcPr>
            <w:tcW w:w="42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56"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this prospectus supplement, unless the context indicates otherwise, references to “we,” “our,” “us,” “ourselves,” the “Company,” “General Motors” or “GM” refer to General Motors Company and, where appropriate, its subsidiaries. However, in the “Prospectus Supplement Summary— 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57"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33"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All statements included or incorporated by reference in this prospectus supplement and the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0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26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226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S-10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Motors Company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441"/>
        <w:spacing w:after="0" w:line="299" w:lineRule="auto"/>
        <w:rPr>
          <w:sz w:val="20"/>
          <w:szCs w:val="20"/>
          <w:color w:val="auto"/>
        </w:rPr>
      </w:pPr>
      <w:r>
        <w:rPr>
          <w:rFonts w:ascii="Arial" w:cs="Arial" w:eastAsia="Arial" w:hAnsi="Arial"/>
          <w:sz w:val="16"/>
          <w:szCs w:val="16"/>
          <w:color w:val="auto"/>
        </w:rPr>
        <w:t>General Motors Company was incorporated as a Delaware corporation in 2009. We design, build and sell cars, trucks, crossovers and automobile parts worldwide. We also provide automotive financing services through General Motors Financial Company, Inc. (“GM Financial”).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w:t>
      </w:r>
    </w:p>
    <w:p>
      <w:pPr>
        <w:spacing w:after="0" w:line="97"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 International Operations and GM South America.</w:t>
      </w:r>
    </w:p>
    <w:p>
      <w:pPr>
        <w:spacing w:after="0" w:line="155" w:lineRule="exact"/>
        <w:rPr>
          <w:sz w:val="20"/>
          <w:szCs w:val="20"/>
          <w:color w:val="auto"/>
        </w:rPr>
      </w:pPr>
    </w:p>
    <w:p>
      <w:pPr>
        <w:ind w:left="200" w:right="160" w:firstLine="441"/>
        <w:spacing w:after="0" w:line="236" w:lineRule="auto"/>
        <w:rPr>
          <w:sz w:val="20"/>
          <w:szCs w:val="20"/>
          <w:color w:val="auto"/>
        </w:rPr>
      </w:pPr>
      <w:r>
        <w:rPr>
          <w:rFonts w:ascii="Arial" w:cs="Arial" w:eastAsia="Arial" w:hAnsi="Arial"/>
          <w:sz w:val="18"/>
          <w:szCs w:val="18"/>
          <w:color w:val="auto"/>
        </w:rPr>
        <w:t>GM primarily meets the demands of customers in North America with vehicles developed, manufactured and/or marketed under the Buick, Cadillac, Chevrolet and GMC brands. GM primarily meets the demands of customers outside North America with vehicles developed, manufactured and/or marketed under the Buick, Cadillac, Chevrolet, GMC and Holden brands. We also have equity ownership stakes in regional joint ventures, which meet the demands of customers in Asia with vehicles developed, manufactured and/or marketed under the Baojun, Buick, Cadillac, Chevrolet, Jiefang and Wuling brands.</w:t>
      </w:r>
    </w:p>
    <w:p>
      <w:pPr>
        <w:spacing w:after="0" w:line="157"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97"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GM Financial is our global captive automotive finance company and our global provider of automobile finance solutions. GM Financial conducts its business in North America and South America and through a joint venture in China.</w:t>
      </w:r>
    </w:p>
    <w:p>
      <w:pPr>
        <w:spacing w:after="0" w:line="155"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GM Financial provides retail loan and lease lending across the credit spectrum. Additionally GM Financial offers commercial products to dealers that include new and used vehicle inventory financing, inventory insurance, working capital, capital improvement loans, and storage center financing.</w:t>
      </w: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885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8854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w:t>
      </w:r>
    </w:p>
    <w:p>
      <w:pPr>
        <w:ind w:left="200" w:right="300" w:hanging="4"/>
        <w:spacing w:after="0" w:line="238" w:lineRule="auto"/>
        <w:tabs>
          <w:tab w:leader="none" w:pos="659" w:val="left"/>
        </w:tabs>
        <w:numPr>
          <w:ilvl w:val="0"/>
          <w:numId w:val="1"/>
        </w:numPr>
        <w:rPr>
          <w:rFonts w:ascii="Arial" w:cs="Arial" w:eastAsia="Arial" w:hAnsi="Arial"/>
          <w:sz w:val="18"/>
          <w:szCs w:val="18"/>
          <w:color w:val="auto"/>
        </w:rPr>
      </w:pPr>
      <w:r>
        <w:rPr>
          <w:rFonts w:ascii="Arial" w:cs="Arial" w:eastAsia="Arial" w:hAnsi="Arial"/>
          <w:sz w:val="18"/>
          <w:szCs w:val="18"/>
          <w:color w:val="auto"/>
        </w:rPr>
        <w:t>556-5000.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Fiscal Year 2016 Results</w:t>
      </w:r>
    </w:p>
    <w:p>
      <w:pPr>
        <w:spacing w:after="0" w:line="99"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On March 5, 2017, we entered into a Master Agreement (the “Agreement”) to sell our Opel and Vauxhall businesses and certain other assets in Europe (the “Opel/Vauxhall Business”) and our European financing subsidiaries and branches (the “Fincos,” and together with the Opel/Vauxhall Business, the “European Business”) to Peugeot, S.A. (“PSA Group”) for net consideration with an estimated value of approximately $2.2 billion based upon exchange rates as of June 30, 2017, subject to foreign currency fluctuations.</w:t>
      </w:r>
    </w:p>
    <w:p>
      <w:pPr>
        <w:spacing w:after="0" w:line="15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As disclosed in our Quarterly Report on Form 10-Q for the quarterly period ended June 30, 2017, during the three months ended June 30, 2017, the assets and liabilities of the European Business were presented as being held for sale and its operations and cash flows were presented as discontinued operations. The transfer of the Opel/Vauxhall Business closed on July 31, 2017 and the transfer of the Fincos is expected to close as soon as practicable after the receipt of the necessary antitrust, financial and other regulatory approvals and satisfaction of other closing conditions.</w:t>
      </w:r>
    </w:p>
    <w:p>
      <w:pPr>
        <w:spacing w:after="0" w:line="157"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Set forth below are our preliminary selected unaudited results of operations and Automotive cash flow, with the operations and cash flows of the European Business presented as discontinued operations for the year ended December 31, 2016.</w:t>
      </w: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20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tcBorders>
          </w:tcPr>
          <w:p>
            <w:pPr>
              <w:jc w:val="center"/>
              <w:ind w:left="2514"/>
              <w:spacing w:after="0"/>
              <w:rPr>
                <w:sz w:val="20"/>
                <w:szCs w:val="20"/>
                <w:color w:val="auto"/>
              </w:rPr>
            </w:pPr>
            <w:r>
              <w:rPr>
                <w:rFonts w:ascii="Arial" w:cs="Arial" w:eastAsia="Arial" w:hAnsi="Arial"/>
                <w:sz w:val="18"/>
                <w:szCs w:val="18"/>
                <w:b w:val="1"/>
                <w:bCs w:val="1"/>
                <w:color w:val="auto"/>
                <w:w w:val="97"/>
              </w:rPr>
              <w:t>Consolidated Income Statement</w:t>
            </w:r>
          </w:p>
        </w:tc>
        <w:tc>
          <w:tcPr>
            <w:tcW w:w="16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0" w:type="dxa"/>
            <w:vAlign w:val="bottom"/>
            <w:tcBorders>
              <w:left w:val="single" w:sz="8" w:color="auto"/>
            </w:tcBorders>
          </w:tcPr>
          <w:p>
            <w:pPr>
              <w:spacing w:after="0"/>
              <w:rPr>
                <w:sz w:val="15"/>
                <w:szCs w:val="15"/>
                <w:color w:val="auto"/>
              </w:rPr>
            </w:pPr>
          </w:p>
        </w:tc>
        <w:tc>
          <w:tcPr>
            <w:tcW w:w="8440" w:type="dxa"/>
            <w:vAlign w:val="bottom"/>
          </w:tcPr>
          <w:p>
            <w:pPr>
              <w:jc w:val="center"/>
              <w:ind w:left="2494"/>
              <w:spacing w:after="0"/>
              <w:rPr>
                <w:sz w:val="20"/>
                <w:szCs w:val="20"/>
                <w:color w:val="auto"/>
              </w:rPr>
            </w:pPr>
            <w:r>
              <w:rPr>
                <w:rFonts w:ascii="Arial" w:cs="Arial" w:eastAsia="Arial" w:hAnsi="Arial"/>
                <w:sz w:val="14"/>
                <w:szCs w:val="14"/>
                <w:b w:val="1"/>
                <w:bCs w:val="1"/>
                <w:color w:val="auto"/>
                <w:w w:val="96"/>
              </w:rPr>
              <w:t>(In millions) (Unaudited)</w:t>
            </w: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0" w:type="dxa"/>
            <w:vAlign w:val="bottom"/>
            <w:tcBorders>
              <w:left w:val="single" w:sz="8" w:color="auto"/>
            </w:tcBorders>
          </w:tcPr>
          <w:p>
            <w:pPr>
              <w:spacing w:after="0"/>
              <w:rPr>
                <w:sz w:val="24"/>
                <w:szCs w:val="24"/>
                <w:color w:val="auto"/>
              </w:rPr>
            </w:pPr>
          </w:p>
        </w:tc>
        <w:tc>
          <w:tcPr>
            <w:tcW w:w="8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Borders>
              <w:right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8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Borders>
              <w:right w:val="single" w:sz="8" w:color="auto"/>
            </w:tcBorders>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84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Borders>
              <w:left w:val="single" w:sz="8" w:color="auto"/>
            </w:tcBorders>
          </w:tcPr>
          <w:p>
            <w:pPr>
              <w:spacing w:after="0"/>
              <w:rPr>
                <w:sz w:val="15"/>
                <w:szCs w:val="15"/>
                <w:color w:val="auto"/>
              </w:rPr>
            </w:pPr>
          </w:p>
        </w:tc>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sales and revenue</w:t>
            </w:r>
          </w:p>
        </w:tc>
        <w:tc>
          <w:tcPr>
            <w:tcW w:w="16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tcPr>
          <w:p>
            <w:pPr>
              <w:ind w:left="420"/>
              <w:spacing w:after="0" w:line="202" w:lineRule="exact"/>
              <w:rPr>
                <w:sz w:val="20"/>
                <w:szCs w:val="20"/>
                <w:color w:val="auto"/>
              </w:rPr>
            </w:pPr>
            <w:r>
              <w:rPr>
                <w:rFonts w:ascii="Arial" w:cs="Arial" w:eastAsia="Arial" w:hAnsi="Arial"/>
                <w:sz w:val="18"/>
                <w:szCs w:val="18"/>
                <w:color w:val="auto"/>
              </w:rPr>
              <w:t>Automotive</w:t>
            </w:r>
          </w:p>
        </w:tc>
        <w:tc>
          <w:tcPr>
            <w:tcW w:w="1820" w:type="dxa"/>
            <w:vAlign w:val="bottom"/>
            <w:gridSpan w:val="2"/>
          </w:tcPr>
          <w:p>
            <w:pPr>
              <w:ind w:left="16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140,205</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GM Financial</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8,979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Total net sales and revenue</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149,184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Costs and expenses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tcPr>
          <w:p>
            <w:pPr>
              <w:ind w:left="420"/>
              <w:spacing w:after="0" w:line="202" w:lineRule="exact"/>
              <w:rPr>
                <w:sz w:val="20"/>
                <w:szCs w:val="20"/>
                <w:color w:val="auto"/>
              </w:rPr>
            </w:pPr>
            <w:r>
              <w:rPr>
                <w:rFonts w:ascii="Arial" w:cs="Arial" w:eastAsia="Arial" w:hAnsi="Arial"/>
                <w:sz w:val="18"/>
                <w:szCs w:val="18"/>
                <w:color w:val="auto"/>
              </w:rPr>
              <w:t>Automotive cost of sales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120,499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GM Financial interest, operating and other expenses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8,369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8440" w:type="dxa"/>
            <w:vAlign w:val="bottom"/>
          </w:tcPr>
          <w:p>
            <w:pPr>
              <w:ind w:left="420"/>
              <w:spacing w:after="0" w:line="202" w:lineRule="exact"/>
              <w:rPr>
                <w:sz w:val="20"/>
                <w:szCs w:val="20"/>
                <w:color w:val="auto"/>
              </w:rPr>
            </w:pPr>
            <w:r>
              <w:rPr>
                <w:rFonts w:ascii="Arial" w:cs="Arial" w:eastAsia="Arial" w:hAnsi="Arial"/>
                <w:sz w:val="18"/>
                <w:szCs w:val="18"/>
                <w:color w:val="auto"/>
              </w:rPr>
              <w:t>Automotive selling, general and administrative expense</w:t>
            </w:r>
          </w:p>
        </w:tc>
        <w:tc>
          <w:tcPr>
            <w:tcW w:w="1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10,354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costs and expenses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139,222</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auto"/>
            </w:tcBorders>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9,962</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expense</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563</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Interest income and other non-operating income, net</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income</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2,282</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12,008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2,739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9,269</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9,268</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9,427</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440" w:type="dxa"/>
            <w:vAlign w:val="bottom"/>
            <w:vMerge w:val="restart"/>
          </w:tcPr>
          <w:p>
            <w:pPr>
              <w:jc w:val="center"/>
              <w:ind w:left="2494"/>
              <w:spacing w:after="0"/>
              <w:rPr>
                <w:sz w:val="20"/>
                <w:szCs w:val="20"/>
                <w:color w:val="auto"/>
              </w:rPr>
            </w:pPr>
            <w:r>
              <w:rPr>
                <w:rFonts w:ascii="Arial" w:cs="Arial" w:eastAsia="Arial" w:hAnsi="Arial"/>
                <w:sz w:val="18"/>
                <w:szCs w:val="18"/>
                <w:b w:val="1"/>
                <w:bCs w:val="1"/>
                <w:color w:val="auto"/>
                <w:w w:val="97"/>
              </w:rPr>
              <w:t>Automotive Cash Flow</w:t>
            </w: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0" w:type="dxa"/>
            <w:vAlign w:val="bottom"/>
            <w:tcBorders>
              <w:left w:val="single" w:sz="8" w:color="auto"/>
            </w:tcBorders>
          </w:tcPr>
          <w:p>
            <w:pPr>
              <w:spacing w:after="0"/>
              <w:rPr>
                <w:sz w:val="24"/>
                <w:szCs w:val="24"/>
                <w:color w:val="auto"/>
              </w:rPr>
            </w:pPr>
          </w:p>
        </w:tc>
        <w:tc>
          <w:tcPr>
            <w:tcW w:w="84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0" w:type="dxa"/>
            <w:vAlign w:val="bottom"/>
            <w:tcBorders>
              <w:left w:val="single" w:sz="8" w:color="auto"/>
            </w:tcBorders>
          </w:tcPr>
          <w:p>
            <w:pPr>
              <w:spacing w:after="0"/>
              <w:rPr>
                <w:sz w:val="15"/>
                <w:szCs w:val="15"/>
                <w:color w:val="auto"/>
              </w:rPr>
            </w:pPr>
          </w:p>
        </w:tc>
        <w:tc>
          <w:tcPr>
            <w:tcW w:w="8440" w:type="dxa"/>
            <w:vAlign w:val="bottom"/>
          </w:tcPr>
          <w:p>
            <w:pPr>
              <w:jc w:val="center"/>
              <w:ind w:left="2494"/>
              <w:spacing w:after="0"/>
              <w:rPr>
                <w:sz w:val="20"/>
                <w:szCs w:val="20"/>
                <w:color w:val="auto"/>
              </w:rPr>
            </w:pPr>
            <w:r>
              <w:rPr>
                <w:rFonts w:ascii="Arial" w:cs="Arial" w:eastAsia="Arial" w:hAnsi="Arial"/>
                <w:sz w:val="14"/>
                <w:szCs w:val="14"/>
                <w:b w:val="1"/>
                <w:bCs w:val="1"/>
                <w:color w:val="auto"/>
                <w:w w:val="95"/>
              </w:rPr>
              <w:t>(In millions)(Unaudited)</w:t>
            </w: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200" w:type="dxa"/>
            <w:vAlign w:val="bottom"/>
            <w:tcBorders>
              <w:left w:val="single" w:sz="8" w:color="auto"/>
            </w:tcBorders>
          </w:tcPr>
          <w:p>
            <w:pPr>
              <w:spacing w:after="0"/>
              <w:rPr>
                <w:sz w:val="24"/>
                <w:szCs w:val="24"/>
                <w:color w:val="auto"/>
              </w:rPr>
            </w:pPr>
          </w:p>
        </w:tc>
        <w:tc>
          <w:tcPr>
            <w:tcW w:w="8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8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0" w:type="dxa"/>
            <w:vAlign w:val="bottom"/>
            <w:tcBorders>
              <w:left w:val="single" w:sz="8" w:color="auto"/>
            </w:tcBorders>
          </w:tcPr>
          <w:p>
            <w:pPr>
              <w:spacing w:after="0"/>
              <w:rPr>
                <w:sz w:val="14"/>
                <w:szCs w:val="14"/>
                <w:color w:val="auto"/>
              </w:rPr>
            </w:pPr>
          </w:p>
        </w:tc>
        <w:tc>
          <w:tcPr>
            <w:tcW w:w="844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 w:type="dxa"/>
            <w:vAlign w:val="bottom"/>
            <w:tcBorders>
              <w:left w:val="single" w:sz="8" w:color="auto"/>
            </w:tcBorders>
          </w:tcPr>
          <w:p>
            <w:pPr>
              <w:spacing w:after="0"/>
              <w:rPr>
                <w:sz w:val="15"/>
                <w:szCs w:val="15"/>
                <w:color w:val="auto"/>
              </w:rPr>
            </w:pPr>
          </w:p>
        </w:tc>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Activities</w:t>
            </w:r>
          </w:p>
        </w:tc>
        <w:tc>
          <w:tcPr>
            <w:tcW w:w="16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640" w:type="dxa"/>
            <w:vAlign w:val="bottom"/>
            <w:tcBorders>
              <w:left w:val="single" w:sz="8" w:color="auto"/>
            </w:tcBorders>
            <w:gridSpan w:val="2"/>
          </w:tcPr>
          <w:p>
            <w:pPr>
              <w:ind w:left="200"/>
              <w:spacing w:after="0"/>
              <w:rPr>
                <w:sz w:val="20"/>
                <w:szCs w:val="20"/>
                <w:color w:val="auto"/>
              </w:rPr>
            </w:pPr>
            <w:r>
              <w:rPr>
                <w:rFonts w:ascii="Arial" w:cs="Arial" w:eastAsia="Arial" w:hAnsi="Arial"/>
                <w:sz w:val="18"/>
                <w:szCs w:val="18"/>
                <w:color w:val="auto"/>
              </w:rPr>
              <w:t>Income from continuing operations</w:t>
            </w:r>
          </w:p>
        </w:tc>
        <w:tc>
          <w:tcPr>
            <w:tcW w:w="182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amortization and impairment charges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5,140</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Pension and OPEB activities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(4,222)</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2,172</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Equipment on operating leases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and other liabilities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Income taxes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2,103</w:t>
            </w: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Undistributed earnings of nonconsolidated affiliates, net</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 – continuing operations</w:t>
            </w:r>
          </w:p>
        </w:tc>
        <w:tc>
          <w:tcPr>
            <w:tcW w:w="1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14,494</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Borders>
              <w:left w:val="single" w:sz="8" w:color="auto"/>
            </w:tcBorders>
            <w:gridSpan w:val="2"/>
          </w:tcPr>
          <w:p>
            <w:pPr>
              <w:ind w:left="200"/>
              <w:spacing w:after="0" w:line="202" w:lineRule="exact"/>
              <w:rPr>
                <w:sz w:val="20"/>
                <w:szCs w:val="20"/>
                <w:color w:val="auto"/>
              </w:rPr>
            </w:pPr>
            <w:r>
              <w:rPr>
                <w:rFonts w:ascii="Arial" w:cs="Arial" w:eastAsia="Arial" w:hAnsi="Arial"/>
                <w:sz w:val="18"/>
                <w:szCs w:val="18"/>
                <w:color w:val="auto"/>
              </w:rPr>
              <w:t>Net cash provided by operating activities – discontinued operations</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vMerge w:val="restart"/>
          </w:tcPr>
          <w:p>
            <w:pPr>
              <w:spacing w:after="0"/>
              <w:rPr>
                <w:sz w:val="2"/>
                <w:szCs w:val="2"/>
                <w:color w:val="auto"/>
              </w:rPr>
            </w:pPr>
          </w:p>
        </w:tc>
        <w:tc>
          <w:tcPr>
            <w:tcW w:w="844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Borders>
              <w:left w:val="single" w:sz="8" w:color="auto"/>
            </w:tcBorders>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automotive cash provided by operating activities</w:t>
            </w:r>
          </w:p>
        </w:tc>
        <w:tc>
          <w:tcPr>
            <w:tcW w:w="1820" w:type="dxa"/>
            <w:vAlign w:val="bottom"/>
            <w:gridSpan w:val="2"/>
            <w:shd w:val="clear" w:color="auto" w:fill="CCEEFF"/>
          </w:tcPr>
          <w:p>
            <w:pPr>
              <w:ind w:left="16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14,383</w:t>
            </w: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8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8440" w:type="dxa"/>
            <w:vAlign w:val="bottom"/>
          </w:tcPr>
          <w:p>
            <w:pPr>
              <w:jc w:val="center"/>
              <w:ind w:left="2514"/>
              <w:spacing w:after="0"/>
              <w:rPr>
                <w:sz w:val="20"/>
                <w:szCs w:val="20"/>
                <w:color w:val="auto"/>
              </w:rPr>
            </w:pPr>
            <w:r>
              <w:rPr>
                <w:rFonts w:ascii="Arial" w:cs="Arial" w:eastAsia="Arial" w:hAnsi="Arial"/>
                <w:sz w:val="18"/>
                <w:szCs w:val="18"/>
                <w:color w:val="auto"/>
                <w:w w:val="99"/>
              </w:rPr>
              <w:t>S-3</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86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5867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80" w:firstLine="441"/>
        <w:spacing w:after="0" w:line="236" w:lineRule="auto"/>
        <w:rPr>
          <w:sz w:val="20"/>
          <w:szCs w:val="20"/>
          <w:color w:val="auto"/>
        </w:rPr>
      </w:pPr>
      <w:r>
        <w:rPr>
          <w:rFonts w:ascii="Arial" w:cs="Arial" w:eastAsia="Arial" w:hAnsi="Arial"/>
          <w:sz w:val="18"/>
          <w:szCs w:val="18"/>
          <w:color w:val="auto"/>
        </w:rPr>
        <w:t>These results are preliminary and may change. Because we have not completed our normal period closing and review procedures for these preliminary results that may require adjustments to our results, there can be no assurance that our final results for the period presented with the assets and liabilities of the European Business presented as being held for sale and its operations and cash flows presented as discontinued operations, which will be included in our Annual Report on Form 10-K for the year ended December 31, 2017, will not differ materially from these preliminary results. These preliminary results should not be viewed as a substitute for full annual financial statements prepared in accordance with U.S. GAAP or as a measure of our performance. In addition, these preliminary results of operations are not necessarily indicative of the results to be achieved for any future period.</w:t>
      </w:r>
    </w:p>
    <w:p>
      <w:pPr>
        <w:spacing w:after="0" w:line="155" w:lineRule="exact"/>
        <w:rPr>
          <w:sz w:val="20"/>
          <w:szCs w:val="20"/>
          <w:color w:val="auto"/>
        </w:rPr>
      </w:pPr>
    </w:p>
    <w:p>
      <w:pPr>
        <w:ind w:left="200" w:right="920" w:firstLine="441"/>
        <w:spacing w:after="0" w:line="239" w:lineRule="auto"/>
        <w:rPr>
          <w:sz w:val="20"/>
          <w:szCs w:val="20"/>
          <w:color w:val="auto"/>
        </w:rPr>
      </w:pPr>
      <w:r>
        <w:rPr>
          <w:rFonts w:ascii="Arial" w:cs="Arial" w:eastAsia="Arial" w:hAnsi="Arial"/>
          <w:sz w:val="18"/>
          <w:szCs w:val="18"/>
          <w:color w:val="auto"/>
        </w:rPr>
        <w:t>The following table reconciles Net income attributable to common stockholders under U.S. GAAP to EBIT-adjusted—continuing operations (a non-GAAP financial measure) (dollars in millions):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7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5"/>
        </w:trPr>
        <w:tc>
          <w:tcPr>
            <w:tcW w:w="712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196"/>
        </w:trPr>
        <w:tc>
          <w:tcPr>
            <w:tcW w:w="7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common stockholders</w:t>
            </w:r>
          </w:p>
        </w:tc>
        <w:tc>
          <w:tcPr>
            <w:tcW w:w="3100" w:type="dxa"/>
            <w:vAlign w:val="bottom"/>
            <w:gridSpan w:val="2"/>
            <w:shd w:val="clear" w:color="auto" w:fill="CCEEFF"/>
          </w:tcPr>
          <w:p>
            <w:pPr>
              <w:ind w:left="29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9,427</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 net of tax(a)</w:t>
            </w: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2,739</w:t>
            </w:r>
          </w:p>
        </w:tc>
        <w:tc>
          <w:tcPr>
            <w:tcW w:w="120" w:type="dxa"/>
            <w:vAlign w:val="bottom"/>
            <w:shd w:val="clear" w:color="auto" w:fill="CCEEFF"/>
          </w:tcPr>
          <w:p>
            <w:pPr>
              <w:spacing w:after="0"/>
              <w:rPr>
                <w:sz w:val="17"/>
                <w:szCs w:val="17"/>
                <w:color w:val="auto"/>
              </w:rPr>
            </w:pP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Automotive interest expense</w:t>
            </w: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563</w:t>
            </w: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income</w:t>
            </w:r>
          </w:p>
        </w:tc>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Ignition switch recall and related legal matters(b)</w:t>
            </w:r>
          </w:p>
        </w:tc>
        <w:tc>
          <w:tcPr>
            <w:tcW w:w="29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7"/>
                <w:szCs w:val="17"/>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8"/>
                <w:szCs w:val="18"/>
                <w:color w:val="auto"/>
              </w:rPr>
              <w:t>Total adjustments</w:t>
            </w:r>
          </w:p>
        </w:tc>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03"/>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EBIT-adjusted—continuing operations</w:t>
            </w:r>
          </w:p>
        </w:tc>
        <w:tc>
          <w:tcPr>
            <w:tcW w:w="3100" w:type="dxa"/>
            <w:vAlign w:val="bottom"/>
            <w:gridSpan w:val="2"/>
            <w:shd w:val="clear" w:color="auto" w:fill="CCEEFF"/>
          </w:tcPr>
          <w:p>
            <w:pPr>
              <w:ind w:left="29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12,848</w:t>
            </w:r>
          </w:p>
        </w:tc>
        <w:tc>
          <w:tcPr>
            <w:tcW w:w="120" w:type="dxa"/>
            <w:vAlign w:val="bottom"/>
            <w:shd w:val="clear" w:color="auto" w:fill="CCEEFF"/>
          </w:tcPr>
          <w:p>
            <w:pPr>
              <w:spacing w:after="0"/>
              <w:rPr>
                <w:sz w:val="17"/>
                <w:szCs w:val="17"/>
                <w:color w:val="auto"/>
              </w:rPr>
            </w:pPr>
          </w:p>
        </w:tc>
      </w:tr>
      <w:tr>
        <w:trPr>
          <w:trHeight w:val="20"/>
        </w:trPr>
        <w:tc>
          <w:tcPr>
            <w:tcW w:w="7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620" w:right="200" w:hanging="424"/>
        <w:spacing w:after="0" w:line="23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from discontinued operations, net of tax is comprised of loss before income taxes of $324 million and an income tax benefit of $323 million.</w:t>
      </w:r>
    </w:p>
    <w:p>
      <w:pPr>
        <w:spacing w:after="0" w:line="1" w:lineRule="exact"/>
        <w:rPr>
          <w:rFonts w:ascii="Arial" w:cs="Arial" w:eastAsia="Arial" w:hAnsi="Arial"/>
          <w:sz w:val="18"/>
          <w:szCs w:val="18"/>
          <w:color w:val="auto"/>
        </w:rPr>
      </w:pPr>
    </w:p>
    <w:p>
      <w:pPr>
        <w:ind w:left="620" w:right="480" w:hanging="424"/>
        <w:spacing w:after="0" w:line="238"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spacing w:after="0" w:line="154" w:lineRule="exact"/>
        <w:rPr>
          <w:sz w:val="20"/>
          <w:szCs w:val="20"/>
          <w:color w:val="auto"/>
        </w:rPr>
      </w:pPr>
    </w:p>
    <w:p>
      <w:pPr>
        <w:ind w:left="200" w:right="300" w:firstLine="441"/>
        <w:spacing w:after="0" w:line="239" w:lineRule="auto"/>
        <w:rPr>
          <w:sz w:val="20"/>
          <w:szCs w:val="20"/>
          <w:color w:val="auto"/>
        </w:rPr>
      </w:pPr>
      <w:r>
        <w:rPr>
          <w:rFonts w:ascii="Arial" w:cs="Arial" w:eastAsia="Arial" w:hAnsi="Arial"/>
          <w:sz w:val="18"/>
          <w:szCs w:val="18"/>
          <w:color w:val="auto"/>
        </w:rPr>
        <w:t>The following table reconciles Net automotive cash provided by operating activities— continuing operations to Adjusted automotive free cash flow (a non-GAAP financial measure)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5"/>
        </w:trPr>
        <w:tc>
          <w:tcPr>
            <w:tcW w:w="20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20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automotive cash provided by operating activities—continuing operations</w:t>
            </w:r>
          </w:p>
        </w:tc>
        <w:tc>
          <w:tcPr>
            <w:tcW w:w="2160" w:type="dxa"/>
            <w:vAlign w:val="bottom"/>
            <w:gridSpan w:val="2"/>
            <w:shd w:val="clear" w:color="auto" w:fill="CCEEFF"/>
          </w:tcPr>
          <w:p>
            <w:pPr>
              <w:ind w:left="198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14,494</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2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Less: capital expenditures</w:t>
            </w: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(8,291)</w:t>
            </w:r>
          </w:p>
        </w:tc>
        <w:tc>
          <w:tcPr>
            <w:tcW w:w="1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 – discretionary pension plan contributions</w:t>
            </w:r>
          </w:p>
        </w:tc>
        <w:tc>
          <w:tcPr>
            <w:tcW w:w="19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8260" w:type="dxa"/>
            <w:vAlign w:val="bottom"/>
            <w:gridSpan w:val="2"/>
          </w:tcPr>
          <w:p>
            <w:pPr>
              <w:ind w:left="200"/>
              <w:spacing w:after="0"/>
              <w:rPr>
                <w:sz w:val="20"/>
                <w:szCs w:val="20"/>
                <w:color w:val="auto"/>
              </w:rPr>
            </w:pPr>
            <w:r>
              <w:rPr>
                <w:rFonts w:ascii="Arial" w:cs="Arial" w:eastAsia="Arial" w:hAnsi="Arial"/>
                <w:sz w:val="18"/>
                <w:szCs w:val="18"/>
                <w:color w:val="auto"/>
              </w:rPr>
              <w:t>Adjusted automotive free cash flow – continuing operations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automotive cash provided by operating activities – discontinued operations</w:t>
            </w:r>
          </w:p>
        </w:tc>
        <w:tc>
          <w:tcPr>
            <w:tcW w:w="1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180" w:type="dxa"/>
            <w:vAlign w:val="bottom"/>
          </w:tcPr>
          <w:p>
            <w:pPr>
              <w:spacing w:after="0"/>
              <w:rPr>
                <w:sz w:val="17"/>
                <w:szCs w:val="17"/>
                <w:color w:val="auto"/>
              </w:rPr>
            </w:pPr>
          </w:p>
        </w:tc>
      </w:tr>
      <w:tr>
        <w:trPr>
          <w:trHeight w:val="203"/>
        </w:trPr>
        <w:tc>
          <w:tcPr>
            <w:tcW w:w="82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Less: capital expenditures – discontinued operations</w:t>
            </w: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(1,143)</w:t>
            </w:r>
          </w:p>
        </w:tc>
        <w:tc>
          <w:tcPr>
            <w:tcW w:w="18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automotive free cash flow</w:t>
            </w:r>
          </w:p>
        </w:tc>
        <w:tc>
          <w:tcPr>
            <w:tcW w:w="216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6,931</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80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8060" w:type="dxa"/>
            <w:vAlign w:val="bottom"/>
          </w:tcPr>
          <w:p>
            <w:pPr>
              <w:ind w:left="5380"/>
              <w:spacing w:after="0"/>
              <w:rPr>
                <w:sz w:val="20"/>
                <w:szCs w:val="20"/>
                <w:color w:val="auto"/>
              </w:rPr>
            </w:pPr>
            <w:r>
              <w:rPr>
                <w:rFonts w:ascii="Arial" w:cs="Arial" w:eastAsia="Arial" w:hAnsi="Arial"/>
                <w:sz w:val="18"/>
                <w:szCs w:val="18"/>
                <w:color w:val="auto"/>
              </w:rPr>
              <w:t>S-4</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753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75387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firstLine="441"/>
        <w:spacing w:after="0" w:line="269" w:lineRule="auto"/>
        <w:rPr>
          <w:sz w:val="20"/>
          <w:szCs w:val="20"/>
          <w:color w:val="auto"/>
        </w:rPr>
      </w:pPr>
      <w:r>
        <w:rPr>
          <w:rFonts w:ascii="Arial" w:cs="Arial" w:eastAsia="Arial" w:hAnsi="Arial"/>
          <w:sz w:val="16"/>
          <w:szCs w:val="16"/>
          <w:color w:val="auto"/>
        </w:rPr>
        <w:t>As a result of the foregoing considerations and the other limitations of non-GAAP measures described in documents incorporated by reference into this prospectus supplement, investors are cautioned not to place undue reliance on this preliminary financial information. There are material limitations inherent in preliminary results completed prior to the completion of our normal review procedures for such periods. Refer to the sections of this prospectus supplement entitled “Forward-Looking Statements.” Also refer to the “Management’s Discussion and Analysis of Financial Condition and Results of Operations” section, along with our audited consolidated financial statements and our unaudited condensed consolidated interim financial statements that are contained in our Annual Report on Form 10-K for the year ended December 31, 2016 and our Quarterly Reports on Form 10-Q for the quarterly periods ended March 31, 2017 and June 30, 2017, each of which is incorporated by reference herein, for more information regarding the Agreement and our non-GAAP financial measures.</w:t>
      </w:r>
    </w:p>
    <w:p>
      <w:pPr>
        <w:spacing w:after="0" w:line="13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With respect to the preliminary financial information for the year ended December 31, 2016, our independent registered public accounting firm has only performed certain limited procedures with respect to the preliminary financial information contained herein, and does not express any opinion on such information.</w:t>
      </w: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184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184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200" w:right="20" w:firstLine="441"/>
        <w:spacing w:after="0" w:line="243" w:lineRule="auto"/>
        <w:rPr>
          <w:sz w:val="20"/>
          <w:szCs w:val="20"/>
          <w:color w:val="auto"/>
        </w:rPr>
      </w:pPr>
      <w:r>
        <w:rPr>
          <w:rFonts w:ascii="Arial" w:cs="Arial" w:eastAsia="Arial" w:hAnsi="Arial"/>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2840" w:type="dxa"/>
            <w:vAlign w:val="bottom"/>
          </w:tcPr>
          <w:p>
            <w:pPr>
              <w:spacing w:after="0"/>
              <w:rPr>
                <w:sz w:val="20"/>
                <w:szCs w:val="20"/>
                <w:color w:val="auto"/>
              </w:rPr>
            </w:pPr>
            <w:r>
              <w:rPr>
                <w:rFonts w:ascii="Arial" w:cs="Arial" w:eastAsia="Arial" w:hAnsi="Arial"/>
                <w:sz w:val="18"/>
                <w:szCs w:val="18"/>
                <w:color w:val="auto"/>
              </w:rPr>
              <w:t>Issuer</w:t>
            </w:r>
          </w:p>
        </w:tc>
        <w:tc>
          <w:tcPr>
            <w:tcW w:w="3560" w:type="dxa"/>
            <w:vAlign w:val="bottom"/>
            <w:gridSpan w:val="3"/>
          </w:tcPr>
          <w:p>
            <w:pPr>
              <w:ind w:left="1340"/>
              <w:spacing w:after="0"/>
              <w:rPr>
                <w:sz w:val="20"/>
                <w:szCs w:val="20"/>
                <w:color w:val="auto"/>
              </w:rPr>
            </w:pPr>
            <w:r>
              <w:rPr>
                <w:rFonts w:ascii="Arial" w:cs="Arial" w:eastAsia="Arial" w:hAnsi="Arial"/>
                <w:sz w:val="18"/>
                <w:szCs w:val="18"/>
                <w:color w:val="auto"/>
              </w:rPr>
              <w:t>General Motors Company</w:t>
            </w: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19"/>
        </w:trPr>
        <w:tc>
          <w:tcPr>
            <w:tcW w:w="2840" w:type="dxa"/>
            <w:vAlign w:val="bottom"/>
          </w:tcPr>
          <w:p>
            <w:pPr>
              <w:spacing w:after="0"/>
              <w:rPr>
                <w:sz w:val="20"/>
                <w:szCs w:val="20"/>
                <w:color w:val="auto"/>
              </w:rPr>
            </w:pPr>
            <w:r>
              <w:rPr>
                <w:rFonts w:ascii="Arial" w:cs="Arial" w:eastAsia="Arial" w:hAnsi="Arial"/>
                <w:sz w:val="18"/>
                <w:szCs w:val="18"/>
                <w:color w:val="auto"/>
              </w:rPr>
              <w:t>Notes Offered</w:t>
            </w:r>
          </w:p>
        </w:tc>
        <w:tc>
          <w:tcPr>
            <w:tcW w:w="1800" w:type="dxa"/>
            <w:vAlign w:val="bottom"/>
          </w:tcPr>
          <w:p>
            <w:pPr>
              <w:ind w:left="1340"/>
              <w:spacing w:after="0"/>
              <w:rPr>
                <w:sz w:val="20"/>
                <w:szCs w:val="20"/>
                <w:color w:val="auto"/>
              </w:rPr>
            </w:pPr>
            <w:r>
              <w:rPr>
                <w:rFonts w:ascii="Arial" w:cs="Arial" w:eastAsia="Arial" w:hAnsi="Arial"/>
                <w:sz w:val="18"/>
                <w:szCs w:val="18"/>
                <w:color w:val="auto"/>
              </w:rPr>
              <w:t>$</w:t>
            </w:r>
          </w:p>
        </w:tc>
        <w:tc>
          <w:tcPr>
            <w:tcW w:w="5940" w:type="dxa"/>
            <w:vAlign w:val="bottom"/>
            <w:gridSpan w:val="6"/>
          </w:tcPr>
          <w:p>
            <w:pPr>
              <w:ind w:left="480"/>
              <w:spacing w:after="0"/>
              <w:rPr>
                <w:sz w:val="20"/>
                <w:szCs w:val="20"/>
                <w:color w:val="auto"/>
              </w:rPr>
            </w:pPr>
            <w:r>
              <w:rPr>
                <w:rFonts w:ascii="Arial" w:cs="Arial" w:eastAsia="Arial" w:hAnsi="Arial"/>
                <w:sz w:val="18"/>
                <w:szCs w:val="18"/>
                <w:color w:val="auto"/>
              </w:rPr>
              <w:t>in aggregate principal amount of Floating Rate Senior Notes due 20</w:t>
            </w:r>
          </w:p>
        </w:tc>
        <w:tc>
          <w:tcPr>
            <w:tcW w:w="44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419"/>
        </w:trPr>
        <w:tc>
          <w:tcPr>
            <w:tcW w:w="2840" w:type="dxa"/>
            <w:vAlign w:val="bottom"/>
          </w:tcPr>
          <w:p>
            <w:pPr>
              <w:spacing w:after="0"/>
              <w:rPr>
                <w:sz w:val="24"/>
                <w:szCs w:val="24"/>
                <w:color w:val="auto"/>
              </w:rPr>
            </w:pPr>
          </w:p>
        </w:tc>
        <w:tc>
          <w:tcPr>
            <w:tcW w:w="180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280"/>
              <w:spacing w:after="0"/>
              <w:rPr>
                <w:sz w:val="20"/>
                <w:szCs w:val="20"/>
                <w:color w:val="auto"/>
              </w:rPr>
            </w:pPr>
            <w:r>
              <w:rPr>
                <w:rFonts w:ascii="Arial" w:cs="Arial" w:eastAsia="Arial" w:hAnsi="Arial"/>
                <w:sz w:val="18"/>
                <w:szCs w:val="18"/>
                <w:color w:val="auto"/>
              </w:rPr>
              <w:t>in aggregate principal amount of</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 Senior Notes due 20</w:t>
            </w:r>
          </w:p>
        </w:tc>
        <w:tc>
          <w:tcPr>
            <w:tcW w:w="98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r>
      <w:tr>
        <w:trPr>
          <w:trHeight w:val="405"/>
        </w:trPr>
        <w:tc>
          <w:tcPr>
            <w:tcW w:w="2840" w:type="dxa"/>
            <w:vAlign w:val="bottom"/>
          </w:tcPr>
          <w:p>
            <w:pPr>
              <w:spacing w:after="0"/>
              <w:rPr>
                <w:sz w:val="24"/>
                <w:szCs w:val="24"/>
                <w:color w:val="auto"/>
              </w:rPr>
            </w:pPr>
          </w:p>
        </w:tc>
        <w:tc>
          <w:tcPr>
            <w:tcW w:w="180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280"/>
              <w:spacing w:after="0"/>
              <w:rPr>
                <w:sz w:val="20"/>
                <w:szCs w:val="20"/>
                <w:color w:val="auto"/>
              </w:rPr>
            </w:pPr>
            <w:r>
              <w:rPr>
                <w:rFonts w:ascii="Arial" w:cs="Arial" w:eastAsia="Arial" w:hAnsi="Arial"/>
                <w:sz w:val="18"/>
                <w:szCs w:val="18"/>
                <w:color w:val="auto"/>
              </w:rPr>
              <w:t>in aggregate principal amount of</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 Senior Notes due 20</w:t>
            </w:r>
          </w:p>
        </w:tc>
        <w:tc>
          <w:tcPr>
            <w:tcW w:w="980" w:type="dxa"/>
            <w:vAlign w:val="bottom"/>
          </w:tcPr>
          <w:p>
            <w:pPr>
              <w:ind w:left="120"/>
              <w:spacing w:after="0"/>
              <w:rPr>
                <w:sz w:val="20"/>
                <w:szCs w:val="20"/>
                <w:color w:val="auto"/>
              </w:rPr>
            </w:pPr>
            <w:r>
              <w:rPr>
                <w:rFonts w:ascii="Arial" w:cs="Arial" w:eastAsia="Arial" w:hAnsi="Arial"/>
                <w:sz w:val="18"/>
                <w:szCs w:val="18"/>
                <w:color w:val="auto"/>
              </w:rPr>
              <w:t>, and</w:t>
            </w:r>
          </w:p>
        </w:tc>
        <w:tc>
          <w:tcPr>
            <w:tcW w:w="440" w:type="dxa"/>
            <w:vAlign w:val="bottom"/>
          </w:tcPr>
          <w:p>
            <w:pPr>
              <w:spacing w:after="0"/>
              <w:rPr>
                <w:sz w:val="24"/>
                <w:szCs w:val="24"/>
                <w:color w:val="auto"/>
              </w:rPr>
            </w:pPr>
          </w:p>
        </w:tc>
      </w:tr>
      <w:tr>
        <w:trPr>
          <w:trHeight w:val="405"/>
        </w:trPr>
        <w:tc>
          <w:tcPr>
            <w:tcW w:w="2840" w:type="dxa"/>
            <w:vAlign w:val="bottom"/>
          </w:tcPr>
          <w:p>
            <w:pPr>
              <w:spacing w:after="0"/>
              <w:rPr>
                <w:sz w:val="24"/>
                <w:szCs w:val="24"/>
                <w:color w:val="auto"/>
              </w:rPr>
            </w:pPr>
          </w:p>
        </w:tc>
        <w:tc>
          <w:tcPr>
            <w:tcW w:w="180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280"/>
              <w:spacing w:after="0"/>
              <w:rPr>
                <w:sz w:val="20"/>
                <w:szCs w:val="20"/>
                <w:color w:val="auto"/>
              </w:rPr>
            </w:pPr>
            <w:r>
              <w:rPr>
                <w:rFonts w:ascii="Arial" w:cs="Arial" w:eastAsia="Arial" w:hAnsi="Arial"/>
                <w:sz w:val="18"/>
                <w:szCs w:val="18"/>
                <w:color w:val="auto"/>
              </w:rPr>
              <w:t>in aggregate principal amount of</w:t>
            </w: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 Senior Notes due 20   .</w:t>
            </w:r>
          </w:p>
        </w:tc>
        <w:tc>
          <w:tcPr>
            <w:tcW w:w="440" w:type="dxa"/>
            <w:vAlign w:val="bottom"/>
          </w:tcPr>
          <w:p>
            <w:pPr>
              <w:spacing w:after="0"/>
              <w:rPr>
                <w:sz w:val="24"/>
                <w:szCs w:val="24"/>
                <w:color w:val="auto"/>
              </w:rPr>
            </w:pPr>
          </w:p>
        </w:tc>
      </w:tr>
      <w:tr>
        <w:trPr>
          <w:trHeight w:val="405"/>
        </w:trPr>
        <w:tc>
          <w:tcPr>
            <w:tcW w:w="2840" w:type="dxa"/>
            <w:vAlign w:val="bottom"/>
          </w:tcPr>
          <w:p>
            <w:pPr>
              <w:spacing w:after="0"/>
              <w:rPr>
                <w:sz w:val="20"/>
                <w:szCs w:val="20"/>
                <w:color w:val="auto"/>
              </w:rPr>
            </w:pPr>
            <w:r>
              <w:rPr>
                <w:rFonts w:ascii="Arial" w:cs="Arial" w:eastAsia="Arial" w:hAnsi="Arial"/>
                <w:sz w:val="18"/>
                <w:szCs w:val="18"/>
                <w:color w:val="auto"/>
              </w:rPr>
              <w:t>Original Issue Date</w:t>
            </w:r>
          </w:p>
        </w:tc>
        <w:tc>
          <w:tcPr>
            <w:tcW w:w="180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 2017.</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0"/>
        </w:trPr>
        <w:tc>
          <w:tcPr>
            <w:tcW w:w="2840" w:type="dxa"/>
            <w:vAlign w:val="bottom"/>
          </w:tcPr>
          <w:p>
            <w:pPr>
              <w:spacing w:after="0"/>
              <w:rPr>
                <w:sz w:val="20"/>
                <w:szCs w:val="20"/>
                <w:color w:val="auto"/>
              </w:rPr>
            </w:pPr>
            <w:r>
              <w:rPr>
                <w:rFonts w:ascii="Arial" w:cs="Arial" w:eastAsia="Arial" w:hAnsi="Arial"/>
                <w:sz w:val="18"/>
                <w:szCs w:val="18"/>
                <w:color w:val="auto"/>
              </w:rPr>
              <w:t>Maturity Dates</w:t>
            </w:r>
          </w:p>
        </w:tc>
        <w:tc>
          <w:tcPr>
            <w:tcW w:w="4700" w:type="dxa"/>
            <w:vAlign w:val="bottom"/>
            <w:gridSpan w:val="4"/>
          </w:tcPr>
          <w:p>
            <w:pPr>
              <w:ind w:left="1340"/>
              <w:spacing w:after="0"/>
              <w:rPr>
                <w:sz w:val="20"/>
                <w:szCs w:val="20"/>
                <w:color w:val="auto"/>
              </w:rPr>
            </w:pPr>
            <w:r>
              <w:rPr>
                <w:rFonts w:ascii="Arial" w:cs="Arial" w:eastAsia="Arial" w:hAnsi="Arial"/>
                <w:sz w:val="18"/>
                <w:szCs w:val="18"/>
                <w:color w:val="auto"/>
              </w:rPr>
              <w:t>The Floating Rate Notes will mature on</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 20</w:t>
            </w:r>
          </w:p>
        </w:tc>
        <w:tc>
          <w:tcPr>
            <w:tcW w:w="2260" w:type="dxa"/>
            <w:vAlign w:val="bottom"/>
            <w:gridSpan w:val="3"/>
          </w:tcPr>
          <w:p>
            <w:pPr>
              <w:ind w:left="20"/>
              <w:spacing w:after="0"/>
              <w:rPr>
                <w:sz w:val="20"/>
                <w:szCs w:val="20"/>
                <w:color w:val="auto"/>
              </w:rPr>
            </w:pPr>
            <w:r>
              <w:rPr>
                <w:rFonts w:ascii="Arial" w:cs="Arial" w:eastAsia="Arial" w:hAnsi="Arial"/>
                <w:sz w:val="18"/>
                <w:szCs w:val="18"/>
                <w:color w:val="auto"/>
              </w:rPr>
              <w:t>, the 20   Notes will mature</w:t>
            </w:r>
          </w:p>
        </w:tc>
      </w:tr>
      <w:tr>
        <w:trPr>
          <w:trHeight w:val="203"/>
        </w:trPr>
        <w:tc>
          <w:tcPr>
            <w:tcW w:w="2840" w:type="dxa"/>
            <w:vAlign w:val="bottom"/>
          </w:tcPr>
          <w:p>
            <w:pPr>
              <w:spacing w:after="0"/>
              <w:rPr>
                <w:sz w:val="17"/>
                <w:szCs w:val="17"/>
                <w:color w:val="auto"/>
              </w:rPr>
            </w:pPr>
          </w:p>
        </w:tc>
        <w:tc>
          <w:tcPr>
            <w:tcW w:w="1800" w:type="dxa"/>
            <w:vAlign w:val="bottom"/>
          </w:tcPr>
          <w:p>
            <w:pPr>
              <w:ind w:left="1340"/>
              <w:spacing w:after="0" w:line="202" w:lineRule="exact"/>
              <w:rPr>
                <w:sz w:val="20"/>
                <w:szCs w:val="20"/>
                <w:color w:val="auto"/>
              </w:rPr>
            </w:pPr>
            <w:r>
              <w:rPr>
                <w:rFonts w:ascii="Arial" w:cs="Arial" w:eastAsia="Arial" w:hAnsi="Arial"/>
                <w:sz w:val="18"/>
                <w:szCs w:val="18"/>
                <w:color w:val="auto"/>
              </w:rPr>
              <w:t>on</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 20</w:t>
            </w:r>
          </w:p>
        </w:tc>
        <w:tc>
          <w:tcPr>
            <w:tcW w:w="780" w:type="dxa"/>
            <w:vAlign w:val="bottom"/>
          </w:tcPr>
          <w:p>
            <w:pPr>
              <w:ind w:left="120"/>
              <w:spacing w:after="0" w:line="202" w:lineRule="exact"/>
              <w:rPr>
                <w:sz w:val="20"/>
                <w:szCs w:val="20"/>
                <w:color w:val="auto"/>
              </w:rPr>
            </w:pPr>
            <w:r>
              <w:rPr>
                <w:rFonts w:ascii="Arial" w:cs="Arial" w:eastAsia="Arial" w:hAnsi="Arial"/>
                <w:sz w:val="18"/>
                <w:szCs w:val="18"/>
                <w:color w:val="auto"/>
              </w:rPr>
              <w:t>, the 20</w:t>
            </w:r>
          </w:p>
        </w:tc>
        <w:tc>
          <w:tcPr>
            <w:tcW w:w="236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Notes will mature on</w:t>
            </w:r>
          </w:p>
        </w:tc>
        <w:tc>
          <w:tcPr>
            <w:tcW w:w="22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 20 and the 20   Notes</w:t>
            </w:r>
          </w:p>
        </w:tc>
      </w:tr>
      <w:tr>
        <w:trPr>
          <w:trHeight w:val="211"/>
        </w:trPr>
        <w:tc>
          <w:tcPr>
            <w:tcW w:w="2840" w:type="dxa"/>
            <w:vAlign w:val="bottom"/>
          </w:tcPr>
          <w:p>
            <w:pPr>
              <w:spacing w:after="0"/>
              <w:rPr>
                <w:sz w:val="18"/>
                <w:szCs w:val="18"/>
                <w:color w:val="auto"/>
              </w:rPr>
            </w:pPr>
          </w:p>
        </w:tc>
        <w:tc>
          <w:tcPr>
            <w:tcW w:w="2780" w:type="dxa"/>
            <w:vAlign w:val="bottom"/>
            <w:gridSpan w:val="2"/>
          </w:tcPr>
          <w:p>
            <w:pPr>
              <w:ind w:left="1340"/>
              <w:spacing w:after="0"/>
              <w:rPr>
                <w:sz w:val="20"/>
                <w:szCs w:val="20"/>
                <w:color w:val="auto"/>
              </w:rPr>
            </w:pPr>
            <w:r>
              <w:rPr>
                <w:rFonts w:ascii="Arial" w:cs="Arial" w:eastAsia="Arial" w:hAnsi="Arial"/>
                <w:sz w:val="18"/>
                <w:szCs w:val="18"/>
                <w:color w:val="auto"/>
              </w:rPr>
              <w:t>will mature on</w:t>
            </w:r>
          </w:p>
        </w:tc>
        <w:tc>
          <w:tcPr>
            <w:tcW w:w="1920" w:type="dxa"/>
            <w:vAlign w:val="bottom"/>
            <w:gridSpan w:val="2"/>
          </w:tcPr>
          <w:p>
            <w:pPr>
              <w:jc w:val="right"/>
              <w:ind w:right="772"/>
              <w:spacing w:after="0"/>
              <w:rPr>
                <w:sz w:val="20"/>
                <w:szCs w:val="20"/>
                <w:color w:val="auto"/>
              </w:rPr>
            </w:pPr>
            <w:r>
              <w:rPr>
                <w:rFonts w:ascii="Arial" w:cs="Arial" w:eastAsia="Arial" w:hAnsi="Arial"/>
                <w:sz w:val="18"/>
                <w:szCs w:val="18"/>
                <w:color w:val="auto"/>
              </w:rPr>
              <w:t>, 20   .</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97"/>
        </w:trPr>
        <w:tc>
          <w:tcPr>
            <w:tcW w:w="2840" w:type="dxa"/>
            <w:vAlign w:val="bottom"/>
          </w:tcPr>
          <w:p>
            <w:pPr>
              <w:spacing w:after="0"/>
              <w:rPr>
                <w:sz w:val="20"/>
                <w:szCs w:val="20"/>
                <w:color w:val="auto"/>
              </w:rPr>
            </w:pPr>
            <w:r>
              <w:rPr>
                <w:rFonts w:ascii="Arial" w:cs="Arial" w:eastAsia="Arial" w:hAnsi="Arial"/>
                <w:sz w:val="18"/>
                <w:szCs w:val="18"/>
                <w:color w:val="auto"/>
              </w:rPr>
              <w:t>Interest Rates</w:t>
            </w:r>
          </w:p>
        </w:tc>
        <w:tc>
          <w:tcPr>
            <w:tcW w:w="8180" w:type="dxa"/>
            <w:vAlign w:val="bottom"/>
            <w:gridSpan w:val="8"/>
          </w:tcPr>
          <w:p>
            <w:pPr>
              <w:ind w:left="1340"/>
              <w:spacing w:after="0"/>
              <w:rPr>
                <w:sz w:val="20"/>
                <w:szCs w:val="20"/>
                <w:color w:val="auto"/>
              </w:rPr>
            </w:pPr>
            <w:r>
              <w:rPr>
                <w:rFonts w:ascii="Arial" w:cs="Arial" w:eastAsia="Arial" w:hAnsi="Arial"/>
                <w:sz w:val="18"/>
                <w:szCs w:val="18"/>
                <w:color w:val="auto"/>
                <w:w w:val="97"/>
              </w:rPr>
              <w:t>Interest on the Floating Rate Notes will accrue at a floating rate, reset quarterly, equal to</w:t>
            </w:r>
          </w:p>
        </w:tc>
      </w:tr>
      <w:tr>
        <w:trPr>
          <w:trHeight w:val="203"/>
        </w:trPr>
        <w:tc>
          <w:tcPr>
            <w:tcW w:w="2840" w:type="dxa"/>
            <w:vAlign w:val="bottom"/>
          </w:tcPr>
          <w:p>
            <w:pPr>
              <w:spacing w:after="0"/>
              <w:rPr>
                <w:sz w:val="17"/>
                <w:szCs w:val="17"/>
                <w:color w:val="auto"/>
              </w:rPr>
            </w:pPr>
          </w:p>
        </w:tc>
        <w:tc>
          <w:tcPr>
            <w:tcW w:w="8180" w:type="dxa"/>
            <w:vAlign w:val="bottom"/>
            <w:gridSpan w:val="8"/>
          </w:tcPr>
          <w:p>
            <w:pPr>
              <w:ind w:left="1340"/>
              <w:spacing w:after="0" w:line="202" w:lineRule="exact"/>
              <w:rPr>
                <w:sz w:val="20"/>
                <w:szCs w:val="20"/>
                <w:color w:val="auto"/>
              </w:rPr>
            </w:pPr>
            <w:r>
              <w:rPr>
                <w:rFonts w:ascii="Arial" w:cs="Arial" w:eastAsia="Arial" w:hAnsi="Arial"/>
                <w:sz w:val="18"/>
                <w:szCs w:val="18"/>
                <w:color w:val="auto"/>
              </w:rPr>
              <w:t>three-month LIBOR (as defined in “Description of the Notes—Principal and Interest—</w:t>
            </w:r>
          </w:p>
        </w:tc>
      </w:tr>
      <w:tr>
        <w:trPr>
          <w:trHeight w:val="203"/>
        </w:trPr>
        <w:tc>
          <w:tcPr>
            <w:tcW w:w="2840" w:type="dxa"/>
            <w:vAlign w:val="bottom"/>
          </w:tcPr>
          <w:p>
            <w:pPr>
              <w:spacing w:after="0"/>
              <w:rPr>
                <w:sz w:val="17"/>
                <w:szCs w:val="17"/>
                <w:color w:val="auto"/>
              </w:rPr>
            </w:pPr>
          </w:p>
        </w:tc>
        <w:tc>
          <w:tcPr>
            <w:tcW w:w="3560" w:type="dxa"/>
            <w:vAlign w:val="bottom"/>
            <w:gridSpan w:val="3"/>
          </w:tcPr>
          <w:p>
            <w:pPr>
              <w:ind w:left="1340"/>
              <w:spacing w:after="0" w:line="202" w:lineRule="exact"/>
              <w:rPr>
                <w:sz w:val="20"/>
                <w:szCs w:val="20"/>
                <w:color w:val="auto"/>
              </w:rPr>
            </w:pPr>
            <w:r>
              <w:rPr>
                <w:rFonts w:ascii="Arial" w:cs="Arial" w:eastAsia="Arial" w:hAnsi="Arial"/>
                <w:sz w:val="18"/>
                <w:szCs w:val="18"/>
                <w:color w:val="auto"/>
              </w:rPr>
              <w:t>Floating Rate Notes”) plus</w:t>
            </w:r>
          </w:p>
        </w:tc>
        <w:tc>
          <w:tcPr>
            <w:tcW w:w="418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 Interest on the 20   Notes will accrue at a rate of</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1"/>
        </w:trPr>
        <w:tc>
          <w:tcPr>
            <w:tcW w:w="2840" w:type="dxa"/>
            <w:vAlign w:val="bottom"/>
          </w:tcPr>
          <w:p>
            <w:pPr>
              <w:spacing w:after="0"/>
              <w:rPr>
                <w:sz w:val="18"/>
                <w:szCs w:val="18"/>
                <w:color w:val="auto"/>
              </w:rPr>
            </w:pPr>
          </w:p>
        </w:tc>
        <w:tc>
          <w:tcPr>
            <w:tcW w:w="3560" w:type="dxa"/>
            <w:vAlign w:val="bottom"/>
            <w:gridSpan w:val="3"/>
          </w:tcPr>
          <w:p>
            <w:pPr>
              <w:ind w:left="1340"/>
              <w:spacing w:after="0"/>
              <w:rPr>
                <w:sz w:val="20"/>
                <w:szCs w:val="20"/>
                <w:color w:val="auto"/>
              </w:rPr>
            </w:pPr>
            <w:r>
              <w:rPr>
                <w:rFonts w:ascii="Arial" w:cs="Arial" w:eastAsia="Arial" w:hAnsi="Arial"/>
                <w:sz w:val="18"/>
                <w:szCs w:val="18"/>
                <w:color w:val="auto"/>
              </w:rPr>
              <w:t>per year, interest on the 20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Notes will accrue at a rate of</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 per year and interest</w:t>
            </w:r>
          </w:p>
        </w:tc>
      </w:tr>
    </w:tbl>
    <w:p>
      <w:pPr>
        <w:spacing w:after="0" w:line="1" w:lineRule="exact"/>
        <w:rPr>
          <w:sz w:val="20"/>
          <w:szCs w:val="20"/>
          <w:color w:val="auto"/>
        </w:rPr>
      </w:pPr>
    </w:p>
    <w:p>
      <w:pPr>
        <w:sectPr>
          <w:pgSz w:w="11900" w:h="16838" w:orient="portrait"/>
          <w:cols w:equalWidth="0" w:num="1">
            <w:col w:w="11220"/>
          </w:cols>
          <w:pgMar w:left="240" w:top="459" w:right="439" w:bottom="1440" w:gutter="0" w:footer="0" w:header="0"/>
        </w:sectPr>
      </w:pPr>
    </w:p>
    <w:p>
      <w:pPr>
        <w:ind w:left="4380"/>
        <w:spacing w:after="0"/>
        <w:tabs>
          <w:tab w:leader="none" w:pos="5340" w:val="left"/>
          <w:tab w:leader="none" w:pos="7800" w:val="left"/>
        </w:tabs>
        <w:rPr>
          <w:sz w:val="20"/>
          <w:szCs w:val="20"/>
          <w:color w:val="auto"/>
        </w:rPr>
      </w:pPr>
      <w:r>
        <w:rPr>
          <w:rFonts w:ascii="Arial" w:cs="Arial" w:eastAsia="Arial" w:hAnsi="Arial"/>
          <w:sz w:val="18"/>
          <w:szCs w:val="18"/>
          <w:color w:val="auto"/>
        </w:rPr>
        <w:t>on the 20</w:t>
        <w:tab/>
        <w:t>Notes will accrue at a rate of</w:t>
      </w:r>
      <w:r>
        <w:rPr>
          <w:sz w:val="20"/>
          <w:szCs w:val="20"/>
          <w:color w:val="auto"/>
        </w:rPr>
        <w:tab/>
      </w:r>
      <w:r>
        <w:rPr>
          <w:rFonts w:ascii="Arial" w:cs="Arial" w:eastAsia="Arial" w:hAnsi="Arial"/>
          <w:sz w:val="16"/>
          <w:szCs w:val="16"/>
          <w:color w:val="auto"/>
        </w:rPr>
        <w:t>% per year.</w:t>
      </w:r>
    </w:p>
    <w:p>
      <w:pPr>
        <w:sectPr>
          <w:pgSz w:w="11900" w:h="16838" w:orient="portrait"/>
          <w:cols w:equalWidth="0" w:num="1">
            <w:col w:w="11220"/>
          </w:cols>
          <w:pgMar w:left="240" w:top="459" w:right="439" w:bottom="1440" w:gutter="0" w:footer="0" w:header="0"/>
          <w:type w:val="continuous"/>
        </w:sectPr>
      </w:pPr>
    </w:p>
    <w:p>
      <w:pPr>
        <w:spacing w:after="0" w:line="19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Interest on the Floating Rate Notes will be paid quarterly and in arrears on , , and , commencing on , 2017. Interest on the 20 Notes, the 20 Notes and the 20 Notes will be paid semi-annually and in arrears on and , commencing on , 2018. Interest on the Notes will accrue from , 2017.</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 of the Notes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our general unsecured obligations and will be:</w:t>
      </w:r>
    </w:p>
    <w:p>
      <w:pPr>
        <w:spacing w:after="0" w:line="113"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4820" w:right="200" w:hanging="174"/>
        <w:spacing w:after="0" w:line="239" w:lineRule="auto"/>
        <w:tabs>
          <w:tab w:leader="none" w:pos="4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equal in right of payment to all of our existing and future indebtedness and other obligations that are not,</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20" w:type="dxa"/>
            <w:vAlign w:val="bottom"/>
            <w:tcBorders>
              <w:top w:val="single" w:sz="8" w:color="auto"/>
              <w:left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by their terms, expressly subordinated in right of payment to the Notes;</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senior in right of payment to any of our existing or future indebtedness and other</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obligations that are, by their terms, expressly subordinated in right of payment to</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Notes;</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effectively subordinated to all of our secured indebtedness and other secured</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obligations to the extent of the value of the assets securing such secured</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indebtedness or other secured obligations; and</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structurally subordinated to all indebtedness and other obligations of our</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subsidiaries.</w:t>
            </w:r>
          </w:p>
        </w:tc>
      </w:tr>
      <w:tr>
        <w:trPr>
          <w:trHeight w:val="3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We may not redeem the Floating Rate Notes prior to maturity. We may, at our option,</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redeem some or all of the 20   Notes, the 20   Notes and the 20   Notes at any time</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and from time to time at redemption prices described under “Description of the Notes—</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Optional Redemption.”</w:t>
            </w:r>
          </w:p>
        </w:tc>
      </w:tr>
      <w:tr>
        <w:trPr>
          <w:trHeight w:val="405"/>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Notes will be issued under the Indenture, which will contain covenants that will limit:</w:t>
            </w:r>
          </w:p>
        </w:tc>
      </w:tr>
      <w:tr>
        <w:trPr>
          <w:trHeight w:val="289"/>
        </w:trPr>
        <w:tc>
          <w:tcPr>
            <w:tcW w:w="3120" w:type="dxa"/>
            <w:vAlign w:val="bottom"/>
            <w:tcBorders>
              <w:left w:val="single" w:sz="8" w:color="auto"/>
            </w:tcBorders>
          </w:tcPr>
          <w:p>
            <w:pPr>
              <w:spacing w:after="0"/>
              <w:rPr>
                <w:sz w:val="24"/>
                <w:szCs w:val="24"/>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ability of GM and certain of its subsidiaries to incur indebtedness secured by</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certain principal domestic manufacturing properties or by any shares of stock or</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indebtedness of certain manufacturing subsidiaries and to enter into certain sale</w:t>
            </w:r>
          </w:p>
        </w:tc>
      </w:tr>
      <w:tr>
        <w:trPr>
          <w:trHeight w:val="203"/>
        </w:trPr>
        <w:tc>
          <w:tcPr>
            <w:tcW w:w="3120" w:type="dxa"/>
            <w:vAlign w:val="bottom"/>
            <w:tcBorders>
              <w:lef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66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and leaseback transactions with respect to certain principal domestic</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manufacturing properties; and</w:t>
            </w:r>
          </w:p>
        </w:tc>
      </w:tr>
      <w:tr>
        <w:trPr>
          <w:trHeight w:val="275"/>
        </w:trPr>
        <w:tc>
          <w:tcPr>
            <w:tcW w:w="3120" w:type="dxa"/>
            <w:vAlign w:val="bottom"/>
            <w:tcBorders>
              <w:left w:val="single" w:sz="8" w:color="auto"/>
            </w:tcBorders>
          </w:tcPr>
          <w:p>
            <w:pPr>
              <w:spacing w:after="0"/>
              <w:rPr>
                <w:sz w:val="23"/>
                <w:szCs w:val="23"/>
                <w:color w:val="auto"/>
              </w:rPr>
            </w:pP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ability of GM to enter into certain mergers or certain conveyances, transfers or</w:t>
            </w:r>
          </w:p>
        </w:tc>
      </w:tr>
      <w:tr>
        <w:trPr>
          <w:trHeight w:val="211"/>
        </w:trPr>
        <w:tc>
          <w:tcPr>
            <w:tcW w:w="312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leases of all or substantially all of its properties and assets.</w:t>
            </w:r>
          </w:p>
        </w:tc>
      </w:tr>
      <w:tr>
        <w:trPr>
          <w:trHeight w:val="397"/>
        </w:trPr>
        <w:tc>
          <w:tcPr>
            <w:tcW w:w="31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Each of these covenants, however, is subject to significant exceptions. See “Description</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of the Notes—Certain Covenants” in this prospectus supplement and “Description of</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Debt Securities—Consolidation, Merger or Sale of Assets” in the accompanying</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prospectus.</w:t>
            </w:r>
          </w:p>
        </w:tc>
      </w:tr>
      <w:tr>
        <w:trPr>
          <w:trHeight w:val="3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Indenture does not limit the amount of Notes that we may issue. We may issue</w:t>
            </w:r>
          </w:p>
        </w:tc>
      </w:tr>
      <w:tr>
        <w:trPr>
          <w:trHeight w:val="185"/>
        </w:trPr>
        <w:tc>
          <w:tcPr>
            <w:tcW w:w="3120" w:type="dxa"/>
            <w:vAlign w:val="bottom"/>
            <w:tcBorders>
              <w:left w:val="single" w:sz="8" w:color="auto"/>
            </w:tcBorders>
          </w:tcPr>
          <w:p>
            <w:pPr>
              <w:spacing w:after="0"/>
              <w:rPr>
                <w:sz w:val="16"/>
                <w:szCs w:val="16"/>
                <w:color w:val="auto"/>
              </w:rPr>
            </w:pPr>
          </w:p>
        </w:tc>
        <w:tc>
          <w:tcPr>
            <w:tcW w:w="8300" w:type="dxa"/>
            <w:vAlign w:val="bottom"/>
            <w:tcBorders>
              <w:right w:val="single" w:sz="8" w:color="auto"/>
            </w:tcBorders>
            <w:gridSpan w:val="2"/>
          </w:tcPr>
          <w:p>
            <w:pPr>
              <w:ind w:left="1260"/>
              <w:spacing w:after="0" w:line="185" w:lineRule="exact"/>
              <w:rPr>
                <w:sz w:val="20"/>
                <w:szCs w:val="20"/>
                <w:color w:val="auto"/>
              </w:rPr>
            </w:pPr>
            <w:r>
              <w:rPr>
                <w:rFonts w:ascii="Arial" w:cs="Arial" w:eastAsia="Arial" w:hAnsi="Arial"/>
                <w:sz w:val="18"/>
                <w:szCs w:val="18"/>
                <w:color w:val="auto"/>
              </w:rPr>
              <w:t>additional Notes up to an aggregate principal amount as our board of directors may</w:t>
            </w:r>
          </w:p>
        </w:tc>
      </w:tr>
      <w:tr>
        <w:trPr>
          <w:trHeight w:val="221"/>
        </w:trPr>
        <w:tc>
          <w:tcPr>
            <w:tcW w:w="312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 xml:space="preserve">authorize from time to time;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 the additional Notes are not fungible with the</w:t>
            </w:r>
          </w:p>
        </w:tc>
      </w:tr>
      <w:tr>
        <w:trPr>
          <w:trHeight w:val="203"/>
        </w:trPr>
        <w:tc>
          <w:tcPr>
            <w:tcW w:w="3120" w:type="dxa"/>
            <w:vAlign w:val="bottom"/>
            <w:tcBorders>
              <w:left w:val="single" w:sz="8" w:color="auto"/>
            </w:tcBorders>
          </w:tcPr>
          <w:p>
            <w:pPr>
              <w:spacing w:after="0"/>
              <w:rPr>
                <w:sz w:val="17"/>
                <w:szCs w:val="17"/>
                <w:color w:val="auto"/>
              </w:rPr>
            </w:pPr>
          </w:p>
        </w:tc>
        <w:tc>
          <w:tcPr>
            <w:tcW w:w="8300" w:type="dxa"/>
            <w:vAlign w:val="bottom"/>
            <w:tcBorders>
              <w:right w:val="single" w:sz="8" w:color="auto"/>
            </w:tcBorders>
            <w:gridSpan w:val="2"/>
          </w:tcPr>
          <w:p>
            <w:pPr>
              <w:ind w:left="1260"/>
              <w:spacing w:after="0" w:line="202" w:lineRule="exact"/>
              <w:rPr>
                <w:sz w:val="20"/>
                <w:szCs w:val="20"/>
                <w:color w:val="auto"/>
              </w:rPr>
            </w:pPr>
            <w:r>
              <w:rPr>
                <w:rFonts w:ascii="Arial" w:cs="Arial" w:eastAsia="Arial" w:hAnsi="Arial"/>
                <w:sz w:val="18"/>
                <w:szCs w:val="18"/>
                <w:color w:val="auto"/>
              </w:rPr>
              <w:t>Notes of a particular series for U.S. federal income tax purposes, the additional Notes</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will have a separate CUSIP number.</w:t>
            </w:r>
          </w:p>
        </w:tc>
      </w:tr>
      <w:tr>
        <w:trPr>
          <w:trHeight w:val="397"/>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Prior Markets</w:t>
            </w: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Notes will be new securities for which there are currently no existing markets. The</w:t>
            </w:r>
          </w:p>
        </w:tc>
      </w:tr>
      <w:tr>
        <w:trPr>
          <w:trHeight w:val="211"/>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Notes will not be listed</w:t>
            </w:r>
          </w:p>
        </w:tc>
      </w:tr>
      <w:tr>
        <w:trPr>
          <w:trHeight w:val="147"/>
        </w:trPr>
        <w:tc>
          <w:tcPr>
            <w:tcW w:w="3120" w:type="dxa"/>
            <w:vAlign w:val="bottom"/>
            <w:tcBorders>
              <w:left w:val="single" w:sz="8" w:color="auto"/>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spacing w:after="0"/>
              <w:rPr>
                <w:sz w:val="12"/>
                <w:szCs w:val="12"/>
                <w:color w:val="auto"/>
              </w:rPr>
            </w:pPr>
          </w:p>
        </w:tc>
      </w:tr>
      <w:tr>
        <w:trPr>
          <w:trHeight w:val="359"/>
        </w:trPr>
        <w:tc>
          <w:tcPr>
            <w:tcW w:w="3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60" w:type="dxa"/>
            <w:vAlign w:val="bottom"/>
          </w:tcPr>
          <w:p>
            <w:pPr>
              <w:ind w:left="82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24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on any securities exchange. Although the underwriters have advised us that they</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currently intend to make a market in the Notes of each series, they are not obligated to</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do so and may discontinue any market-making activities at any time without notice.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Accordingly, we cannot assure you as to the liquidity of, or the trading markets for, the</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Notes.</w:t>
            </w:r>
          </w:p>
        </w:tc>
      </w:tr>
      <w:tr>
        <w:trPr>
          <w:trHeight w:val="410"/>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Notes will be issued in fully registered form and will be represented by global notes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without interest coupons. The global notes will be deposited with a custodian for and</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registered in the name of a nominee of The Depository Trust Company (“DTC”) in New</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York, New York. Investors may elect to hold interests in the global notes through DTC</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and its direct or indirect participants as described under “Description of Debt Securities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—Book-Entry; Delivery and Form; Global Securities” in the accompanying prospectus.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The Notes will be issued only in minimum denominations of $2,000 and integral</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multiples of $1,000 in excess thereof.</w:t>
            </w:r>
          </w:p>
        </w:tc>
      </w:tr>
      <w:tr>
        <w:trPr>
          <w:trHeight w:val="405"/>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Bank of New York Mellon (the “Trustee”).</w:t>
            </w:r>
          </w:p>
        </w:tc>
      </w:tr>
      <w:tr>
        <w:trPr>
          <w:trHeight w:val="419"/>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Calculation Agent</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Bank of New York Mellon.</w:t>
            </w:r>
          </w:p>
        </w:tc>
      </w:tr>
      <w:tr>
        <w:trPr>
          <w:trHeight w:val="410"/>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We intend to use the net proceeds from this offering to repay outstanding indebtedness</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under our three-year unsecured revolving credit facility (the “Three-Year Revolver”) and</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for general corporate purposes. We incurred substantially all of the outstanding</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indebtedness under the Three-Year Revolver to fund payments made to PSA Group in</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connection with PSA Group’s assumption of certain of our pension liabilities at the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July 31, 2017 closing of our sale of the Opel/Vauxhall Business to PSA Group. See</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“Use of Proceeds.”</w:t>
            </w:r>
          </w:p>
        </w:tc>
      </w:tr>
      <w:tr>
        <w:trPr>
          <w:trHeight w:val="405"/>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State of New York.</w:t>
            </w:r>
          </w:p>
        </w:tc>
      </w:tr>
      <w:tr>
        <w:trPr>
          <w:trHeight w:val="410"/>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See “Risk Factors” beginning on page S-10 of this prospectus supplement, in the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accompanying prospectus and in our periodic reports filed from time to time with the</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SEC for a discussion of risks you should carefully consider before deciding to invest in</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the Notes.</w:t>
            </w:r>
          </w:p>
        </w:tc>
      </w:tr>
      <w:tr>
        <w:trPr>
          <w:trHeight w:val="397"/>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Conflicts of Interest</w:t>
            </w: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Affiliates of certain of the underwriters are lenders under the Three-Year Revolver and,</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as a result, may receive more than 5% of the net proceeds of this offering. Because of</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the manner in which the proceeds will be used, this offering will be conducted in</w:t>
            </w:r>
          </w:p>
        </w:tc>
      </w:tr>
      <w:tr>
        <w:trPr>
          <w:trHeight w:val="203"/>
        </w:trPr>
        <w:tc>
          <w:tcPr>
            <w:tcW w:w="3240" w:type="dxa"/>
            <w:vAlign w:val="bottom"/>
            <w:tcBorders>
              <w:left w:val="single" w:sz="8" w:color="auto"/>
            </w:tcBorders>
          </w:tcPr>
          <w:p>
            <w:pPr>
              <w:spacing w:after="0"/>
              <w:rPr>
                <w:sz w:val="17"/>
                <w:szCs w:val="17"/>
                <w:color w:val="auto"/>
              </w:rPr>
            </w:pPr>
          </w:p>
        </w:tc>
        <w:tc>
          <w:tcPr>
            <w:tcW w:w="8180" w:type="dxa"/>
            <w:vAlign w:val="bottom"/>
            <w:tcBorders>
              <w:right w:val="single" w:sz="8" w:color="auto"/>
            </w:tcBorders>
          </w:tcPr>
          <w:p>
            <w:pPr>
              <w:ind w:left="1140"/>
              <w:spacing w:after="0" w:line="202" w:lineRule="exact"/>
              <w:rPr>
                <w:sz w:val="20"/>
                <w:szCs w:val="20"/>
                <w:color w:val="auto"/>
              </w:rPr>
            </w:pPr>
            <w:r>
              <w:rPr>
                <w:rFonts w:ascii="Arial" w:cs="Arial" w:eastAsia="Arial" w:hAnsi="Arial"/>
                <w:sz w:val="18"/>
                <w:szCs w:val="18"/>
                <w:color w:val="auto"/>
              </w:rPr>
              <w:t>accordance with Rule 5121 of the Financial Industry Regulatory Authority, Inc.</w:t>
            </w:r>
          </w:p>
        </w:tc>
      </w:tr>
      <w:tr>
        <w:trPr>
          <w:trHeight w:val="211"/>
        </w:trPr>
        <w:tc>
          <w:tcPr>
            <w:tcW w:w="324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40"/>
              <w:spacing w:after="0"/>
              <w:rPr>
                <w:sz w:val="20"/>
                <w:szCs w:val="20"/>
                <w:color w:val="auto"/>
              </w:rPr>
            </w:pPr>
            <w:r>
              <w:rPr>
                <w:rFonts w:ascii="Arial" w:cs="Arial" w:eastAsia="Arial" w:hAnsi="Arial"/>
                <w:sz w:val="18"/>
                <w:szCs w:val="18"/>
                <w:color w:val="auto"/>
              </w:rPr>
              <w:t>(“FINRA”), or Rule 5121. Because this offering is of notes that are rated</w:t>
            </w:r>
          </w:p>
        </w:tc>
      </w:tr>
      <w:tr>
        <w:trPr>
          <w:trHeight w:val="147"/>
        </w:trPr>
        <w:tc>
          <w:tcPr>
            <w:tcW w:w="3240" w:type="dxa"/>
            <w:vAlign w:val="bottom"/>
            <w:tcBorders>
              <w:left w:val="single" w:sz="8" w:color="auto"/>
              <w:bottom w:val="single" w:sz="8" w:color="auto"/>
            </w:tcBorders>
          </w:tcPr>
          <w:p>
            <w:pPr>
              <w:spacing w:after="0"/>
              <w:rPr>
                <w:sz w:val="12"/>
                <w:szCs w:val="12"/>
                <w:color w:val="auto"/>
              </w:rPr>
            </w:pPr>
          </w:p>
        </w:tc>
        <w:tc>
          <w:tcPr>
            <w:tcW w:w="8180" w:type="dxa"/>
            <w:vAlign w:val="bottom"/>
            <w:tcBorders>
              <w:bottom w:val="single" w:sz="8" w:color="auto"/>
              <w:right w:val="single" w:sz="8" w:color="auto"/>
            </w:tcBorders>
          </w:tcPr>
          <w:p>
            <w:pPr>
              <w:spacing w:after="0"/>
              <w:rPr>
                <w:sz w:val="12"/>
                <w:szCs w:val="12"/>
                <w:color w:val="auto"/>
              </w:rPr>
            </w:pPr>
          </w:p>
        </w:tc>
      </w:tr>
      <w:tr>
        <w:trPr>
          <w:trHeight w:val="359"/>
        </w:trPr>
        <w:tc>
          <w:tcPr>
            <w:tcW w:w="324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861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8616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380"/>
        <w:spacing w:after="0" w:line="238" w:lineRule="auto"/>
        <w:rPr>
          <w:sz w:val="20"/>
          <w:szCs w:val="20"/>
          <w:color w:val="auto"/>
        </w:rPr>
      </w:pPr>
      <w:r>
        <w:rPr>
          <w:rFonts w:ascii="Arial" w:cs="Arial" w:eastAsia="Arial" w:hAnsi="Arial"/>
          <w:sz w:val="18"/>
          <w:szCs w:val="18"/>
          <w:color w:val="auto"/>
        </w:rPr>
        <w:t>investment grade, pursuant to Rule 5121, the appointment of a “qualified independent underwriter” is not necessary. See “Underwriting (Conflicts of Interest)—Conflicts of Interest.”</w:t>
      </w:r>
    </w:p>
    <w:p>
      <w:pPr>
        <w:spacing w:after="0" w:line="168" w:lineRule="exact"/>
        <w:rPr>
          <w:sz w:val="20"/>
          <w:szCs w:val="20"/>
          <w:color w:val="auto"/>
        </w:rPr>
      </w:pPr>
    </w:p>
    <w:p>
      <w:pPr>
        <w:jc w:val="center"/>
        <w:ind w:right="-419"/>
        <w:spacing w:after="0"/>
        <w:tabs>
          <w:tab w:leader="none" w:pos="140" w:val="left"/>
          <w:tab w:leader="none" w:pos="120" w:val="left"/>
          <w:tab w:leader="none" w:pos="120" w:val="left"/>
          <w:tab w:leader="none" w:pos="140" w:val="left"/>
          <w:tab w:leader="none" w:pos="120" w:val="left"/>
          <w:tab w:leader="none" w:pos="120" w:val="left"/>
        </w:tabs>
        <w:rPr>
          <w:sz w:val="20"/>
          <w:szCs w:val="20"/>
          <w:color w:val="auto"/>
        </w:rPr>
      </w:pPr>
      <w:r>
        <w:rPr>
          <w:rFonts w:ascii="Arial" w:cs="Arial" w:eastAsia="Arial" w:hAnsi="Arial"/>
          <w:sz w:val="18"/>
          <w:szCs w:val="18"/>
          <w:color w:val="auto"/>
        </w:rPr>
        <w:t>*</w:t>
        <w:tab/>
        <w:t>*</w:t>
        <w:tab/>
        <w:t>*</w:t>
        <w:tab/>
        <w:t>*</w:t>
        <w:tab/>
        <w:t>*</w:t>
        <w:tab/>
        <w:t>*</w:t>
        <w:tab/>
        <w:t>*</w:t>
      </w:r>
    </w:p>
    <w:p>
      <w:pPr>
        <w:spacing w:after="0" w:line="3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2016, as updated by our subsequent filings under the Exchange Act that are incorporated by reference herein, including our Quarterly Reports on Form 10-Q and our Current Reports on Form 8-K and any amendments thereof, before investing in the Notes.</w:t>
      </w:r>
    </w:p>
    <w:p>
      <w:pPr>
        <w:spacing w:after="0" w:line="21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obligations exclusively of General Motors Company and not any of our subsidiaries, and none of our subsidiaries will</w:t>
      </w:r>
    </w:p>
    <w:p>
      <w:pPr>
        <w:spacing w:after="0"/>
        <w:rPr>
          <w:sz w:val="20"/>
          <w:szCs w:val="20"/>
          <w:color w:val="auto"/>
        </w:rPr>
      </w:pPr>
      <w:r>
        <w:rPr>
          <w:rFonts w:ascii="Arial" w:cs="Arial" w:eastAsia="Arial" w:hAnsi="Arial"/>
          <w:sz w:val="16"/>
          <w:szCs w:val="16"/>
          <w:color w:val="auto"/>
        </w:rPr>
        <w:t>guarantee the Notes. We are a holding company and, accordingly, substantially all of our operations are conducted through subsidiaries, which 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separate and distinct legal entities. Our subsidiaries have no obligation to pay any amounts due under the Notes or to provide us with funds to pay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obligations, whether by dividends, distributions, loans or other payments. All claims of creditors (including secured and unsecured creditors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trade creditors) and preferred stockholders of our subsidiaries will have priority with respect to the assets of such subsidiaries over our</w:t>
      </w:r>
    </w:p>
    <w:p>
      <w:pPr>
        <w:spacing w:after="0"/>
        <w:rPr>
          <w:sz w:val="20"/>
          <w:szCs w:val="20"/>
          <w:color w:val="auto"/>
        </w:rPr>
      </w:pPr>
      <w:r>
        <w:rPr>
          <w:rFonts w:ascii="Arial" w:cs="Arial" w:eastAsia="Arial" w:hAnsi="Arial"/>
          <w:sz w:val="16"/>
          <w:szCs w:val="16"/>
          <w:color w:val="auto"/>
        </w:rPr>
        <w:t>claims (and therefore the claims of our creditors, including holders of the Notes) as an equity holder of such subsidiaries. Consequently, the Notes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will be structurally subordinated to the indebtedness and other liabilities of our subsidiaries and any subsidiaries that we may in the future acquire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or create. Furthermore, even if we were a creditor of any of our subsidiaries, our rights as a creditor would be effectively subordinated to any</w:t>
      </w:r>
    </w:p>
    <w:p>
      <w:pPr>
        <w:spacing w:after="0"/>
        <w:rPr>
          <w:sz w:val="20"/>
          <w:szCs w:val="20"/>
          <w:color w:val="auto"/>
        </w:rPr>
      </w:pPr>
      <w:r>
        <w:rPr>
          <w:rFonts w:ascii="Arial" w:cs="Arial" w:eastAsia="Arial" w:hAnsi="Arial"/>
          <w:sz w:val="16"/>
          <w:szCs w:val="16"/>
          <w:color w:val="auto"/>
        </w:rPr>
        <w:t>security interest in the assets of those subsidiaries and would be subordinate to any indebtedness of those subsidiaries senior to that held by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had total consolidated liabilities of approximately $194.6 billion (including consolidated indebtedness of approximately</w:t>
      </w:r>
    </w:p>
    <w:p>
      <w:pPr>
        <w:spacing w:after="0"/>
        <w:rPr>
          <w:sz w:val="20"/>
          <w:szCs w:val="20"/>
          <w:color w:val="auto"/>
        </w:rPr>
      </w:pPr>
      <w:r>
        <w:rPr>
          <w:rFonts w:ascii="Arial" w:cs="Arial" w:eastAsia="Arial" w:hAnsi="Arial"/>
          <w:sz w:val="16"/>
          <w:szCs w:val="16"/>
          <w:color w:val="auto"/>
        </w:rPr>
        <w:t>$89.1 billion), of which $8.9 billion constitutes indebtedness of General Motors Company (parent company only) under our existing 3.500% senior</w:t>
      </w:r>
    </w:p>
    <w:p>
      <w:pPr>
        <w:spacing w:after="0" w:line="19"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notes due 2018, 4.875% senior notes due 2023, 4.000% senior notes due 2025, 5.000% senior notes due 2035, 6.600% senior notes due 2036, 6.250% senior notes due 2043, 5.200% senior notes due 2045 and 6.750% senior notes due 2046 and substantially all of the remainder of which are liabilities of our subsidiaries.</w:t>
      </w:r>
    </w:p>
    <w:p>
      <w:pPr>
        <w:spacing w:after="0" w:line="213"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67"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Because we are a holding company and conduct substantially all of our operations through subsidiaries, our cash flow and ability to service debt, including the Notes and our $8.9 billion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limited covenants in the Indenture that will govern the Notes will not provide protection against many types of important corporate events and may not protect your investment.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will not:</w:t>
      </w:r>
    </w:p>
    <w:p>
      <w:pPr>
        <w:spacing w:after="0" w:line="77" w:lineRule="exact"/>
        <w:rPr>
          <w:sz w:val="20"/>
          <w:szCs w:val="20"/>
          <w:color w:val="auto"/>
        </w:rPr>
      </w:pPr>
    </w:p>
    <w:p>
      <w:pPr>
        <w:ind w:left="780" w:right="40" w:hanging="326"/>
        <w:spacing w:after="0" w:line="23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72" w:lineRule="exact"/>
        <w:rPr>
          <w:rFonts w:ascii="Arial" w:cs="Arial" w:eastAsia="Arial" w:hAnsi="Arial"/>
          <w:sz w:val="18"/>
          <w:szCs w:val="18"/>
          <w:color w:val="auto"/>
        </w:rPr>
      </w:pPr>
    </w:p>
    <w:p>
      <w:pPr>
        <w:ind w:left="780" w:right="180" w:hanging="326"/>
        <w:spacing w:after="0" w:line="299"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27" w:lineRule="exact"/>
        <w:rPr>
          <w:rFonts w:ascii="Arial" w:cs="Arial" w:eastAsia="Arial" w:hAnsi="Arial"/>
          <w:sz w:val="16"/>
          <w:szCs w:val="16"/>
          <w:color w:val="auto"/>
        </w:rPr>
      </w:pPr>
    </w:p>
    <w:p>
      <w:pPr>
        <w:ind w:left="780" w:right="4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73" w:lineRule="exact"/>
        <w:rPr>
          <w:rFonts w:ascii="Arial" w:cs="Arial" w:eastAsia="Arial" w:hAnsi="Arial"/>
          <w:sz w:val="18"/>
          <w:szCs w:val="18"/>
          <w:color w:val="auto"/>
        </w:rPr>
      </w:pPr>
    </w:p>
    <w:p>
      <w:pPr>
        <w:ind w:left="780" w:right="10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or subordinate in right of payment to the Notes (other than certain secured indebtedness);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76" w:lineRule="exact"/>
        <w:rPr>
          <w:rFonts w:ascii="Arial" w:cs="Arial" w:eastAsia="Arial" w:hAnsi="Arial"/>
          <w:sz w:val="18"/>
          <w:szCs w:val="18"/>
          <w:color w:val="auto"/>
        </w:rPr>
      </w:pPr>
    </w:p>
    <w:p>
      <w:pPr>
        <w:ind w:left="780" w:right="8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158" w:lineRule="exact"/>
        <w:rPr>
          <w:sz w:val="20"/>
          <w:szCs w:val="20"/>
          <w:color w:val="auto"/>
        </w:rPr>
      </w:pPr>
    </w:p>
    <w:p>
      <w:pPr>
        <w:ind w:right="160" w:firstLine="456"/>
        <w:spacing w:after="0" w:line="281" w:lineRule="auto"/>
        <w:rPr>
          <w:sz w:val="20"/>
          <w:szCs w:val="20"/>
          <w:color w:val="auto"/>
        </w:rPr>
      </w:pPr>
      <w:r>
        <w:rPr>
          <w:rFonts w:ascii="Arial" w:cs="Arial" w:eastAsia="Arial" w:hAnsi="Arial"/>
          <w:sz w:val="16"/>
          <w:szCs w:val="16"/>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18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Although the Notes are referred to as “senior notes”, the Notes will be unsecured and will be effectively subordinated to any of our secured debt.</w:t>
      </w:r>
    </w:p>
    <w:p>
      <w:pPr>
        <w:spacing w:after="0" w:line="53"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or any of our subsidiaries defaults on obligations to pay indebtedness, we may not be able to make payments on the Notes.</w:t>
      </w:r>
    </w:p>
    <w:p>
      <w:pPr>
        <w:spacing w:after="0" w:line="9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Any default under agreements governing our indebtedness or the indebtedness of our subsidiaries, including any default under our $4.0 billion revolving credit facility by us or certain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of our subsidiaries and any default under our $10.5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currently no markets for the Notes, and we cannot assure you that active trading markets for the Notes will develop.</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markets in the Notes. However, they are not obligated to do so and may discontinue such market-making at any time without notice. If no active trading markets develop, you may be unable to resell the Notes at their fair value or at any price.</w:t>
      </w:r>
    </w:p>
    <w:p>
      <w:pPr>
        <w:spacing w:after="0" w:line="21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Even if trading markets do develop, changes in our credit ratings or the debt markets could adversely affect the market prices of the Notes.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7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158"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54" w:lineRule="exact"/>
        <w:rPr>
          <w:sz w:val="20"/>
          <w:szCs w:val="20"/>
          <w:color w:val="auto"/>
        </w:rPr>
      </w:pPr>
    </w:p>
    <w:p>
      <w:pPr>
        <w:ind w:right="220" w:firstLine="456"/>
        <w:spacing w:after="0" w:line="299" w:lineRule="auto"/>
        <w:rPr>
          <w:sz w:val="20"/>
          <w:szCs w:val="20"/>
          <w:color w:val="auto"/>
        </w:rPr>
      </w:pPr>
      <w:r>
        <w:rPr>
          <w:rFonts w:ascii="Arial" w:cs="Arial" w:eastAsia="Arial" w:hAnsi="Arial"/>
          <w:sz w:val="16"/>
          <w:szCs w:val="16"/>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amount of interest payable on the Floating Rate Notes is set only once per period based on the three-month LIBOR on the interest determination date, which rate may fluctuate substantially.</w:t>
      </w:r>
    </w:p>
    <w:p>
      <w:pPr>
        <w:spacing w:after="0" w:line="53"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In the past, the level of the three-month LIBOR has experienced significant fluctuations. You should note that historical levels, fluctuations and trends of the three-month LIBOR are not necessarily indicative of future levels. Any historical upward or downward trend in the three-month LIBOR is not an indication that the three-month LIBOR is more or less likely to increase or decrease at any time during a floating rate interest period, and you should not take the historical levels of the three-month LIBOR as an indication of its future performance. You should further note that although the actual three-month LIBOR on an interest payment date or at other times during an interest period may be higher than the three-month LIBOR on the applicable interest determination date, you will not benefit from the three-month LIBOR at any time other than on the interest determination date for such interest period. As a result, changes in the three-month LIBOR may not result in a comparable change in the market value of the Floating Rate Notes.</w:t>
      </w:r>
    </w:p>
    <w:p>
      <w:pPr>
        <w:spacing w:after="0" w:line="21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Uncertainty relating to the LIBOR calculation process and potential phasing out of LIBOR after 2021 may adversely affect the value of the Floating Rate Notes.</w:t>
      </w:r>
    </w:p>
    <w:p>
      <w:pPr>
        <w:spacing w:after="0" w:line="53"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rates after 2021. At this time, it is not possible to predict the effect of any such changes, any establishment of alternative reference rates or any other reforms to LIBOR that may be enacted in the United Kingdom or elsewhere. Uncertainty as to the nature of such potential changes, alternative reference rates or other reforms may adversely affect the trading market for LIBOR-based securities, including the Floating Rate Notes.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expect to receive total net proceeds of approximately $ billion from the issuance of the Notes, after underwriter discounts and payment of our other offering expenses. We intend to use the net proceeds from this offering to repay outstanding indebtedness under the Three-Year Revolver and for general corporate purposes. As of July 31, 2017, there was approximately $3.0 billion outstanding under the Three-Year Revolver bearing interest at a rate of 4.325%. The Three-Year Revolver matures in May 2019.</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We incurred substantially all of the outstanding indebtedness under the Three-Year Revolver to fund payments made to PSA Group in connection with PSA Group’s assumption of certain of our pension liabilities at the July 31, 2017 closing of our sale of the Opel/Vauxhall Business to PSA Group.</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Affiliates of certain of the underwriters are lenders under the Three-Year Revolver and will receive a portion of the net proceeds of this offering. See “Underwriting (Conflicts of Interest)—Conflicts of Interest.” Until we use the net proceeds from this offering, we intend to invest the funds in short-term investments, including marketable securities. Our management will have broad discretion in the application of the net proceeds, and the purposes for which the net proceeds are used may change from those described above.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80" w:lineRule="exact"/>
        <w:rPr>
          <w:sz w:val="20"/>
          <w:szCs w:val="20"/>
          <w:color w:val="auto"/>
        </w:rPr>
      </w:pPr>
    </w:p>
    <w:p>
      <w:pPr>
        <w:ind w:right="360" w:firstLine="456"/>
        <w:spacing w:after="0" w:line="271" w:lineRule="auto"/>
        <w:rPr>
          <w:sz w:val="20"/>
          <w:szCs w:val="20"/>
          <w:color w:val="auto"/>
        </w:rPr>
      </w:pPr>
      <w:r>
        <w:rPr>
          <w:rFonts w:ascii="Arial" w:cs="Arial" w:eastAsia="Arial" w:hAnsi="Arial"/>
          <w:sz w:val="16"/>
          <w:szCs w:val="16"/>
          <w:color w:val="auto"/>
        </w:rPr>
        <w:t>The following table presents the consolidated ratio of our earnings to fixed charges for each of the periods indicated. In March 2017, we entered into the Agreement to sell the European Business to PSA Group. As a result, we reclassified the operating results of the European Business to discontinued operations beginning with our Quarterly Report on Form 10-Q for the quarter ended June 30, 2017. The consolidated ratio of our earnings to fixed charges for the six months ended June 30, 2017 reflects the operating results of the European Business as discontinued operations. The historical consolidated ratios of our earnings to fixed charges for each of the years in the five-year period ended December 31, 2016 have not been restated to reflect the operating results of the European Business as discontinued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Six Months</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60" w:type="dxa"/>
            <w:vAlign w:val="bottom"/>
          </w:tcPr>
          <w:p>
            <w:pPr>
              <w:spacing w:after="0"/>
              <w:rPr>
                <w:sz w:val="7"/>
                <w:szCs w:val="7"/>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Ended June 30,</w:t>
            </w:r>
          </w:p>
        </w:tc>
        <w:tc>
          <w:tcPr>
            <w:tcW w:w="6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Arial" w:cs="Arial" w:eastAsia="Arial" w:hAnsi="Arial"/>
                <w:sz w:val="14"/>
                <w:szCs w:val="14"/>
                <w:b w:val="1"/>
                <w:bCs w:val="1"/>
                <w:color w:val="auto"/>
              </w:rPr>
              <w:t>2017</w:t>
            </w:r>
          </w:p>
        </w:tc>
        <w:tc>
          <w:tcPr>
            <w:tcW w:w="24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2016</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4"/>
                <w:szCs w:val="14"/>
                <w:color w:val="auto"/>
              </w:rPr>
            </w:pPr>
          </w:p>
        </w:tc>
        <w:tc>
          <w:tcPr>
            <w:tcW w:w="17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7"/>
              <w:spacing w:after="0"/>
              <w:rPr>
                <w:sz w:val="20"/>
                <w:szCs w:val="20"/>
                <w:color w:val="auto"/>
              </w:rPr>
            </w:pPr>
            <w:r>
              <w:rPr>
                <w:rFonts w:ascii="Arial" w:cs="Arial" w:eastAsia="Arial" w:hAnsi="Arial"/>
                <w:sz w:val="18"/>
                <w:szCs w:val="18"/>
                <w:color w:val="auto"/>
              </w:rPr>
              <w:t>5.33</w:t>
            </w:r>
          </w:p>
        </w:tc>
        <w:tc>
          <w:tcPr>
            <w:tcW w:w="240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4.92</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4.35</w:t>
            </w:r>
          </w:p>
        </w:tc>
        <w:tc>
          <w:tcPr>
            <w:tcW w:w="26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2.97</w:t>
            </w:r>
          </w:p>
        </w:tc>
        <w:tc>
          <w:tcPr>
            <w:tcW w:w="15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5.85</w:t>
            </w:r>
          </w:p>
        </w:tc>
        <w:tc>
          <w:tcPr>
            <w:tcW w:w="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40" w:hanging="452"/>
        <w:spacing w:after="0" w:line="231"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6"/>
          <w:szCs w:val="16"/>
          <w:color w:val="auto"/>
        </w:rPr>
        <w:t>The Notes offered hereby will be issued as separate series of debt securities pursuant to the indenture (the “Base Indenture”) dated as of September 27, 2013 between GM and The Bank of New York Mellon, as trustee (the “Trustee”), as amended and supplemented by the fourth</w:t>
      </w:r>
    </w:p>
    <w:p>
      <w:pPr>
        <w:ind w:right="100"/>
        <w:spacing w:after="0" w:line="238" w:lineRule="auto"/>
        <w:rPr>
          <w:sz w:val="20"/>
          <w:szCs w:val="20"/>
          <w:color w:val="auto"/>
        </w:rPr>
      </w:pPr>
      <w:r>
        <w:rPr>
          <w:rFonts w:ascii="Arial" w:cs="Arial" w:eastAsia="Arial" w:hAnsi="Arial"/>
          <w:sz w:val="18"/>
          <w:szCs w:val="18"/>
          <w:color w:val="auto"/>
        </w:rPr>
        <w:t>supplemental indenture (the “Supplemental Indenture”) to be dated on or about , 2017 between us and the Trustee. The Base Indenture and the Supplemental Indenture, each as amended and supplemented, are together referred to herein as the “Indenture.” The Indenture and the Notes are governed by, and construed in accordance with, the laws of the State of New York, United States.</w:t>
      </w:r>
    </w:p>
    <w:p>
      <w:pPr>
        <w:spacing w:after="0" w:line="15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5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Notes will be senior, unsecured obligations of GM and will rank equally with all other unsecured and unsubordinated indebtedness of GM (other than obligations preferred by mandatory provisions of law).</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Floating Rate Notes will mature on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3600" w:space="720"/>
            <w:col w:w="300" w:space="240"/>
            <w:col w:w="6560"/>
          </w:cols>
          <w:pgMar w:left="240" w:top="459" w:right="239" w:bottom="1440" w:gutter="0" w:footer="0" w:header="0"/>
          <w:type w:val="continuous"/>
        </w:sectPr>
      </w:pPr>
    </w:p>
    <w:p>
      <w:pPr>
        <w:jc w:val="right"/>
        <w:ind w:left="460"/>
        <w:spacing w:after="0" w:line="239" w:lineRule="auto"/>
        <w:rPr>
          <w:sz w:val="20"/>
          <w:szCs w:val="20"/>
          <w:color w:val="auto"/>
        </w:rPr>
      </w:pPr>
      <w:r>
        <w:rPr>
          <w:rFonts w:ascii="Arial" w:cs="Arial" w:eastAsia="Arial" w:hAnsi="Arial"/>
          <w:sz w:val="18"/>
          <w:szCs w:val="18"/>
          <w:color w:val="auto"/>
        </w:rPr>
        <w:t>The 20   Notes will mature on         , 20   , the 20   Notes will mature on , 20   ; in each case unless we redeem such 20   Notes, 20   Notes or 20</w:t>
      </w:r>
    </w:p>
    <w:p>
      <w:pPr>
        <w:spacing w:after="0" w:line="20" w:lineRule="exact"/>
        <w:rPr>
          <w:sz w:val="20"/>
          <w:szCs w:val="20"/>
          <w:color w:val="auto"/>
        </w:rPr>
      </w:pPr>
      <w:r>
        <w:rPr>
          <w:sz w:val="20"/>
          <w:szCs w:val="20"/>
          <w:color w:val="auto"/>
        </w:rPr>
        <w:br w:type="column"/>
      </w:r>
    </w:p>
    <w:p>
      <w:pPr>
        <w:ind w:right="760" w:firstLine="525"/>
        <w:spacing w:after="0" w:line="269" w:lineRule="auto"/>
        <w:rPr>
          <w:sz w:val="20"/>
          <w:szCs w:val="20"/>
          <w:color w:val="auto"/>
        </w:rPr>
      </w:pPr>
      <w:r>
        <w:rPr>
          <w:rFonts w:ascii="Arial" w:cs="Arial" w:eastAsia="Arial" w:hAnsi="Arial"/>
          <w:sz w:val="16"/>
          <w:szCs w:val="16"/>
          <w:color w:val="auto"/>
        </w:rPr>
        <w:t>, 20 and the 20 Notes will mature on Notes prior to their respective maturity dates, as</w:t>
      </w:r>
    </w:p>
    <w:p>
      <w:pPr>
        <w:spacing w:after="0" w:line="1" w:lineRule="exact"/>
        <w:rPr>
          <w:sz w:val="20"/>
          <w:szCs w:val="20"/>
          <w:color w:val="auto"/>
        </w:rPr>
      </w:pPr>
    </w:p>
    <w:p>
      <w:pPr>
        <w:sectPr>
          <w:pgSz w:w="11900" w:h="16838" w:orient="portrait"/>
          <w:cols w:equalWidth="0" w:num="2">
            <w:col w:w="6700" w:space="240"/>
            <w:col w:w="4480"/>
          </w:cols>
          <w:pgMar w:left="240" w:top="459" w:right="239" w:bottom="1440" w:gutter="0" w:footer="0" w:header="0"/>
          <w:type w:val="continuous"/>
        </w:sectPr>
      </w:pPr>
    </w:p>
    <w:p>
      <w:pPr>
        <w:spacing w:after="0" w:line="236" w:lineRule="auto"/>
        <w:rPr>
          <w:sz w:val="20"/>
          <w:szCs w:val="20"/>
          <w:color w:val="auto"/>
        </w:rPr>
      </w:pPr>
      <w:r>
        <w:rPr>
          <w:rFonts w:ascii="Arial" w:cs="Arial" w:eastAsia="Arial" w:hAnsi="Arial"/>
          <w:sz w:val="18"/>
          <w:szCs w:val="18"/>
          <w:color w:val="auto"/>
        </w:rPr>
        <w:t>described below under “—Optional Redemption.”</w:t>
      </w:r>
    </w:p>
    <w:p>
      <w:pPr>
        <w:spacing w:after="0" w:line="154" w:lineRule="exact"/>
        <w:rPr>
          <w:sz w:val="20"/>
          <w:szCs w:val="20"/>
          <w:color w:val="auto"/>
        </w:rPr>
      </w:pPr>
    </w:p>
    <w:p>
      <w:pPr>
        <w:ind w:right="640" w:firstLine="456"/>
        <w:spacing w:after="0" w:line="238"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94" w:lineRule="exact"/>
        <w:rPr>
          <w:sz w:val="20"/>
          <w:szCs w:val="20"/>
          <w:color w:val="auto"/>
        </w:rPr>
      </w:pPr>
    </w:p>
    <w:p>
      <w:pPr>
        <w:ind w:left="460"/>
        <w:spacing w:after="0"/>
        <w:tabs>
          <w:tab w:leader="none" w:pos="4800" w:val="left"/>
          <w:tab w:leader="none" w:pos="7760" w:val="left"/>
        </w:tabs>
        <w:rPr>
          <w:sz w:val="20"/>
          <w:szCs w:val="20"/>
          <w:color w:val="auto"/>
        </w:rPr>
      </w:pPr>
      <w:r>
        <w:rPr>
          <w:rFonts w:ascii="Arial" w:cs="Arial" w:eastAsia="Arial" w:hAnsi="Arial"/>
          <w:sz w:val="18"/>
          <w:szCs w:val="18"/>
          <w:color w:val="auto"/>
        </w:rPr>
        <w:t>The Floating Rate Notes will initially be limited to $</w:t>
      </w:r>
      <w:r>
        <w:rPr>
          <w:sz w:val="20"/>
          <w:szCs w:val="20"/>
          <w:color w:val="auto"/>
        </w:rPr>
        <w:tab/>
      </w:r>
      <w:r>
        <w:rPr>
          <w:rFonts w:ascii="Arial" w:cs="Arial" w:eastAsia="Arial" w:hAnsi="Arial"/>
          <w:sz w:val="18"/>
          <w:szCs w:val="18"/>
          <w:color w:val="auto"/>
        </w:rPr>
        <w:t>aggregate principal amount, the 20</w:t>
      </w:r>
      <w:r>
        <w:rPr>
          <w:sz w:val="20"/>
          <w:szCs w:val="20"/>
          <w:color w:val="auto"/>
        </w:rPr>
        <w:tab/>
      </w:r>
      <w:r>
        <w:rPr>
          <w:rFonts w:ascii="Arial" w:cs="Arial" w:eastAsia="Arial" w:hAnsi="Arial"/>
          <w:sz w:val="16"/>
          <w:szCs w:val="16"/>
          <w:color w:val="auto"/>
        </w:rPr>
        <w:t>Notes will initially be limited to $</w:t>
      </w:r>
    </w:p>
    <w:p>
      <w:pPr>
        <w:spacing w:after="0"/>
        <w:tabs>
          <w:tab w:leader="none" w:pos="2940" w:val="left"/>
          <w:tab w:leader="none" w:pos="5860" w:val="left"/>
        </w:tabs>
        <w:rPr>
          <w:sz w:val="20"/>
          <w:szCs w:val="20"/>
          <w:color w:val="auto"/>
        </w:rPr>
      </w:pPr>
      <w:r>
        <w:rPr>
          <w:rFonts w:ascii="Arial" w:cs="Arial" w:eastAsia="Arial" w:hAnsi="Arial"/>
          <w:sz w:val="18"/>
          <w:szCs w:val="18"/>
          <w:color w:val="auto"/>
        </w:rPr>
        <w:t>aggregate principal amount, the 20</w:t>
        <w:tab/>
        <w:t>Notes will initially be limited to $</w:t>
      </w:r>
      <w:r>
        <w:rPr>
          <w:sz w:val="20"/>
          <w:szCs w:val="20"/>
          <w:color w:val="auto"/>
        </w:rPr>
        <w:tab/>
      </w:r>
      <w:r>
        <w:rPr>
          <w:rFonts w:ascii="Arial" w:cs="Arial" w:eastAsia="Arial" w:hAnsi="Arial"/>
          <w:sz w:val="16"/>
          <w:szCs w:val="16"/>
          <w:color w:val="auto"/>
        </w:rPr>
        <w:t>aggregate principal amount and the 20 Notes will initially be limited to</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aggregate principal amount.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Floating Rate Notes</w:t>
      </w:r>
    </w:p>
    <w:p>
      <w:pPr>
        <w:spacing w:after="0" w:line="95"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The Floating Rate Notes will bear interest at a floating rate per annum, reset quarterly, equal to three-month U.S. dollar London Interbank Offered Rate (“LIBOR”) plus %. Interest on the Floating Rate Notes will be payable quarterly in arrears on , , and of each year, with the first payment to be made on , 2017 (each a “Floating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Rate Notes interest payment date”), to the person in whose name the Floating Rate Notes are registered at the close of business on the date that is 15 calendar days prior to each Floating Rate Notes interest payment date. Interest on the Floating Rate Notes will accrue from and including</w:t>
      </w:r>
    </w:p>
    <w:p>
      <w:pPr>
        <w:ind w:firstLine="789"/>
        <w:spacing w:after="0" w:line="271" w:lineRule="auto"/>
        <w:tabs>
          <w:tab w:leader="none" w:pos="879" w:val="left"/>
        </w:tabs>
        <w:numPr>
          <w:ilvl w:val="0"/>
          <w:numId w:val="7"/>
        </w:numPr>
        <w:rPr>
          <w:rFonts w:ascii="Arial" w:cs="Arial" w:eastAsia="Arial" w:hAnsi="Arial"/>
          <w:sz w:val="16"/>
          <w:szCs w:val="16"/>
          <w:color w:val="auto"/>
        </w:rPr>
      </w:pPr>
      <w:r>
        <w:rPr>
          <w:rFonts w:ascii="Arial" w:cs="Arial" w:eastAsia="Arial" w:hAnsi="Arial"/>
          <w:sz w:val="16"/>
          <w:szCs w:val="16"/>
          <w:color w:val="auto"/>
        </w:rPr>
        <w:t>2017 or from and including the most recent Floating Rate Notes interest payment date to which interest has been paid or duly provided for. If any Floating Rate Notes interest payment date, other than the maturity date, would otherwise be a day that is not a Business Day, the Floating Rate Notes interest payment date will be postponed to the immediately succeeding day that is a Business Day, except that if that Business Day is in the immediately succeeding calendar month, the Floating Rate Notes interest payment date shall be the immediately preceding Business Day. If the maturity date of the Floating Rate Notes falls on a day that is not a Business Day, the payment of principal and interest will be made on the next succeeding Business Day, and no interest on such payment will accrue for the period from and after the maturity date.</w:t>
      </w:r>
    </w:p>
    <w:p>
      <w:pPr>
        <w:spacing w:after="0" w:line="127" w:lineRule="exact"/>
        <w:rPr>
          <w:sz w:val="20"/>
          <w:szCs w:val="20"/>
          <w:color w:val="auto"/>
        </w:rPr>
      </w:pPr>
    </w:p>
    <w:p>
      <w:pPr>
        <w:ind w:left="460"/>
        <w:spacing w:after="0"/>
        <w:tabs>
          <w:tab w:leader="none" w:pos="6640" w:val="left"/>
          <w:tab w:leader="none" w:pos="7520" w:val="left"/>
          <w:tab w:leader="none" w:pos="8440" w:val="left"/>
          <w:tab w:leader="none" w:pos="9560" w:val="left"/>
        </w:tabs>
        <w:rPr>
          <w:sz w:val="20"/>
          <w:szCs w:val="20"/>
          <w:color w:val="auto"/>
        </w:rPr>
      </w:pPr>
      <w:r>
        <w:rPr>
          <w:rFonts w:ascii="Arial" w:cs="Arial" w:eastAsia="Arial" w:hAnsi="Arial"/>
          <w:sz w:val="18"/>
          <w:szCs w:val="18"/>
          <w:color w:val="auto"/>
        </w:rPr>
        <w:t>The interest rate on the Floating Rate Notes will be reset quarterly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commencing on</w:t>
      </w:r>
    </w:p>
    <w:p>
      <w:pPr>
        <w:ind w:right="300" w:firstLine="789"/>
        <w:spacing w:after="0" w:line="238" w:lineRule="auto"/>
        <w:tabs>
          <w:tab w:leader="none" w:pos="879"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2017 (each an “interest reset date”); provided that if any interest reset date would otherwise be a day that is not a Business Day, the interest reset date will be postponed to the immediately succeeding day that is a Business Day, except that if that Business Day is in the immediately succeeding calendar month, the interest reset date shall be the immediately preceding Business Day.</w:t>
      </w:r>
    </w:p>
    <w:p>
      <w:pPr>
        <w:spacing w:after="0" w:line="136" w:lineRule="exact"/>
        <w:rPr>
          <w:sz w:val="20"/>
          <w:szCs w:val="20"/>
          <w:color w:val="auto"/>
        </w:rPr>
      </w:pPr>
    </w:p>
    <w:p>
      <w:pPr>
        <w:ind w:right="120" w:firstLine="456"/>
        <w:spacing w:after="0" w:line="24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initial interest reset period</w:t>
      </w:r>
      <w:r>
        <w:rPr>
          <w:rFonts w:ascii="Arial" w:cs="Arial" w:eastAsia="Arial" w:hAnsi="Arial"/>
          <w:sz w:val="18"/>
          <w:szCs w:val="18"/>
          <w:color w:val="auto"/>
        </w:rPr>
        <w:t>” (or “</w:t>
      </w:r>
      <w:r>
        <w:rPr>
          <w:rFonts w:ascii="Arial" w:cs="Arial" w:eastAsia="Arial" w:hAnsi="Arial"/>
          <w:sz w:val="18"/>
          <w:szCs w:val="18"/>
          <w:i w:val="1"/>
          <w:iCs w:val="1"/>
          <w:color w:val="auto"/>
        </w:rPr>
        <w:t>initial interest period</w:t>
      </w:r>
      <w:r>
        <w:rPr>
          <w:rFonts w:ascii="Arial" w:cs="Arial" w:eastAsia="Arial" w:hAnsi="Arial"/>
          <w:sz w:val="18"/>
          <w:szCs w:val="18"/>
          <w:color w:val="auto"/>
        </w:rPr>
        <w:t>”) means the period from and including , 2017 to but excluding the first interest reset date. Thereafter, each “</w:t>
      </w:r>
      <w:r>
        <w:rPr>
          <w:rFonts w:ascii="Arial" w:cs="Arial" w:eastAsia="Arial" w:hAnsi="Arial"/>
          <w:sz w:val="18"/>
          <w:szCs w:val="18"/>
          <w:i w:val="1"/>
          <w:iCs w:val="1"/>
          <w:color w:val="auto"/>
        </w:rPr>
        <w:t>interest reset period</w:t>
      </w:r>
      <w:r>
        <w:rPr>
          <w:rFonts w:ascii="Arial" w:cs="Arial" w:eastAsia="Arial" w:hAnsi="Arial"/>
          <w:sz w:val="18"/>
          <w:szCs w:val="18"/>
          <w:color w:val="auto"/>
        </w:rPr>
        <w:t>” (or “</w:t>
      </w:r>
      <w:r>
        <w:rPr>
          <w:rFonts w:ascii="Arial" w:cs="Arial" w:eastAsia="Arial" w:hAnsi="Arial"/>
          <w:sz w:val="18"/>
          <w:szCs w:val="18"/>
          <w:i w:val="1"/>
          <w:iCs w:val="1"/>
          <w:color w:val="auto"/>
        </w:rPr>
        <w:t>interest period</w:t>
      </w:r>
      <w:r>
        <w:rPr>
          <w:rFonts w:ascii="Arial" w:cs="Arial" w:eastAsia="Arial" w:hAnsi="Arial"/>
          <w:sz w:val="18"/>
          <w:szCs w:val="18"/>
          <w:color w:val="auto"/>
        </w:rPr>
        <w:t>”) means the period from and including an interest reset date to but excluding the immediately succeeding interest reset date; provided that the final interest reset period for the Floating Rate Notes will be the period from and including the interest reset date immediately preceding the maturity date of the Floating Rate Notes to but excluding the maturity date. Interest on the Floating Rate Notes will be computed on the basis of the actual number of days elapsed over a 360-day year.</w:t>
      </w:r>
    </w:p>
    <w:p>
      <w:pPr>
        <w:spacing w:after="0" w:line="154"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interest rate for the initial interest reset period means the three-month LIBOR, as determined on , 2017, plus %. Thereafter, the interest rate for any interest period will be the three-month LIBOR, as determined as of the applicable interest determination date (as defined below), plus %. The interest rate will be reset quarterly on each interest reset date.</w:t>
      </w:r>
    </w:p>
    <w:p>
      <w:pPr>
        <w:spacing w:after="0" w:line="154"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The interest rate applicable to each interest period commencing on the related interest reset date, or , 2017 in the case of the initial interest period, will be the rate determined as of the applicable interest determination date. The “</w:t>
      </w:r>
      <w:r>
        <w:rPr>
          <w:rFonts w:ascii="Arial" w:cs="Arial" w:eastAsia="Arial" w:hAnsi="Arial"/>
          <w:sz w:val="18"/>
          <w:szCs w:val="18"/>
          <w:i w:val="1"/>
          <w:iCs w:val="1"/>
          <w:color w:val="auto"/>
        </w:rPr>
        <w:t>interest determination date</w:t>
      </w:r>
      <w:r>
        <w:rPr>
          <w:rFonts w:ascii="Arial" w:cs="Arial" w:eastAsia="Arial" w:hAnsi="Arial"/>
          <w:sz w:val="18"/>
          <w:szCs w:val="18"/>
          <w:color w:val="auto"/>
        </w:rPr>
        <w:t>” means the second</w:t>
      </w:r>
    </w:p>
    <w:p>
      <w:pPr>
        <w:spacing w:after="0" w:line="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London business day immediately preceding , 2017, in the case of the initial interest period, or thereafter the second London business day immediately preceding the applicable interest reset date. A “London business day” means a day on which dealings in deposits in U.S. dollars are transacted in the London interbank market.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Bank of New York Mellon, or its successor appointed by us, will act as the initial calculation agent (the “Calculation Agent”). Three-month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LIBOR will be determined by the Calculation Agent in accordance with the following provisions:</w:t>
      </w:r>
    </w:p>
    <w:p>
      <w:pPr>
        <w:spacing w:after="0" w:line="158" w:lineRule="exact"/>
        <w:rPr>
          <w:sz w:val="20"/>
          <w:szCs w:val="20"/>
          <w:color w:val="auto"/>
        </w:rPr>
      </w:pPr>
    </w:p>
    <w:p>
      <w:pPr>
        <w:ind w:right="40" w:firstLine="464"/>
        <w:spacing w:after="0" w:line="237"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Three-month LIBOR will be the rate for deposits in U.S. dollars for the 3-month period which appears on Reuters LIBOR 01 (as defined below) at approximately 11:00 a.m., London time, on the applicable interest determination date. “</w:t>
      </w:r>
      <w:r>
        <w:rPr>
          <w:rFonts w:ascii="Arial" w:cs="Arial" w:eastAsia="Arial" w:hAnsi="Arial"/>
          <w:sz w:val="18"/>
          <w:szCs w:val="18"/>
          <w:i w:val="1"/>
          <w:iCs w:val="1"/>
          <w:color w:val="auto"/>
        </w:rPr>
        <w:t>Reuters LIBOR 01</w:t>
      </w:r>
      <w:r>
        <w:rPr>
          <w:rFonts w:ascii="Arial" w:cs="Arial" w:eastAsia="Arial" w:hAnsi="Arial"/>
          <w:sz w:val="18"/>
          <w:szCs w:val="18"/>
          <w:color w:val="auto"/>
        </w:rPr>
        <w:t>” means the display designated on page LIBOR 01 on the Reuters Service (or such other page as may replace the LIBOR 01 page on that service or any successor service for the purpose of displaying London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interbank offered rates for U.S. dollar deposits of major banks). If no rate appears on Reuters LIBOR 01, three-month LIBOR for such interest determination date will be determined in accordance with the provisions of paragraph (ii) below.</w:t>
      </w:r>
    </w:p>
    <w:p>
      <w:pPr>
        <w:spacing w:after="0" w:line="155" w:lineRule="exact"/>
        <w:rPr>
          <w:sz w:val="20"/>
          <w:szCs w:val="20"/>
          <w:color w:val="auto"/>
        </w:rPr>
      </w:pPr>
    </w:p>
    <w:p>
      <w:pPr>
        <w:ind w:right="60" w:firstLine="464"/>
        <w:spacing w:after="0" w:line="267"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an interest determination date on which no rate appears on Reuters LIBOR 01 as of approximately 11:00 a.m., London time, on such interest determination date, we shall request the principal London offices of each of four major reference banks (which may include affiliates of the underwriters) in the London interbank market selected by us to provide the Calculation Agent with a quotation of the rate at which deposits of U.S. dollars having a three-month maturity, commencing on the second London business day immediately following such interest determination date, are offered by it to prime banks in the London interbank market as of approximately 11:00 a.m., London time, on such interest determination date in a principal amount equal to an amount of not less than $1,000,000 that is representative for a single transaction in such market at such time. If at least two such quotations are provided, three-month LIBOR for such interest determination date will be the arithmetic mean of such quotations. If fewer than two quotations are provided, three-month LIBOR for such interest determination date will be the arithmetic mean of the rates quoted as of approximately 11:00 a.m., New York City time, on such interest determination date by three major banks (which may include affiliates of the underwriters) selected by us for loans in U.S. dollars to leading European banks having a three-month maturity commencing on the second London business day immediately following such interest determination date and in a principal amount equal to an amount of not less than $1,000,000 that is representative for a single transaction in such market at such time; provided, however, that if the banks selected as aforesaid by us are not quoting such rates as mentioned in this sentence, three-month LIBOR for such interest determination date will be three-month LIBOR determined with respect to the immediately preceding interest determination date.</w:t>
      </w:r>
    </w:p>
    <w:p>
      <w:pPr>
        <w:spacing w:after="0" w:line="33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 thousandth of a percentage point, with five one-millionths of a percentage point being rounded upwards (</w:t>
      </w:r>
      <w:r>
        <w:rPr>
          <w:rFonts w:ascii="Arial" w:cs="Arial" w:eastAsia="Arial" w:hAnsi="Arial"/>
          <w:sz w:val="16"/>
          <w:szCs w:val="16"/>
          <w:i w:val="1"/>
          <w:iCs w:val="1"/>
          <w:color w:val="auto"/>
        </w:rPr>
        <w:t>e.g.</w:t>
      </w:r>
      <w:r>
        <w:rPr>
          <w:rFonts w:ascii="Arial" w:cs="Arial" w:eastAsia="Arial" w:hAnsi="Arial"/>
          <w:sz w:val="16"/>
          <w:szCs w:val="16"/>
          <w:color w:val="auto"/>
        </w:rPr>
        <w:t>, 1.986865% (or 0.01986865) being rounded to</w:t>
      </w:r>
    </w:p>
    <w:p>
      <w:pPr>
        <w:spacing w:after="0" w:line="239" w:lineRule="auto"/>
        <w:rPr>
          <w:sz w:val="20"/>
          <w:szCs w:val="20"/>
          <w:color w:val="auto"/>
        </w:rPr>
      </w:pPr>
      <w:r>
        <w:rPr>
          <w:rFonts w:ascii="Arial" w:cs="Arial" w:eastAsia="Arial" w:hAnsi="Arial"/>
          <w:sz w:val="18"/>
          <w:szCs w:val="18"/>
          <w:color w:val="auto"/>
        </w:rPr>
        <w:t>1.98687% (or 0.0198687)) and all dollar amounts used in or resulting from such calculations will be rounded to the nearest cent (with one-half cent being rounded upwards).</w:t>
      </w:r>
    </w:p>
    <w:p>
      <w:pPr>
        <w:spacing w:after="0" w:line="15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All calculations made by the Calculation Agent shall, in the absence of manifest error, be conclusive for all purposes and binding on us, the Trustee and the holders of the Floating Rate Notes.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Fixed Rate Notes</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20 Notes will bear interest at a rate of % per annum, the 20 Notes will bear interest at a rate of % per annum and the 20 Notes will bear interest at a rate of % per annum. The 20 Notes, the 20 Notes and the 20 Notes will accrue interest, calculated on the basis of a 360-day year consisting of twelve 30-day months, from , 2017, or from the most recent interest payment date to which interest has been paid or duly provided for, which will be payable in arrears on and of each year, with the first payment to be made on , 2018, to the person in whose name the 20 Notes, the 20 Notes and the 20 Notes are registered at the close of business on the or , as the case may be, next preceding the relevant interest payment date.</w:t>
      </w:r>
    </w:p>
    <w:p>
      <w:pPr>
        <w:spacing w:after="0" w:line="152" w:lineRule="exact"/>
        <w:rPr>
          <w:sz w:val="20"/>
          <w:szCs w:val="20"/>
          <w:color w:val="auto"/>
        </w:rPr>
      </w:pPr>
    </w:p>
    <w:p>
      <w:pPr>
        <w:ind w:left="460"/>
        <w:spacing w:after="0"/>
        <w:tabs>
          <w:tab w:leader="none" w:pos="7340" w:val="left"/>
          <w:tab w:leader="none" w:pos="8640" w:val="left"/>
          <w:tab w:leader="none" w:pos="10080" w:val="left"/>
        </w:tabs>
        <w:rPr>
          <w:sz w:val="20"/>
          <w:szCs w:val="20"/>
          <w:color w:val="auto"/>
        </w:rPr>
      </w:pPr>
      <w:r>
        <w:rPr>
          <w:rFonts w:ascii="Arial" w:cs="Arial" w:eastAsia="Arial" w:hAnsi="Arial"/>
          <w:sz w:val="18"/>
          <w:szCs w:val="18"/>
          <w:color w:val="auto"/>
        </w:rPr>
        <w:t>If any interest payment date, stated maturity date or earlier redemption date for the 20</w:t>
        <w:tab/>
        <w:t>Notes, the 20</w:t>
        <w:tab/>
        <w:t>Notes or the 20</w:t>
      </w:r>
      <w:r>
        <w:rPr>
          <w:sz w:val="20"/>
          <w:szCs w:val="20"/>
          <w:color w:val="auto"/>
        </w:rPr>
        <w:tab/>
      </w:r>
      <w:r>
        <w:rPr>
          <w:rFonts w:ascii="Arial" w:cs="Arial" w:eastAsia="Arial" w:hAnsi="Arial"/>
          <w:sz w:val="16"/>
          <w:szCs w:val="16"/>
          <w:color w:val="auto"/>
        </w:rPr>
        <w:t>Notes falls on a</w:t>
      </w:r>
    </w:p>
    <w:p>
      <w:pPr>
        <w:ind w:left="5520" w:right="1120" w:hanging="5520"/>
        <w:spacing w:after="0" w:line="411" w:lineRule="auto"/>
        <w:rPr>
          <w:sz w:val="20"/>
          <w:szCs w:val="20"/>
          <w:color w:val="auto"/>
        </w:rPr>
      </w:pPr>
      <w:r>
        <w:rPr>
          <w:rFonts w:ascii="Arial" w:cs="Arial" w:eastAsia="Arial" w:hAnsi="Arial"/>
          <w:sz w:val="18"/>
          <w:szCs w:val="18"/>
          <w:color w:val="auto"/>
        </w:rPr>
        <w:t>day that is not a Business Day, we will make the required payment of principal, premium, if any, and/or interest on the next Business S-17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Notes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fully registered form only, in denominations of $2,000 and integral multiples of $1,000 in excess thereof.</w:t>
      </w:r>
    </w:p>
    <w:p>
      <w:pPr>
        <w:spacing w:after="0" w:line="15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6"/>
          <w:szCs w:val="16"/>
          <w:color w:val="auto"/>
        </w:rPr>
        <w:t>Amounts due on the respective stated maturity date of the Notes (or, in the case of the 20 Notes, the 20 Notes and the 20 Notes, the earlier redemption date of such Notes) will be payable at the corporate trust office of the Trustee, which at the date hereof is 101 Barclay Street, Floor 7W,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29"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The term “Business Day” means each Monday, Tuesday, Wednesday, Thursday and Friday (i) that is not a day on which banking institutions are authorized or obligated by law, regulation or executive order to close in the City of New York or the city in which the corporate trust office of the Trustee is located and (ii) that, in the case of (and solely in the case of) the Floating Rate Notes, is also a London business day as defined above under “—Floating Rate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and, in the case of the Floating Rate Notes, may have a different initial interest reset date, initial interest reset period or initial interest determination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redeem the Floating Rate Notes prior to maturity.</w:t>
      </w:r>
    </w:p>
    <w:p>
      <w:pPr>
        <w:spacing w:after="0" w:line="153" w:lineRule="exact"/>
        <w:rPr>
          <w:sz w:val="20"/>
          <w:szCs w:val="20"/>
          <w:color w:val="auto"/>
        </w:rPr>
      </w:pPr>
    </w:p>
    <w:p>
      <w:pPr>
        <w:ind w:left="460"/>
        <w:spacing w:after="0"/>
        <w:tabs>
          <w:tab w:leader="none" w:pos="2740" w:val="left"/>
          <w:tab w:leader="none" w:pos="3280" w:val="left"/>
          <w:tab w:leader="none" w:pos="478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their maturity date), we may, at our option, redeem some or all of the</w:t>
      </w:r>
    </w:p>
    <w:p>
      <w:pPr>
        <w:ind w:right="140" w:firstLine="8"/>
        <w:spacing w:after="0" w:line="238" w:lineRule="auto"/>
        <w:tabs>
          <w:tab w:leader="none" w:pos="4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 Notes to be redeemed; and (ii) as determined by us, the sum of the present values of the remaining scheduled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payments of principal and interest on the 20 Notes to be redeemed (not including any portion of payments of interest accrued as of the applicable redemption date), discounted to the applicable redemption date on a semi-annual basis at a rate equal to the sum of the Treasury Rate plus basis points.</w:t>
      </w:r>
    </w:p>
    <w:p>
      <w:pPr>
        <w:spacing w:after="0" w:line="150" w:lineRule="exact"/>
        <w:rPr>
          <w:sz w:val="20"/>
          <w:szCs w:val="20"/>
          <w:color w:val="auto"/>
        </w:rPr>
      </w:pPr>
    </w:p>
    <w:p>
      <w:pPr>
        <w:ind w:left="460"/>
        <w:spacing w:after="0"/>
        <w:tabs>
          <w:tab w:leader="none" w:pos="2120" w:val="left"/>
          <w:tab w:leader="none" w:pos="2660" w:val="left"/>
          <w:tab w:leader="none" w:pos="4100" w:val="left"/>
        </w:tabs>
        <w:rPr>
          <w:sz w:val="20"/>
          <w:szCs w:val="20"/>
          <w:color w:val="auto"/>
        </w:rPr>
      </w:pPr>
      <w:r>
        <w:rPr>
          <w:rFonts w:ascii="Arial" w:cs="Arial" w:eastAsia="Arial" w:hAnsi="Arial"/>
          <w:sz w:val="18"/>
          <w:szCs w:val="18"/>
          <w:color w:val="auto"/>
        </w:rPr>
        <w:t>On or after</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their maturity date) we may, at our option, redeem some or all of the 20</w:t>
      </w:r>
    </w:p>
    <w:p>
      <w:pPr>
        <w:ind w:right="440"/>
        <w:spacing w:after="0" w:line="239" w:lineRule="auto"/>
        <w:rPr>
          <w:sz w:val="20"/>
          <w:szCs w:val="20"/>
          <w:color w:val="auto"/>
        </w:rPr>
      </w:pPr>
      <w:r>
        <w:rPr>
          <w:rFonts w:ascii="Arial" w:cs="Arial" w:eastAsia="Arial" w:hAnsi="Arial"/>
          <w:sz w:val="18"/>
          <w:szCs w:val="18"/>
          <w:color w:val="auto"/>
        </w:rPr>
        <w:t>Notes at any time and from time to time at a redemption price equal to 100% of the principal amount of the 20 Notes to be redeemed, plus accrued and unpaid interest thereon to, but not including, the applicable redemption date.</w:t>
      </w:r>
    </w:p>
    <w:p>
      <w:pPr>
        <w:spacing w:after="0" w:line="151" w:lineRule="exact"/>
        <w:rPr>
          <w:sz w:val="20"/>
          <w:szCs w:val="20"/>
          <w:color w:val="auto"/>
        </w:rPr>
      </w:pPr>
    </w:p>
    <w:p>
      <w:pPr>
        <w:ind w:left="460"/>
        <w:spacing w:after="0"/>
        <w:tabs>
          <w:tab w:leader="none" w:pos="2740" w:val="left"/>
          <w:tab w:leader="none" w:pos="3280" w:val="left"/>
          <w:tab w:leader="none" w:pos="474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their maturity date), we may, at our option, redeem some or all of the</w:t>
      </w:r>
    </w:p>
    <w:p>
      <w:pPr>
        <w:ind w:firstLine="8"/>
        <w:spacing w:after="0" w:line="264" w:lineRule="auto"/>
        <w:tabs>
          <w:tab w:leader="none" w:pos="4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 Notes to be redeemed; and (ii) as determined by us, the sum of the present values of the remaining scheduled payments of principal and</w:t>
      </w:r>
    </w:p>
    <w:p>
      <w:pPr>
        <w:spacing w:after="0"/>
        <w:rPr>
          <w:rFonts w:ascii="Arial" w:cs="Arial" w:eastAsia="Arial" w:hAnsi="Arial"/>
          <w:sz w:val="16"/>
          <w:szCs w:val="16"/>
          <w:color w:val="auto"/>
        </w:rPr>
      </w:pPr>
      <w:r>
        <w:rPr>
          <w:rFonts w:ascii="Arial" w:cs="Arial" w:eastAsia="Arial" w:hAnsi="Arial"/>
          <w:sz w:val="18"/>
          <w:szCs w:val="18"/>
          <w:color w:val="auto"/>
        </w:rPr>
        <w:t>interest on the 20   Notes to be redeemed (not including any portion of payments of interest accrued as of the applicable redemption date),</w:t>
      </w:r>
    </w:p>
    <w:p>
      <w:pPr>
        <w:spacing w:after="0" w:line="203"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discounted to the applicable redemption date on a semi-annual basis at a rate equal to the sum of the Treasury Rate plus</w:t>
      </w:r>
      <w:r>
        <w:rPr>
          <w:sz w:val="20"/>
          <w:szCs w:val="20"/>
          <w:color w:val="auto"/>
        </w:rPr>
        <w:tab/>
      </w:r>
      <w:r>
        <w:rPr>
          <w:rFonts w:ascii="Arial" w:cs="Arial" w:eastAsia="Arial" w:hAnsi="Arial"/>
          <w:sz w:val="16"/>
          <w:szCs w:val="16"/>
          <w:color w:val="auto"/>
        </w:rPr>
        <w:t>basis points.</w:t>
      </w:r>
    </w:p>
    <w:p>
      <w:pPr>
        <w:spacing w:after="0" w:line="153" w:lineRule="exact"/>
        <w:rPr>
          <w:sz w:val="20"/>
          <w:szCs w:val="20"/>
          <w:color w:val="auto"/>
        </w:rPr>
      </w:pPr>
    </w:p>
    <w:p>
      <w:pPr>
        <w:ind w:left="460"/>
        <w:spacing w:after="0"/>
        <w:tabs>
          <w:tab w:leader="none" w:pos="2120" w:val="left"/>
          <w:tab w:leader="none" w:pos="2660" w:val="left"/>
          <w:tab w:leader="none" w:pos="4100" w:val="left"/>
        </w:tabs>
        <w:rPr>
          <w:sz w:val="20"/>
          <w:szCs w:val="20"/>
          <w:color w:val="auto"/>
        </w:rPr>
      </w:pPr>
      <w:r>
        <w:rPr>
          <w:rFonts w:ascii="Arial" w:cs="Arial" w:eastAsia="Arial" w:hAnsi="Arial"/>
          <w:sz w:val="18"/>
          <w:szCs w:val="18"/>
          <w:color w:val="auto"/>
        </w:rPr>
        <w:t>On or after</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their maturity date) we may, at our option, redeem some or all of the 20</w:t>
      </w:r>
    </w:p>
    <w:p>
      <w:pPr>
        <w:ind w:right="440"/>
        <w:spacing w:after="0" w:line="239" w:lineRule="auto"/>
        <w:rPr>
          <w:sz w:val="20"/>
          <w:szCs w:val="20"/>
          <w:color w:val="auto"/>
        </w:rPr>
      </w:pPr>
      <w:r>
        <w:rPr>
          <w:rFonts w:ascii="Arial" w:cs="Arial" w:eastAsia="Arial" w:hAnsi="Arial"/>
          <w:sz w:val="18"/>
          <w:szCs w:val="18"/>
          <w:color w:val="auto"/>
        </w:rPr>
        <w:t>Notes at any time and from time to time at a redemption price equal to 100% of the principal amount of the 20 Notes to be redeemed, plus accrued and unpaid interest thereon to, but not including, the applicable redemption date.</w:t>
      </w:r>
    </w:p>
    <w:p>
      <w:pPr>
        <w:spacing w:after="0" w:line="151" w:lineRule="exact"/>
        <w:rPr>
          <w:sz w:val="20"/>
          <w:szCs w:val="20"/>
          <w:color w:val="auto"/>
        </w:rPr>
      </w:pPr>
    </w:p>
    <w:p>
      <w:pPr>
        <w:ind w:left="460"/>
        <w:spacing w:after="0"/>
        <w:tabs>
          <w:tab w:leader="none" w:pos="2740" w:val="left"/>
          <w:tab w:leader="none" w:pos="3280" w:val="left"/>
          <w:tab w:leader="none" w:pos="4740" w:val="left"/>
        </w:tabs>
        <w:rPr>
          <w:sz w:val="20"/>
          <w:szCs w:val="20"/>
          <w:color w:val="auto"/>
        </w:rPr>
      </w:pPr>
      <w:r>
        <w:rPr>
          <w:rFonts w:ascii="Arial" w:cs="Arial" w:eastAsia="Arial" w:hAnsi="Arial"/>
          <w:sz w:val="18"/>
          <w:szCs w:val="18"/>
          <w:color w:val="auto"/>
        </w:rPr>
        <w:t>At any time 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their maturity date), we may, at our option, redeem some or all of the</w:t>
      </w:r>
    </w:p>
    <w:p>
      <w:pPr>
        <w:ind w:firstLine="8"/>
        <w:spacing w:after="0" w:line="264" w:lineRule="auto"/>
        <w:tabs>
          <w:tab w:leader="none" w:pos="4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Notes at any time and from time to time at a redemption price equal to the greater of the following amounts, plus, in each case, accrued and unpaid interest on the principal amount being redeemed to, but not including, the applicable redemption date: (i) 100% of the principal amount of the 20 Notes to be redeemed; and (ii) as determined by us, the sum of the present values of the remaining scheduled payments of principal and</w:t>
      </w:r>
    </w:p>
    <w:p>
      <w:pPr>
        <w:spacing w:after="0"/>
        <w:rPr>
          <w:rFonts w:ascii="Arial" w:cs="Arial" w:eastAsia="Arial" w:hAnsi="Arial"/>
          <w:sz w:val="16"/>
          <w:szCs w:val="16"/>
          <w:color w:val="auto"/>
        </w:rPr>
      </w:pPr>
      <w:r>
        <w:rPr>
          <w:rFonts w:ascii="Arial" w:cs="Arial" w:eastAsia="Arial" w:hAnsi="Arial"/>
          <w:sz w:val="18"/>
          <w:szCs w:val="18"/>
          <w:color w:val="auto"/>
        </w:rPr>
        <w:t>interest on the 20   Notes to be redeemed (not including any portion of payments of interest accrued as of the applicable redemption date),</w:t>
      </w:r>
    </w:p>
    <w:p>
      <w:pPr>
        <w:spacing w:after="0" w:line="203"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discounted to the applicable redemption date on a semi-annual basis at a rate equal to the sum of the Treasury Rate plus</w:t>
      </w:r>
      <w:r>
        <w:rPr>
          <w:sz w:val="20"/>
          <w:szCs w:val="20"/>
          <w:color w:val="auto"/>
        </w:rPr>
        <w:tab/>
      </w:r>
      <w:r>
        <w:rPr>
          <w:rFonts w:ascii="Arial" w:cs="Arial" w:eastAsia="Arial" w:hAnsi="Arial"/>
          <w:sz w:val="16"/>
          <w:szCs w:val="16"/>
          <w:color w:val="auto"/>
        </w:rPr>
        <w:t>basis points.</w:t>
      </w:r>
    </w:p>
    <w:p>
      <w:pPr>
        <w:spacing w:after="0" w:line="153" w:lineRule="exact"/>
        <w:rPr>
          <w:sz w:val="20"/>
          <w:szCs w:val="20"/>
          <w:color w:val="auto"/>
        </w:rPr>
      </w:pPr>
    </w:p>
    <w:p>
      <w:pPr>
        <w:ind w:left="460"/>
        <w:spacing w:after="0"/>
        <w:tabs>
          <w:tab w:leader="none" w:pos="2120" w:val="left"/>
          <w:tab w:leader="none" w:pos="2660" w:val="left"/>
          <w:tab w:leader="none" w:pos="4100" w:val="left"/>
        </w:tabs>
        <w:rPr>
          <w:sz w:val="20"/>
          <w:szCs w:val="20"/>
          <w:color w:val="auto"/>
        </w:rPr>
      </w:pPr>
      <w:r>
        <w:rPr>
          <w:rFonts w:ascii="Arial" w:cs="Arial" w:eastAsia="Arial" w:hAnsi="Arial"/>
          <w:sz w:val="18"/>
          <w:szCs w:val="18"/>
          <w:color w:val="auto"/>
        </w:rPr>
        <w:t>On or after</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their maturity date) we may, at our option, redeem some or all of the 20</w:t>
      </w:r>
    </w:p>
    <w:p>
      <w:pPr>
        <w:ind w:right="440"/>
        <w:spacing w:after="0" w:line="239" w:lineRule="auto"/>
        <w:rPr>
          <w:sz w:val="20"/>
          <w:szCs w:val="20"/>
          <w:color w:val="auto"/>
        </w:rPr>
      </w:pPr>
      <w:r>
        <w:rPr>
          <w:rFonts w:ascii="Arial" w:cs="Arial" w:eastAsia="Arial" w:hAnsi="Arial"/>
          <w:sz w:val="18"/>
          <w:szCs w:val="18"/>
          <w:color w:val="auto"/>
        </w:rPr>
        <w:t>Notes at any time and from time to time at a redemption price equal to 100% of the principal amount of the 20 Notes to be redeemed, plus accrued and unpaid interest thereon to, but not including, the applicable redemption date.</w:t>
      </w:r>
    </w:p>
    <w:p>
      <w:pPr>
        <w:spacing w:after="0" w:line="155"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37" w:lineRule="exact"/>
        <w:rPr>
          <w:sz w:val="20"/>
          <w:szCs w:val="20"/>
          <w:color w:val="auto"/>
        </w:rPr>
      </w:pPr>
    </w:p>
    <w:p>
      <w:pPr>
        <w:ind w:right="2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of the applicable series to be redeemed that would be used, at the time of selection and in accordance with customary market practice, in pricing new issues of corporate debt securities of a comparable maturity to the remaining term of such Notes.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as determined by us,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31" w:lineRule="exact"/>
        <w:rPr>
          <w:sz w:val="20"/>
          <w:szCs w:val="20"/>
          <w:color w:val="auto"/>
        </w:rPr>
      </w:pPr>
    </w:p>
    <w:p>
      <w:pPr>
        <w:ind w:right="18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Deutsche Bank Securities Inc., Merrill Lynch, Pierce, Fenner &amp; Smith Incorporated and Morgan Stanley &amp; Co.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36"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34"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4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We will give notice of any redemption, mailed not less than 30 days nor more than 60 days before the applicable redemption date, to each holder of the 20 Notes, the 20 Notes or the 20 Notes to be redeemed at such holder’s email address or physical address appearing in the security register of such Notes. If we redeem less than all of the series of the 20 Notes, the 20 Notes or the 20 Notes, the Trustee will select the particular Notes of such series to be redeemed by lot, on a pro rata basis or by another method the Trustee deems fair and appropriate.</w:t>
      </w:r>
    </w:p>
    <w:p>
      <w:pPr>
        <w:spacing w:after="0" w:line="155"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20 Notes, the 20 Notes or 20 Notes or portions of such Notes called for redemption.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definitions shall be applicable to the covenants specified below:</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37" w:lineRule="exact"/>
        <w:rPr>
          <w:sz w:val="20"/>
          <w:szCs w:val="20"/>
          <w:color w:val="auto"/>
        </w:rPr>
      </w:pPr>
    </w:p>
    <w:p>
      <w:pPr>
        <w:ind w:right="4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41" w:lineRule="exact"/>
        <w:rPr>
          <w:sz w:val="20"/>
          <w:szCs w:val="20"/>
          <w:color w:val="auto"/>
        </w:rPr>
      </w:pPr>
    </w:p>
    <w:p>
      <w:pPr>
        <w:ind w:right="9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any mortgage, pledge, lien, security interest, conditional sale or other title retention agreement or other similar encumbrance.</w:t>
      </w:r>
    </w:p>
    <w:p>
      <w:pPr>
        <w:spacing w:after="0" w:line="119" w:lineRule="exact"/>
        <w:rPr>
          <w:sz w:val="20"/>
          <w:szCs w:val="20"/>
          <w:color w:val="auto"/>
        </w:rPr>
      </w:pPr>
    </w:p>
    <w:p>
      <w:pPr>
        <w:ind w:right="20" w:firstLine="45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10"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i w:val="1"/>
          <w:iCs w:val="1"/>
          <w:color w:val="auto"/>
        </w:rPr>
        <w:t xml:space="preserve">Limitation on Liens. </w:t>
      </w:r>
      <w:r>
        <w:rPr>
          <w:rFonts w:ascii="Arial" w:cs="Arial" w:eastAsia="Arial" w:hAnsi="Arial"/>
          <w:sz w:val="16"/>
          <w:szCs w:val="16"/>
          <w:color w:val="auto"/>
        </w:rPr>
        <w:t>For the benefit of the Notes, we will not, nor will we permit any Manufacturing Subsidiary to, issue or assume any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77" w:lineRule="exact"/>
        <w:rPr>
          <w:sz w:val="20"/>
          <w:szCs w:val="20"/>
          <w:color w:val="auto"/>
        </w:rPr>
      </w:pPr>
    </w:p>
    <w:p>
      <w:pPr>
        <w:ind w:left="900" w:right="940" w:hanging="446"/>
        <w:spacing w:after="0" w:line="23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73" w:lineRule="exact"/>
        <w:rPr>
          <w:rFonts w:ascii="Arial" w:cs="Arial" w:eastAsia="Arial" w:hAnsi="Arial"/>
          <w:sz w:val="18"/>
          <w:szCs w:val="18"/>
          <w:color w:val="auto"/>
        </w:rPr>
      </w:pPr>
    </w:p>
    <w:p>
      <w:pPr>
        <w:ind w:left="900" w:right="60" w:hanging="446"/>
        <w:spacing w:after="0" w:line="23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76" w:lineRule="exact"/>
        <w:rPr>
          <w:rFonts w:ascii="Arial" w:cs="Arial" w:eastAsia="Arial" w:hAnsi="Arial"/>
          <w:sz w:val="18"/>
          <w:szCs w:val="18"/>
          <w:color w:val="auto"/>
        </w:rPr>
      </w:pPr>
    </w:p>
    <w:p>
      <w:pPr>
        <w:jc w:val="both"/>
        <w:ind w:left="900" w:right="420" w:hanging="446"/>
        <w:spacing w:after="0" w:line="23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72" w:lineRule="exact"/>
        <w:rPr>
          <w:rFonts w:ascii="Arial" w:cs="Arial" w:eastAsia="Arial" w:hAnsi="Arial"/>
          <w:sz w:val="18"/>
          <w:szCs w:val="18"/>
          <w:color w:val="auto"/>
        </w:rPr>
      </w:pPr>
    </w:p>
    <w:p>
      <w:pPr>
        <w:ind w:left="900" w:right="100" w:hanging="446"/>
        <w:spacing w:after="0" w:line="23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76"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56"/>
        <w:spacing w:after="0" w:line="241" w:lineRule="auto"/>
        <w:rPr>
          <w:sz w:val="20"/>
          <w:szCs w:val="20"/>
          <w:color w:val="auto"/>
        </w:rPr>
      </w:pPr>
      <w:r>
        <w:rPr>
          <w:rFonts w:ascii="Arial" w:cs="Arial" w:eastAsia="Arial" w:hAnsi="Arial"/>
          <w:sz w:val="18"/>
          <w:szCs w:val="18"/>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73" w:lineRule="exact"/>
        <w:rPr>
          <w:sz w:val="20"/>
          <w:szCs w:val="20"/>
          <w:color w:val="auto"/>
        </w:rPr>
      </w:pPr>
    </w:p>
    <w:p>
      <w:pPr>
        <w:ind w:left="900" w:right="40" w:hanging="446"/>
        <w:spacing w:after="0" w:line="23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74" w:lineRule="exact"/>
        <w:rPr>
          <w:rFonts w:ascii="Arial" w:cs="Arial" w:eastAsia="Arial" w:hAnsi="Arial"/>
          <w:sz w:val="18"/>
          <w:szCs w:val="18"/>
          <w:color w:val="auto"/>
        </w:rPr>
      </w:pPr>
    </w:p>
    <w:p>
      <w:pPr>
        <w:ind w:left="900" w:right="120" w:hanging="446"/>
        <w:spacing w:after="0" w:line="23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following is a general discussion of material U.S.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61"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33" w:lineRule="exact"/>
        <w:rPr>
          <w:sz w:val="20"/>
          <w:szCs w:val="20"/>
          <w:color w:val="auto"/>
        </w:rPr>
      </w:pPr>
    </w:p>
    <w:p>
      <w:pPr>
        <w:ind w:right="220" w:firstLine="456"/>
        <w:spacing w:after="0" w:line="249"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48"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As used in this discussion, the term “U.S. Holder” means a beneficial owner of a Note that, for U.S. federal income tax purposes, is (i) 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56"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purposes of this “Material U.S. Federal Tax Considerations” section only, the term “Holder” means a U.S. Holder or a Non-U.S. Holder (as those terms are defined herein).</w:t>
      </w:r>
    </w:p>
    <w:p>
      <w:pPr>
        <w:spacing w:after="0" w:line="155"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Interest</w:t>
      </w:r>
    </w:p>
    <w:p>
      <w:pPr>
        <w:spacing w:after="0" w:line="9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Issue Discount</w:t>
      </w:r>
    </w:p>
    <w:p>
      <w:pPr>
        <w:spacing w:after="0" w:line="77"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(“OID”) for U.S. federal income tax purposes. However, if the stated principal amount of the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Retirement or Other Taxable Disposition of the Notes</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Information reporting generally will apply to a U.S. Holder with respect to payments of interest or accruals of OID (if any) on a Note and the payment of proceeds from the sale, exchange, redemption, retirement or other taxable disposition of a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55"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of Interest and Disposition of Notes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discussion below and to the provisions of an applicable tax treaty:</w:t>
      </w:r>
    </w:p>
    <w:p>
      <w:pPr>
        <w:spacing w:after="0" w:line="77" w:lineRule="exact"/>
        <w:rPr>
          <w:sz w:val="20"/>
          <w:szCs w:val="20"/>
          <w:color w:val="auto"/>
        </w:rPr>
      </w:pPr>
    </w:p>
    <w:p>
      <w:pPr>
        <w:ind w:left="900" w:right="100" w:hanging="446"/>
        <w:spacing w:after="0" w:line="23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74" w:lineRule="exact"/>
        <w:rPr>
          <w:rFonts w:ascii="Arial" w:cs="Arial" w:eastAsia="Arial" w:hAnsi="Arial"/>
          <w:sz w:val="18"/>
          <w:szCs w:val="18"/>
          <w:color w:val="auto"/>
        </w:rPr>
      </w:pPr>
    </w:p>
    <w:p>
      <w:pPr>
        <w:ind w:left="900" w:right="100" w:hanging="446"/>
        <w:spacing w:after="0" w:line="23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discussions of backup withholding and FATCA below, 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56"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5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If the requirements set forth in clause (a) above are not satisfied with respect to a Non-U.S. Holder, amounts treated as payments of interest generally will be subject to U.S. federal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55"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Provisions in the Code commonly referred to as “FATCA” impose withholding of 30% on payments of interest on the Notes and (for dispositions after December 31, 2018)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If FATCA withholding is imposed, a beneficial owner that is not a foreign financial institution generally will be entitled to a refund of any amounts withheld by filing a U.S. federal income tax return (which may entail a significant administrative burden). Prospective investors should consult their tax advisers regarding the effects of FATCA on their investment in the Notes.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5"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55"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Estate Tax</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 (ii) amounts treated as interest earned on the Note are not effectively connected with the conduct of a trade or business in the U.S. by such Non-U.S. Holder.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80" w:lineRule="exact"/>
        <w:rPr>
          <w:sz w:val="20"/>
          <w:szCs w:val="20"/>
          <w:color w:val="auto"/>
        </w:rPr>
      </w:pPr>
    </w:p>
    <w:p>
      <w:pPr>
        <w:jc w:val="both"/>
        <w:ind w:right="260" w:firstLine="456"/>
        <w:spacing w:after="0" w:line="237"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Deutsche Bank Securities Inc., Merrill Lynch, Pierce, Fenner &amp; Smith Incorporated and Morgan Stanley &amp; Co. LLC are acting as representatives, have severally agreed to purchase, and we have agreed to sell to each underwriter, the principal amount of the Notes set forth opposite the underwriter’s name.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5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460" w:type="dxa"/>
            <w:vAlign w:val="bottom"/>
            <w:vMerge w:val="restart"/>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of Floating</w:t>
            </w:r>
          </w:p>
        </w:tc>
        <w:tc>
          <w:tcPr>
            <w:tcW w:w="5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7"/>
        </w:trPr>
        <w:tc>
          <w:tcPr>
            <w:tcW w:w="840" w:type="dxa"/>
            <w:vAlign w:val="bottom"/>
            <w:tcBorders>
              <w:bottom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Rate Notes</w:t>
            </w:r>
          </w:p>
        </w:tc>
        <w:tc>
          <w:tcPr>
            <w:tcW w:w="50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Arial" w:cs="Arial" w:eastAsia="Arial" w:hAnsi="Arial"/>
                <w:sz w:val="14"/>
                <w:szCs w:val="14"/>
                <w:b w:val="1"/>
                <w:bCs w:val="1"/>
                <w:color w:val="auto"/>
              </w:rPr>
              <w:t>of 20   Notes</w:t>
            </w:r>
          </w:p>
        </w:tc>
        <w:tc>
          <w:tcPr>
            <w:tcW w:w="500" w:type="dxa"/>
            <w:vAlign w:val="bottom"/>
          </w:tcPr>
          <w:p>
            <w:pPr>
              <w:spacing w:after="0"/>
              <w:rPr>
                <w:sz w:val="13"/>
                <w:szCs w:val="13"/>
                <w:color w:val="auto"/>
              </w:rPr>
            </w:pPr>
          </w:p>
        </w:tc>
        <w:tc>
          <w:tcPr>
            <w:tcW w:w="900" w:type="dxa"/>
            <w:vAlign w:val="bottom"/>
          </w:tcPr>
          <w:p>
            <w:pPr>
              <w:ind w:left="20"/>
              <w:spacing w:after="0" w:line="152" w:lineRule="exact"/>
              <w:rPr>
                <w:sz w:val="20"/>
                <w:szCs w:val="20"/>
                <w:color w:val="auto"/>
              </w:rPr>
            </w:pPr>
            <w:r>
              <w:rPr>
                <w:rFonts w:ascii="Arial" w:cs="Arial" w:eastAsia="Arial" w:hAnsi="Arial"/>
                <w:sz w:val="14"/>
                <w:szCs w:val="14"/>
                <w:b w:val="1"/>
                <w:bCs w:val="1"/>
                <w:color w:val="auto"/>
              </w:rPr>
              <w:t>of 20   Notes</w:t>
            </w:r>
          </w:p>
        </w:tc>
        <w:tc>
          <w:tcPr>
            <w:tcW w:w="500" w:type="dxa"/>
            <w:vAlign w:val="bottom"/>
          </w:tcPr>
          <w:p>
            <w:pPr>
              <w:spacing w:after="0"/>
              <w:rPr>
                <w:sz w:val="13"/>
                <w:szCs w:val="13"/>
                <w:color w:val="auto"/>
              </w:rPr>
            </w:pPr>
          </w:p>
        </w:tc>
        <w:tc>
          <w:tcPr>
            <w:tcW w:w="940" w:type="dxa"/>
            <w:vAlign w:val="bottom"/>
          </w:tcPr>
          <w:p>
            <w:pPr>
              <w:spacing w:after="0" w:line="152" w:lineRule="exact"/>
              <w:rPr>
                <w:sz w:val="20"/>
                <w:szCs w:val="20"/>
                <w:color w:val="auto"/>
              </w:rPr>
            </w:pPr>
            <w:r>
              <w:rPr>
                <w:rFonts w:ascii="Arial" w:cs="Arial" w:eastAsia="Arial" w:hAnsi="Arial"/>
                <w:sz w:val="14"/>
                <w:szCs w:val="14"/>
                <w:b w:val="1"/>
                <w:bCs w:val="1"/>
                <w:color w:val="auto"/>
              </w:rPr>
              <w:t>of 20   Notes</w:t>
            </w:r>
          </w:p>
        </w:tc>
        <w:tc>
          <w:tcPr>
            <w:tcW w:w="0" w:type="dxa"/>
            <w:vAlign w:val="bottom"/>
          </w:tcPr>
          <w:p>
            <w:pPr>
              <w:spacing w:after="0"/>
              <w:rPr>
                <w:sz w:val="1"/>
                <w:szCs w:val="1"/>
                <w:color w:val="auto"/>
              </w:rPr>
            </w:pPr>
          </w:p>
        </w:tc>
      </w:tr>
      <w:tr>
        <w:trPr>
          <w:trHeight w:val="20"/>
        </w:trPr>
        <w:tc>
          <w:tcPr>
            <w:tcW w:w="6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00" w:type="dxa"/>
            <w:vAlign w:val="bottom"/>
            <w:gridSpan w:val="2"/>
            <w:vMerge w:val="continue"/>
            <w:shd w:val="clear" w:color="auto" w:fill="CCEEFF"/>
          </w:tcPr>
          <w:p>
            <w:pPr>
              <w:spacing w:after="0"/>
              <w:rPr>
                <w:sz w:val="16"/>
                <w:szCs w:val="16"/>
                <w:color w:val="auto"/>
              </w:rPr>
            </w:pPr>
          </w:p>
        </w:tc>
        <w:tc>
          <w:tcPr>
            <w:tcW w:w="900" w:type="dxa"/>
            <w:vAlign w:val="bottom"/>
            <w:shd w:val="clear" w:color="auto" w:fill="CCEEFF"/>
          </w:tcPr>
          <w:p>
            <w:pPr>
              <w:jc w:val="right"/>
              <w:ind w:right="726"/>
              <w:spacing w:after="0" w:line="189"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6300" w:type="dxa"/>
            <w:vAlign w:val="bottom"/>
            <w:gridSpan w:val="2"/>
          </w:tcPr>
          <w:p>
            <w:pPr>
              <w:spacing w:after="0" w:line="206" w:lineRule="exact"/>
              <w:rPr>
                <w:sz w:val="20"/>
                <w:szCs w:val="20"/>
                <w:color w:val="auto"/>
              </w:rPr>
            </w:pPr>
            <w:r>
              <w:rPr>
                <w:rFonts w:ascii="Arial" w:cs="Arial" w:eastAsia="Arial" w:hAnsi="Arial"/>
                <w:sz w:val="18"/>
                <w:szCs w:val="18"/>
                <w:color w:val="auto"/>
              </w:rPr>
              <w:t>Merrill Lynch, Pierce, Fenner &amp; Smith</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0" w:type="dxa"/>
            <w:vAlign w:val="bottom"/>
          </w:tcPr>
          <w:p>
            <w:pPr>
              <w:spacing w:after="0"/>
              <w:rPr>
                <w:sz w:val="17"/>
                <w:szCs w:val="17"/>
                <w:color w:val="auto"/>
              </w:rPr>
            </w:pPr>
          </w:p>
        </w:tc>
        <w:tc>
          <w:tcPr>
            <w:tcW w:w="5460" w:type="dxa"/>
            <w:vAlign w:val="bottom"/>
          </w:tcPr>
          <w:p>
            <w:pPr>
              <w:ind w:left="380"/>
              <w:spacing w:after="0" w:line="200" w:lineRule="exact"/>
              <w:rPr>
                <w:sz w:val="20"/>
                <w:szCs w:val="20"/>
                <w:color w:val="auto"/>
              </w:rPr>
            </w:pPr>
            <w:r>
              <w:rPr>
                <w:rFonts w:ascii="Arial" w:cs="Arial" w:eastAsia="Arial" w:hAnsi="Arial"/>
                <w:sz w:val="18"/>
                <w:szCs w:val="18"/>
                <w:color w:val="auto"/>
              </w:rPr>
              <w:t>Incorporated</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Goldman Sachs &amp; Co. LLC</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46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26"/>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 of the principal amount of the Floating Rate Notes, % of the principal amount of the 20 Notes, % of the principal amount of the 20 Notes and % of the principal amount of the 20 Notes. In addition, the underwriters may allow, and those selected dealers may reallow, a concession of up to % of the principal amount of the Floating Rate Notes, % of the principal amount of the 20 Notes, % of the principal amount of the 20 Notes and % of the principal amount of the 20 Notes to certain other dealers. After the initial offering, the underwriters may change the public offering prices and any other selling terms. The underwriters may offer and sell the Notes through certain of their affiliates. The offering of the Notes by the underwriters is subject to receipt and acceptance and subject to the underwriters’ right to reject any order in whole or in part.</w:t>
      </w:r>
    </w:p>
    <w:p>
      <w:pPr>
        <w:spacing w:after="0" w:line="154"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55" w:lineRule="exact"/>
        <w:rPr>
          <w:sz w:val="20"/>
          <w:szCs w:val="20"/>
          <w:color w:val="auto"/>
        </w:rPr>
      </w:pPr>
    </w:p>
    <w:p>
      <w:pPr>
        <w:jc w:val="both"/>
        <w:ind w:right="380" w:firstLine="456"/>
        <w:spacing w:after="0" w:line="238" w:lineRule="auto"/>
        <w:rPr>
          <w:sz w:val="20"/>
          <w:szCs w:val="20"/>
          <w:color w:val="auto"/>
        </w:rPr>
      </w:pPr>
      <w:r>
        <w:rPr>
          <w:rFonts w:ascii="Arial" w:cs="Arial" w:eastAsia="Arial" w:hAnsi="Arial"/>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continue after this offering. The underwriters have advised us that they currently intend to make a market in the Notes.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5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Floating Rate Note (expressed as a percentage)</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63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Total</w:t>
            </w:r>
          </w:p>
        </w:tc>
        <w:tc>
          <w:tcPr>
            <w:tcW w:w="412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w:t>
            </w:r>
          </w:p>
        </w:tc>
      </w:tr>
      <w:tr>
        <w:trPr>
          <w:trHeight w:val="203"/>
        </w:trPr>
        <w:tc>
          <w:tcPr>
            <w:tcW w:w="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w:t>
            </w:r>
          </w:p>
        </w:tc>
        <w:tc>
          <w:tcPr>
            <w:tcW w:w="5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Note (expressed as a percentage)</w:t>
            </w:r>
          </w:p>
        </w:tc>
        <w:tc>
          <w:tcPr>
            <w:tcW w:w="4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Total</w:t>
            </w:r>
          </w:p>
        </w:tc>
        <w:tc>
          <w:tcPr>
            <w:tcW w:w="412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w:t>
            </w:r>
          </w:p>
        </w:tc>
      </w:tr>
      <w:tr>
        <w:trPr>
          <w:trHeight w:val="203"/>
        </w:trPr>
        <w:tc>
          <w:tcPr>
            <w:tcW w:w="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w:t>
            </w:r>
          </w:p>
        </w:tc>
        <w:tc>
          <w:tcPr>
            <w:tcW w:w="5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Note (expressed as a percentage)</w:t>
            </w:r>
          </w:p>
        </w:tc>
        <w:tc>
          <w:tcPr>
            <w:tcW w:w="4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Total</w:t>
            </w:r>
          </w:p>
        </w:tc>
        <w:tc>
          <w:tcPr>
            <w:tcW w:w="4120" w:type="dxa"/>
            <w:vAlign w:val="bottom"/>
          </w:tcPr>
          <w:p>
            <w:pPr>
              <w:jc w:val="right"/>
              <w:ind w:right="1652"/>
              <w:spacing w:after="0" w:line="202" w:lineRule="exact"/>
              <w:rPr>
                <w:sz w:val="20"/>
                <w:szCs w:val="20"/>
                <w:color w:val="auto"/>
              </w:rPr>
            </w:pPr>
            <w:r>
              <w:rPr>
                <w:rFonts w:ascii="Arial" w:cs="Arial" w:eastAsia="Arial" w:hAnsi="Arial"/>
                <w:sz w:val="18"/>
                <w:szCs w:val="18"/>
                <w:color w:val="auto"/>
              </w:rPr>
              <w:t>$</w:t>
            </w:r>
          </w:p>
        </w:tc>
      </w:tr>
      <w:tr>
        <w:trPr>
          <w:trHeight w:val="203"/>
        </w:trPr>
        <w:tc>
          <w:tcPr>
            <w:tcW w:w="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w:t>
            </w:r>
          </w:p>
        </w:tc>
        <w:tc>
          <w:tcPr>
            <w:tcW w:w="5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Note (expressed as a percentage)</w:t>
            </w:r>
          </w:p>
        </w:tc>
        <w:tc>
          <w:tcPr>
            <w:tcW w:w="4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4"/>
        </w:trPr>
        <w:tc>
          <w:tcPr>
            <w:tcW w:w="6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120" w:type="dxa"/>
            <w:vAlign w:val="bottom"/>
          </w:tcPr>
          <w:p>
            <w:pPr>
              <w:jc w:val="right"/>
              <w:ind w:right="1652"/>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340" w:firstLine="456"/>
        <w:spacing w:after="0" w:line="239" w:lineRule="auto"/>
        <w:rPr>
          <w:sz w:val="20"/>
          <w:szCs w:val="20"/>
          <w:color w:val="auto"/>
        </w:rPr>
      </w:pPr>
      <w:r>
        <w:rPr>
          <w:rFonts w:ascii="Arial" w:cs="Arial" w:eastAsia="Arial" w:hAnsi="Arial"/>
          <w:sz w:val="18"/>
          <w:szCs w:val="18"/>
          <w:color w:val="auto"/>
        </w:rPr>
        <w:t>We estimate that our portion of the total expenses of the offering, exclusive of the underwriter discounts payable by us in the offering and reimbursements of certain expenses incurred in connection with the offering, will be $3 million.</w:t>
      </w:r>
    </w:p>
    <w:p>
      <w:pPr>
        <w:spacing w:after="0" w:line="155" w:lineRule="exact"/>
        <w:rPr>
          <w:sz w:val="20"/>
          <w:szCs w:val="20"/>
          <w:color w:val="auto"/>
        </w:rPr>
      </w:pPr>
    </w:p>
    <w:p>
      <w:pPr>
        <w:ind w:right="50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4" w:lineRule="exact"/>
        <w:rPr>
          <w:sz w:val="20"/>
          <w:szCs w:val="20"/>
          <w:color w:val="auto"/>
        </w:rPr>
      </w:pPr>
    </w:p>
    <w:p>
      <w:pPr>
        <w:ind w:left="780" w:right="200" w:hanging="326"/>
        <w:spacing w:after="0" w:line="23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73"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both"/>
        <w:ind w:right="600" w:firstLine="456"/>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55"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Affiliates of certain of the underwriters are lenders under the Three-Year Revolver and, as a result, may receive more than 5% of the net proceeds of this offering. To the extent any one underwriter, together with its affiliates, receives more than 5% of the net proceeds, such underwriter would be considered to have a “conflict of interest” in regard to this offering. Accordingly, because of the manner in which the proceeds will be used, this offering will be conducted in accordance with Rule 5121 of FINRA. Because this offering is of notes that are rated investment grade, pursuant to Rule 5121, the appointment of a “qualified independent underwriter” is not necessary. Any such underwriters who are considered to have a “conflict of interest” will not confirm sales to any account over which they exercise discretion without the specific written approval of the account holder.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9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relation to each Member State of the European Economic Area (each, a “Relevant Member State”), each underwriter has represented and agreed that it has not made and will not make an offer of Notes to the public in that Relevant Member State other than:</w:t>
      </w:r>
    </w:p>
    <w:p>
      <w:pPr>
        <w:spacing w:after="0" w:line="7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provided that no such offer of Notes shall require the Company or any underwriter to publish a prospectus pursuant to Article 3 of the Prospectus Directive or supplement a prospectus pursuant to Article 16 of the Prospectus Directive.</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(as amended, including by Directive 2010/73/EU) and includes any relevant implementing measure in the Relevant Member State.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900" w:right="40" w:hanging="446"/>
        <w:spacing w:after="0" w:line="23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Notes in circumstances in which Section 21(1) of the FSMA does not apply to us; and</w:t>
      </w:r>
    </w:p>
    <w:p>
      <w:pPr>
        <w:spacing w:after="0" w:line="73" w:lineRule="exact"/>
        <w:rPr>
          <w:rFonts w:ascii="Arial" w:cs="Arial" w:eastAsia="Arial" w:hAnsi="Arial"/>
          <w:sz w:val="18"/>
          <w:szCs w:val="18"/>
          <w:color w:val="auto"/>
        </w:rPr>
      </w:pPr>
    </w:p>
    <w:p>
      <w:pPr>
        <w:ind w:left="900" w:right="40" w:hanging="446"/>
        <w:spacing w:after="0" w:line="23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780" w:right="80" w:hanging="326"/>
        <w:spacing w:after="0" w:line="23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73" w:lineRule="exact"/>
        <w:rPr>
          <w:rFonts w:ascii="Arial" w:cs="Arial" w:eastAsia="Arial" w:hAnsi="Arial"/>
          <w:sz w:val="18"/>
          <w:szCs w:val="18"/>
          <w:color w:val="auto"/>
        </w:rPr>
      </w:pPr>
    </w:p>
    <w:p>
      <w:pPr>
        <w:ind w:left="780" w:right="40" w:hanging="326"/>
        <w:spacing w:after="0" w:line="23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97"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97"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validity of the Notes offered hereby will be passed upon for us by Jenner &amp; Block LLP. Certain legal matters will be passed upon for the underwriters by Davis Polk &amp; Wardwell LLP.</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GM SEC Filings (File No. 001-34960)</w:t>
            </w:r>
          </w:p>
        </w:tc>
        <w:tc>
          <w:tcPr>
            <w:tcW w:w="36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Period</w:t>
            </w:r>
          </w:p>
        </w:tc>
        <w:tc>
          <w:tcPr>
            <w:tcW w:w="4880" w:type="dxa"/>
            <w:vAlign w:val="bottom"/>
          </w:tcPr>
          <w:p>
            <w:pPr>
              <w:spacing w:after="0"/>
              <w:rPr>
                <w:sz w:val="14"/>
                <w:szCs w:val="14"/>
                <w:color w:val="auto"/>
              </w:rPr>
            </w:pPr>
          </w:p>
        </w:tc>
      </w:tr>
      <w:tr>
        <w:trPr>
          <w:trHeight w:val="199"/>
        </w:trPr>
        <w:tc>
          <w:tcPr>
            <w:tcW w:w="6060" w:type="dxa"/>
            <w:vAlign w:val="bottom"/>
            <w:gridSpan w:val="2"/>
          </w:tcPr>
          <w:p>
            <w:pPr>
              <w:spacing w:after="0" w:line="200" w:lineRule="exact"/>
              <w:rPr>
                <w:sz w:val="20"/>
                <w:szCs w:val="20"/>
                <w:color w:val="auto"/>
              </w:rPr>
            </w:pPr>
            <w:r>
              <w:rPr>
                <w:rFonts w:ascii="Arial" w:cs="Arial" w:eastAsia="Arial" w:hAnsi="Arial"/>
                <w:sz w:val="18"/>
                <w:szCs w:val="18"/>
                <w:color w:val="auto"/>
              </w:rPr>
              <w:t>Annual Report on Form 10-K</w:t>
            </w:r>
          </w:p>
        </w:tc>
        <w:tc>
          <w:tcPr>
            <w:tcW w:w="5320" w:type="dxa"/>
            <w:vAlign w:val="bottom"/>
            <w:gridSpan w:val="2"/>
          </w:tcPr>
          <w:p>
            <w:pPr>
              <w:spacing w:after="0" w:line="200" w:lineRule="exact"/>
              <w:rPr>
                <w:sz w:val="20"/>
                <w:szCs w:val="20"/>
                <w:color w:val="auto"/>
              </w:rPr>
            </w:pPr>
            <w:r>
              <w:rPr>
                <w:rFonts w:ascii="Arial" w:cs="Arial" w:eastAsia="Arial" w:hAnsi="Arial"/>
                <w:sz w:val="18"/>
                <w:szCs w:val="18"/>
                <w:color w:val="auto"/>
                <w:w w:val="99"/>
              </w:rPr>
              <w:t>Year ended December 31, 2016 (filed with the SEC on February 7,</w:t>
            </w:r>
          </w:p>
        </w:tc>
      </w:tr>
      <w:tr>
        <w:trPr>
          <w:trHeight w:val="211"/>
        </w:trPr>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2017)</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320" w:type="dxa"/>
            <w:vAlign w:val="bottom"/>
            <w:gridSpan w:val="2"/>
          </w:tcPr>
          <w:p>
            <w:pPr>
              <w:spacing w:after="0"/>
              <w:rPr>
                <w:sz w:val="20"/>
                <w:szCs w:val="20"/>
                <w:color w:val="auto"/>
              </w:rPr>
            </w:pPr>
            <w:r>
              <w:rPr>
                <w:rFonts w:ascii="Arial" w:cs="Arial" w:eastAsia="Arial" w:hAnsi="Arial"/>
                <w:sz w:val="18"/>
                <w:szCs w:val="18"/>
                <w:color w:val="auto"/>
                <w:w w:val="97"/>
              </w:rPr>
              <w:t>Quarter ended March 31, 2017 (filed with the SEC on April 28, 2017)</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and Quarter ended June 30, 2017 (filed with the SEC on July 25,</w:t>
            </w:r>
          </w:p>
        </w:tc>
      </w:tr>
      <w:tr>
        <w:trPr>
          <w:trHeight w:val="211"/>
        </w:trPr>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2017)</w:t>
            </w:r>
          </w:p>
        </w:tc>
      </w:tr>
      <w:tr>
        <w:trPr>
          <w:trHeight w:val="302"/>
        </w:trPr>
        <w:tc>
          <w:tcPr>
            <w:tcW w:w="606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320" w:type="dxa"/>
            <w:vAlign w:val="bottom"/>
            <w:gridSpan w:val="2"/>
          </w:tcPr>
          <w:p>
            <w:pPr>
              <w:spacing w:after="0"/>
              <w:rPr>
                <w:sz w:val="20"/>
                <w:szCs w:val="20"/>
                <w:color w:val="auto"/>
              </w:rPr>
            </w:pPr>
            <w:r>
              <w:rPr>
                <w:rFonts w:ascii="Arial" w:cs="Arial" w:eastAsia="Arial" w:hAnsi="Arial"/>
                <w:sz w:val="18"/>
                <w:szCs w:val="18"/>
                <w:color w:val="auto"/>
                <w:w w:val="97"/>
              </w:rPr>
              <w:t>Dates filed: January 10, 2017 (with respect to Item 8.01 only), March</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w w:val="99"/>
              </w:rPr>
              <w:t>6, 2017 (with respect to Items 1.01 and 2.05 only), March 28, 2017,</w:t>
            </w:r>
          </w:p>
        </w:tc>
      </w:tr>
      <w:tr>
        <w:trPr>
          <w:trHeight w:val="211"/>
        </w:trPr>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8"/>
              </w:rPr>
              <w:t>June 12, 2017 (as amended on June 26, 2017) and August 1, 2017</w:t>
            </w:r>
          </w:p>
        </w:tc>
      </w:tr>
    </w:tbl>
    <w:p>
      <w:pPr>
        <w:spacing w:after="0" w:line="154" w:lineRule="exact"/>
        <w:rPr>
          <w:sz w:val="20"/>
          <w:szCs w:val="20"/>
          <w:color w:val="auto"/>
        </w:rPr>
      </w:pPr>
    </w:p>
    <w:p>
      <w:pPr>
        <w:jc w:val="both"/>
        <w:ind w:right="260" w:firstLine="456"/>
        <w:spacing w:after="0" w:line="281" w:lineRule="auto"/>
        <w:rPr>
          <w:sz w:val="20"/>
          <w:szCs w:val="20"/>
          <w:color w:val="auto"/>
        </w:rPr>
      </w:pPr>
      <w:r>
        <w:rPr>
          <w:rFonts w:ascii="Arial" w:cs="Arial" w:eastAsia="Arial" w:hAnsi="Arial"/>
          <w:sz w:val="16"/>
          <w:szCs w:val="16"/>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Chief Accounting Officer and Global Business Services, at the following address and telephone number: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Motors Company</w:t>
      </w:r>
    </w:p>
    <w:p>
      <w:pPr>
        <w:ind w:left="460"/>
        <w:spacing w:after="0" w:line="234" w:lineRule="auto"/>
        <w:rPr>
          <w:sz w:val="20"/>
          <w:szCs w:val="20"/>
          <w:color w:val="auto"/>
        </w:rPr>
      </w:pPr>
      <w:r>
        <w:rPr>
          <w:rFonts w:ascii="Arial" w:cs="Arial" w:eastAsia="Arial" w:hAnsi="Arial"/>
          <w:sz w:val="18"/>
          <w:szCs w:val="18"/>
          <w:color w:val="auto"/>
        </w:rPr>
        <w:t>300 Renaissance Center</w:t>
      </w:r>
    </w:p>
    <w:p>
      <w:pPr>
        <w:ind w:left="460"/>
        <w:spacing w:after="0" w:line="235" w:lineRule="auto"/>
        <w:rPr>
          <w:sz w:val="20"/>
          <w:szCs w:val="20"/>
          <w:color w:val="auto"/>
        </w:rPr>
      </w:pPr>
      <w:r>
        <w:rPr>
          <w:rFonts w:ascii="Arial" w:cs="Arial" w:eastAsia="Arial" w:hAnsi="Arial"/>
          <w:sz w:val="18"/>
          <w:szCs w:val="18"/>
          <w:color w:val="auto"/>
        </w:rPr>
        <w:t>Detroit, Michigan 48265-3000</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 556-5000</w:t>
      </w:r>
    </w:p>
    <w:p>
      <w:pPr>
        <w:spacing w:after="0" w:line="158" w:lineRule="exact"/>
        <w:rPr>
          <w:sz w:val="20"/>
          <w:szCs w:val="20"/>
          <w:color w:val="auto"/>
        </w:rPr>
      </w:pPr>
    </w:p>
    <w:p>
      <w:pPr>
        <w:jc w:val="both"/>
        <w:ind w:right="360" w:firstLine="456"/>
        <w:spacing w:after="0" w:line="238"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11 Wall Street, New York, New York 10005, where our common stock is listed.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172085</wp:posOffset>
            </wp:positionV>
            <wp:extent cx="986155" cy="977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615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GENERAL MOTORS COMPANY</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177165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prospectus contains summaries of the general terms of the securities we may offer from time to time:</w:t>
      </w:r>
    </w:p>
    <w:p>
      <w:pPr>
        <w:spacing w:after="0" w:line="252" w:lineRule="exact"/>
        <w:rPr>
          <w:sz w:val="20"/>
          <w:szCs w:val="20"/>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in one or more series,</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252" w:lineRule="exact"/>
        <w:rPr>
          <w:rFonts w:ascii="Arial" w:cs="Arial" w:eastAsia="Arial" w:hAnsi="Arial"/>
          <w:sz w:val="18"/>
          <w:szCs w:val="18"/>
          <w:color w:val="auto"/>
        </w:rPr>
      </w:pPr>
    </w:p>
    <w:p>
      <w:pPr>
        <w:ind w:left="1120" w:hanging="20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1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480" w:firstLine="799"/>
        <w:spacing w:after="0" w:line="31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securities involves risk. See “</w:t>
      </w:r>
      <w:hyperlink w:anchor="page4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136525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799"/>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February 7, 2017.</w:t>
      </w:r>
    </w:p>
    <w:p>
      <w:pPr>
        <w:sectPr>
          <w:pgSz w:w="11900" w:h="16838" w:orient="portrait"/>
          <w:cols w:equalWidth="0" w:num="1">
            <w:col w:w="11380"/>
          </w:cols>
          <w:pgMar w:left="240" w:top="459" w:right="2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01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r>
      <w:tr>
        <w:trPr>
          <w:trHeight w:val="49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2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39"/>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ABOUT THIS PROSPECTUS</w:t>
              </w:r>
            </w:hyperlink>
          </w:p>
        </w:tc>
        <w:tc>
          <w:tcPr>
            <w:tcW w:w="2520" w:type="dxa"/>
            <w:vAlign w:val="bottom"/>
            <w:gridSpan w:val="9"/>
          </w:tcPr>
          <w:p>
            <w:pPr>
              <w:spacing w:after="0"/>
              <w:rPr>
                <w:sz w:val="24"/>
                <w:szCs w:val="24"/>
                <w:color w:val="auto"/>
              </w:rPr>
            </w:pPr>
          </w:p>
        </w:tc>
        <w:tc>
          <w:tcPr>
            <w:tcW w:w="1920" w:type="dxa"/>
            <w:vAlign w:val="bottom"/>
            <w:tcBorders>
              <w:top w:val="single" w:sz="8" w:color="auto"/>
            </w:tcBorders>
            <w:gridSpan w:val="4"/>
          </w:tcPr>
          <w:p>
            <w:pPr>
              <w:spacing w:after="0"/>
              <w:rPr>
                <w:sz w:val="24"/>
                <w:szCs w:val="24"/>
                <w:color w:val="auto"/>
              </w:rPr>
            </w:pPr>
          </w:p>
        </w:tc>
        <w:tc>
          <w:tcPr>
            <w:tcW w:w="346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RISK FACTORS</w:t>
              </w:r>
            </w:hyperlink>
          </w:p>
        </w:tc>
        <w:tc>
          <w:tcPr>
            <w:tcW w:w="3800" w:type="dxa"/>
            <w:vAlign w:val="bottom"/>
            <w:tcBorders>
              <w:top w:val="single" w:sz="8" w:color="0000EE"/>
            </w:tcBorders>
            <w:gridSpan w:val="16"/>
          </w:tcPr>
          <w:p>
            <w:pPr>
              <w:spacing w:after="0"/>
              <w:rPr>
                <w:sz w:val="24"/>
                <w:szCs w:val="24"/>
                <w:color w:val="auto"/>
              </w:rPr>
            </w:pPr>
          </w:p>
        </w:tc>
        <w:tc>
          <w:tcPr>
            <w:tcW w:w="508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GENERAL MOTORS COMPANY</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RATIO OF EARNINGS TO FIXED CHARGES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RATIO OF EARNINGS TO COMBINED FIXED CHARGES AND PREFERRED STOCK DIVIDENDS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080" w:type="dxa"/>
            <w:vAlign w:val="bottom"/>
            <w:tcBorders>
              <w:top w:val="single" w:sz="8" w:color="0000EE"/>
            </w:tcBorders>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USE OF PROCEEDS</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FORWARD-LOOKING STATEMENTS</w:t>
              </w:r>
            </w:hyperlink>
          </w:p>
        </w:tc>
        <w:tc>
          <w:tcPr>
            <w:tcW w:w="7200" w:type="dxa"/>
            <w:vAlign w:val="bottom"/>
            <w:gridSpan w:val="1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0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OVERVIEW OF OUR CAPITAL STOCK</w:t>
              </w:r>
            </w:hyperlink>
          </w:p>
        </w:tc>
        <w:tc>
          <w:tcPr>
            <w:tcW w:w="706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54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GENERAL DESCRIPTION OF SECURITIES THAT MAY BE OFFERED</w:t>
              </w:r>
            </w:hyperlink>
          </w:p>
        </w:tc>
        <w:tc>
          <w:tcPr>
            <w:tcW w:w="466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DESCRIPTION OF DEBT SECURITIES</w:t>
              </w:r>
            </w:hyperlink>
          </w:p>
        </w:tc>
        <w:tc>
          <w:tcPr>
            <w:tcW w:w="710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1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DESCRIPTION OF PREFERRED STOCK</w:t>
              </w:r>
            </w:hyperlink>
          </w:p>
        </w:tc>
        <w:tc>
          <w:tcPr>
            <w:tcW w:w="698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DESCRIPTION OF COMMON STOCK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960" w:type="dxa"/>
            <w:vAlign w:val="bottom"/>
            <w:tcBorders>
              <w:top w:val="single" w:sz="8" w:color="0000EE"/>
            </w:tcBorders>
            <w:gridSpan w:val="1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DESCRIPTION OF WARRANTS</w:t>
              </w:r>
            </w:hyperlink>
          </w:p>
        </w:tc>
        <w:tc>
          <w:tcPr>
            <w:tcW w:w="718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58">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766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14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8680" w:type="dxa"/>
            <w:vAlign w:val="bottom"/>
            <w:gridSpan w:val="1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140" w:type="dxa"/>
            <w:vAlign w:val="bottom"/>
            <w:gridSpan w:val="22"/>
          </w:tcPr>
          <w:p>
            <w:pPr>
              <w:spacing w:after="0"/>
              <w:rPr>
                <w:sz w:val="20"/>
                <w:szCs w:val="20"/>
                <w:color w:val="auto"/>
              </w:rPr>
            </w:pPr>
            <w:r>
              <w:rPr>
                <w:rFonts w:ascii="Arial" w:cs="Arial" w:eastAsia="Arial" w:hAnsi="Arial"/>
                <w:sz w:val="18"/>
                <w:szCs w:val="18"/>
                <w:color w:val="0000EE"/>
              </w:rPr>
              <w:t>WHERE YOU CAN FIND MORE INFORMATION</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gridSpan w:val="3"/>
          </w:tcPr>
          <w:p>
            <w:pPr>
              <w:jc w:val="center"/>
              <w:ind w:right="420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65"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70"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 xml:space="preserve">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9" w:right="259" w:bottom="1440" w:gutter="0" w:footer="0" w:header="0"/>
        </w:sectPr>
      </w:pPr>
    </w:p>
    <w:p>
      <w:pPr>
        <w:spacing w:after="0" w:line="212" w:lineRule="exact"/>
        <w:rPr>
          <w:sz w:val="20"/>
          <w:szCs w:val="20"/>
          <w:color w:val="auto"/>
        </w:rPr>
      </w:pPr>
    </w:p>
    <w:p>
      <w:pPr>
        <w:ind w:right="1580"/>
        <w:spacing w:after="0" w:line="257" w:lineRule="auto"/>
        <w:rPr>
          <w:sz w:val="20"/>
          <w:szCs w:val="20"/>
          <w:color w:val="auto"/>
        </w:rPr>
      </w:pPr>
      <w:r>
        <w:rPr>
          <w:rFonts w:ascii="Arial" w:cs="Arial" w:eastAsia="Arial" w:hAnsi="Arial"/>
          <w:sz w:val="18"/>
          <w:szCs w:val="18"/>
          <w:b w:val="1"/>
          <w:bCs w:val="1"/>
          <w:u w:val="single" w:color="auto"/>
          <w:color w:val="auto"/>
        </w:rPr>
        <w:t xml:space="preserve">GM SEC Filings (File No. 001-34960) </w:t>
      </w:r>
      <w:r>
        <w:rPr>
          <w:rFonts w:ascii="Arial" w:cs="Arial" w:eastAsia="Arial" w:hAnsi="Arial"/>
          <w:sz w:val="18"/>
          <w:szCs w:val="18"/>
          <w:color w:val="auto"/>
        </w:rPr>
        <w:t>Annual Report on Form 10-K Current Report on Form 8-K</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2016 (filed with the SEC on February 7,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Dates filed: January 10, 2017 (with respect to Item 8.01 only)</w:t>
      </w:r>
    </w:p>
    <w:p>
      <w:pPr>
        <w:spacing w:after="0" w:line="643" w:lineRule="exact"/>
        <w:rPr>
          <w:sz w:val="20"/>
          <w:szCs w:val="20"/>
          <w:color w:val="auto"/>
        </w:rPr>
      </w:pPr>
    </w:p>
    <w:p>
      <w:pPr>
        <w:sectPr>
          <w:pgSz w:w="11900" w:h="16838" w:orient="portrait"/>
          <w:cols w:equalWidth="0" w:num="2">
            <w:col w:w="4440" w:space="260"/>
            <w:col w:w="6700"/>
          </w:cols>
          <w:pgMar w:left="240" w:top="459" w:right="259" w:bottom="1440" w:gutter="0" w:footer="0" w:header="0"/>
          <w:type w:val="continuous"/>
        </w:sectPr>
      </w:pPr>
    </w:p>
    <w:p>
      <w:pPr>
        <w:jc w:val="both"/>
        <w:ind w:right="100" w:firstLine="799"/>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(313) 556-5000</w:t>
      </w:r>
    </w:p>
    <w:p>
      <w:pPr>
        <w:spacing w:after="0" w:line="211" w:lineRule="exact"/>
        <w:rPr>
          <w:sz w:val="20"/>
          <w:szCs w:val="20"/>
          <w:color w:val="auto"/>
        </w:rPr>
      </w:pPr>
    </w:p>
    <w:p>
      <w:pPr>
        <w:jc w:val="both"/>
        <w:ind w:right="60" w:firstLine="799"/>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2016, as updated by our subsequent filings under the Exchange Act, including Forms 10-Q and 8-K, and the risk factors contained or incorporated by reference in the accompanying prospectus supplement before acquiring any of the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9" w:lineRule="exact"/>
        <w:rPr>
          <w:sz w:val="20"/>
          <w:szCs w:val="20"/>
          <w:color w:val="auto"/>
        </w:rPr>
      </w:pPr>
    </w:p>
    <w:p>
      <w:pPr>
        <w:ind w:right="200" w:firstLine="799"/>
        <w:spacing w:after="0" w:line="308" w:lineRule="auto"/>
        <w:rPr>
          <w:sz w:val="20"/>
          <w:szCs w:val="20"/>
          <w:color w:val="auto"/>
        </w:rPr>
      </w:pPr>
      <w:r>
        <w:rPr>
          <w:rFonts w:ascii="Arial" w:cs="Arial" w:eastAsia="Arial" w:hAnsi="Arial"/>
          <w:sz w:val="17"/>
          <w:szCs w:val="17"/>
          <w:color w:val="auto"/>
        </w:rPr>
        <w:t>General Motors Company was incorporated as a Delaware corporation in 2009.We design, build and sell cars, trucks, crossovers and automobile parts worldwide. We also provide automotive financing services through General Motors Financial Company, Inc. (GM Financial).</w:t>
      </w:r>
    </w:p>
    <w:p>
      <w:pPr>
        <w:spacing w:after="0" w:line="147"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Our automotive operations meet the demands of our customers through our automotive segments: GM North America (GMNA), GM Europe (GME), GM International Operations (GMIO) and GM South America (GMSA).</w:t>
      </w:r>
    </w:p>
    <w:p>
      <w:pPr>
        <w:spacing w:after="0" w:line="17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9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1700" w:type="dxa"/>
            <w:vAlign w:val="bottom"/>
            <w:tcBorders>
              <w:top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2016</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2015</w:t>
            </w:r>
          </w:p>
        </w:tc>
        <w:tc>
          <w:tcPr>
            <w:tcW w:w="1600" w:type="dxa"/>
            <w:vAlign w:val="bottom"/>
            <w:tcBorders>
              <w:top w:val="single" w:sz="8" w:color="auto"/>
            </w:tcBorders>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2014</w:t>
            </w:r>
          </w:p>
        </w:tc>
        <w:tc>
          <w:tcPr>
            <w:tcW w:w="1580" w:type="dxa"/>
            <w:vAlign w:val="bottom"/>
            <w:tcBorders>
              <w:top w:val="single" w:sz="8" w:color="auto"/>
            </w:tcBorders>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2013</w:t>
            </w:r>
          </w:p>
        </w:tc>
        <w:tc>
          <w:tcPr>
            <w:tcW w:w="1500" w:type="dxa"/>
            <w:vAlign w:val="bottom"/>
            <w:tcBorders>
              <w:top w:val="single" w:sz="8" w:color="auto"/>
            </w:tcBorders>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8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in the year ended December 31, 2012 were inadequate to cover fixed charges. Additional earnings of $28.8 billion in the year ended December 31, 2012 would have been necessary to bring the ratio for this period to 1.0.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presents the consolidated ratio of our earnings to combined fixed charges and preferred stock dividends for each of the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20" w:type="dxa"/>
            <w:vAlign w:val="bottom"/>
            <w:tcBorders>
              <w:top w:val="single" w:sz="8" w:color="auto"/>
            </w:tcBorders>
          </w:tcPr>
          <w:p>
            <w:pPr>
              <w:jc w:val="right"/>
              <w:ind w:right="97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2014</w:t>
            </w:r>
          </w:p>
        </w:tc>
        <w:tc>
          <w:tcPr>
            <w:tcW w:w="2280" w:type="dxa"/>
            <w:vAlign w:val="bottom"/>
            <w:tcBorders>
              <w:top w:val="single" w:sz="8" w:color="auto"/>
            </w:tcBorders>
            <w:gridSpan w:val="2"/>
          </w:tcPr>
          <w:p>
            <w:pPr>
              <w:jc w:val="right"/>
              <w:ind w:right="790"/>
              <w:spacing w:after="0" w:line="155" w:lineRule="exact"/>
              <w:rPr>
                <w:sz w:val="20"/>
                <w:szCs w:val="20"/>
                <w:color w:val="auto"/>
              </w:rPr>
            </w:pPr>
            <w:r>
              <w:rPr>
                <w:rFonts w:ascii="Arial" w:cs="Arial" w:eastAsia="Arial" w:hAnsi="Arial"/>
                <w:sz w:val="14"/>
                <w:szCs w:val="14"/>
                <w:b w:val="1"/>
                <w:bCs w:val="1"/>
                <w:color w:val="auto"/>
              </w:rPr>
              <w:t>2013</w:t>
            </w:r>
          </w:p>
        </w:tc>
        <w:tc>
          <w:tcPr>
            <w:tcW w:w="2140" w:type="dxa"/>
            <w:vAlign w:val="bottom"/>
            <w:tcBorders>
              <w:top w:val="single" w:sz="8" w:color="auto"/>
            </w:tcBorders>
            <w:gridSpan w:val="2"/>
          </w:tcPr>
          <w:p>
            <w:pPr>
              <w:jc w:val="right"/>
              <w:ind w:right="730"/>
              <w:spacing w:after="0" w:line="155" w:lineRule="exact"/>
              <w:rPr>
                <w:sz w:val="20"/>
                <w:szCs w:val="20"/>
                <w:color w:val="auto"/>
              </w:rPr>
            </w:pPr>
            <w:r>
              <w:rPr>
                <w:rFonts w:ascii="Arial" w:cs="Arial" w:eastAsia="Arial" w:hAnsi="Arial"/>
                <w:sz w:val="14"/>
                <w:szCs w:val="14"/>
                <w:b w:val="1"/>
                <w:bCs w:val="1"/>
                <w:color w:val="auto"/>
              </w:rPr>
              <w:t>2012</w:t>
            </w:r>
          </w:p>
        </w:tc>
      </w:tr>
      <w:tr>
        <w:trPr>
          <w:trHeight w:val="210"/>
        </w:trPr>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December 2014 we redeemed the remaining outstanding shares of our Series A Fixed Rate Cumulative Perpetual Preferred Stock, and no shares of preferred stock were outstanding during the years ended December 31, 2016 and 2015.</w:t>
      </w:r>
    </w:p>
    <w:p>
      <w:pPr>
        <w:spacing w:after="0" w:line="197"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Earnings in the year ended December 31, 2012 were inadequate to cover combined fixed charges and preferred stock dividends. Additional earnings of $29.7 billion in the year ended December 31, 2012 would have been necessary to bring the ratio for this period to 1.0.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7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 OF OUR CAPITAL STOCK</w:t>
      </w:r>
    </w:p>
    <w:p>
      <w:pPr>
        <w:spacing w:after="0" w:line="121"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The following description of the material provisions of our capital stock is based upon our certificate of incorporation, as amended (Certificate of Incorporation), our bylaws, as amended (Bylaws), the warrant agreement for our outstanding warrants and applicable provisions of law, in each case as currently in effect as of the date of this prospectus, and is qualified in its entirety by reference to the provisions of those documents.</w:t>
      </w:r>
    </w:p>
    <w:p>
      <w:pPr>
        <w:spacing w:after="0" w:line="57" w:lineRule="exact"/>
        <w:rPr>
          <w:sz w:val="20"/>
          <w:szCs w:val="20"/>
          <w:color w:val="auto"/>
        </w:rPr>
      </w:pPr>
    </w:p>
    <w:p>
      <w:pPr>
        <w:ind w:right="600" w:firstLine="799"/>
        <w:spacing w:after="0" w:line="264"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As of January 31, 2017, 1,497,964,557 shares of our common stock were issued and outstanding. The general terms of our common stock are described below within the section of this prospectus entitled “Description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40" w:firstLine="799"/>
        <w:spacing w:after="0" w:line="342" w:lineRule="auto"/>
        <w:rPr>
          <w:sz w:val="20"/>
          <w:szCs w:val="20"/>
          <w:color w:val="auto"/>
        </w:rPr>
      </w:pPr>
      <w:r>
        <w:rPr>
          <w:rFonts w:ascii="Arial" w:cs="Arial" w:eastAsia="Arial" w:hAnsi="Arial"/>
          <w:sz w:val="16"/>
          <w:szCs w:val="16"/>
          <w:color w:val="auto"/>
        </w:rPr>
        <w:t>During 2009, we issued 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16" w:lineRule="exact"/>
        <w:rPr>
          <w:sz w:val="20"/>
          <w:szCs w:val="20"/>
          <w:color w:val="auto"/>
        </w:rPr>
      </w:pPr>
    </w:p>
    <w:p>
      <w:pPr>
        <w:ind w:firstLine="799"/>
        <w:spacing w:after="0" w:line="308" w:lineRule="auto"/>
        <w:rPr>
          <w:sz w:val="20"/>
          <w:szCs w:val="20"/>
          <w:color w:val="auto"/>
        </w:rPr>
      </w:pPr>
      <w:r>
        <w:rPr>
          <w:rFonts w:ascii="Arial" w:cs="Arial" w:eastAsia="Arial" w:hAnsi="Arial"/>
          <w:sz w:val="17"/>
          <w:szCs w:val="17"/>
          <w:color w:val="auto"/>
        </w:rPr>
        <w:t>As of January 31, 2017, there were a total of 41,873,696 of such warrants outstanding. The number of the warrants and the per share exercise price thereof are subject to adjustment as a result of certain events, including stock splits, reverse stock splits and stock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11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92" w:lineRule="exact"/>
        <w:rPr>
          <w:sz w:val="20"/>
          <w:szCs w:val="20"/>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1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117" w:lineRule="exact"/>
        <w:rPr>
          <w:sz w:val="20"/>
          <w:szCs w:val="20"/>
          <w:color w:val="auto"/>
        </w:rPr>
      </w:pPr>
    </w:p>
    <w:p>
      <w:pPr>
        <w:ind w:right="200" w:firstLine="799"/>
        <w:spacing w:after="0" w:line="279" w:lineRule="auto"/>
        <w:rPr>
          <w:sz w:val="20"/>
          <w:szCs w:val="20"/>
          <w:color w:val="auto"/>
        </w:rPr>
      </w:pPr>
      <w:r>
        <w:rPr>
          <w:rFonts w:ascii="Arial" w:cs="Arial" w:eastAsia="Arial" w:hAnsi="Arial"/>
          <w:sz w:val="17"/>
          <w:szCs w:val="17"/>
          <w:color w:val="auto"/>
        </w:rPr>
        <w:t>Our Bylaws provide that any vacancy occurring in our board of directors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the director joins the Board of Directors. Each such director shall hold office until his or her successor is elected and qualified, unless the director dies, resigns or otherwise leaves the Board of Directors before then.</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in the aggregate, of the voting power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shares of all classes of shares entitled to vote at such a meeting, subject to requirements and limitations set forth in our Bylaws.</w:t>
      </w:r>
    </w:p>
    <w:p>
      <w:pPr>
        <w:spacing w:after="0" w:line="129" w:lineRule="exact"/>
        <w:rPr>
          <w:sz w:val="20"/>
          <w:szCs w:val="20"/>
          <w:color w:val="auto"/>
        </w:rPr>
      </w:pPr>
    </w:p>
    <w:p>
      <w:pPr>
        <w:ind w:right="620" w:firstLine="799"/>
        <w:spacing w:after="0" w:line="277"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117"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Under our Bylaws, nominations for the election of directors may be made by the Board of Directors in accordance with the stockholders agreement dated October 15, 2009 among us and the other parties thereto or by any stockholder entitled to vote for the election of directors who complies with the applicable notice and other requirements set forth in our Bylaws.</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Proxy Access Nominations</w:t>
      </w:r>
    </w:p>
    <w:p>
      <w:pPr>
        <w:spacing w:after="0" w:line="117" w:lineRule="exact"/>
        <w:rPr>
          <w:sz w:val="20"/>
          <w:szCs w:val="20"/>
          <w:color w:val="auto"/>
        </w:rPr>
      </w:pPr>
    </w:p>
    <w:p>
      <w:pPr>
        <w:ind w:right="120" w:firstLine="799"/>
        <w:spacing w:after="0" w:line="273" w:lineRule="auto"/>
        <w:rPr>
          <w:sz w:val="20"/>
          <w:szCs w:val="20"/>
          <w:color w:val="auto"/>
        </w:rPr>
      </w:pPr>
      <w:r>
        <w:rPr>
          <w:rFonts w:ascii="Arial" w:cs="Arial" w:eastAsia="Arial" w:hAnsi="Arial"/>
          <w:sz w:val="17"/>
          <w:szCs w:val="17"/>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shareholder that satisfies (or by a group of no more than 20 shareholders that satisfy) various notice and other requirements specified in our Bylaws. Among other requirements in our Bylaws, such shareholder or group of shareholders would need to provide evidence verifying that the shareholder or group owns, and has owned continuously for the preceding three years, at least 3% of the issued and outstanding voting shares of the Company. Our Bylaws contain limitations on the maximum number of nominees submitted by shareholders that we would be required to include in our proxy statement for an annual meeting.</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117" w:lineRule="exact"/>
        <w:rPr>
          <w:sz w:val="20"/>
          <w:szCs w:val="20"/>
          <w:color w:val="auto"/>
        </w:rPr>
      </w:pPr>
    </w:p>
    <w:p>
      <w:pPr>
        <w:ind w:right="380" w:firstLine="799"/>
        <w:spacing w:after="0" w:line="279" w:lineRule="auto"/>
        <w:rPr>
          <w:sz w:val="20"/>
          <w:szCs w:val="20"/>
          <w:color w:val="auto"/>
        </w:rPr>
      </w:pPr>
      <w:r>
        <w:rPr>
          <w:rFonts w:ascii="Arial" w:cs="Arial" w:eastAsia="Arial" w:hAnsi="Arial"/>
          <w:sz w:val="17"/>
          <w:szCs w:val="17"/>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7" w:lineRule="exact"/>
        <w:rPr>
          <w:sz w:val="20"/>
          <w:szCs w:val="20"/>
          <w:color w:val="auto"/>
        </w:rPr>
      </w:pPr>
    </w:p>
    <w:p>
      <w:pPr>
        <w:ind w:left="1120" w:right="10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75" w:lineRule="exact"/>
        <w:rPr>
          <w:rFonts w:ascii="Arial" w:cs="Arial" w:eastAsia="Arial" w:hAnsi="Arial"/>
          <w:sz w:val="18"/>
          <w:szCs w:val="18"/>
          <w:color w:val="auto"/>
        </w:rPr>
      </w:pPr>
    </w:p>
    <w:p>
      <w:pPr>
        <w:ind w:left="1120" w:right="40" w:hanging="207"/>
        <w:spacing w:after="0" w:line="277"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120" w:right="100" w:hanging="207"/>
        <w:spacing w:after="0" w:line="342"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6"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7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GENERAL DESCRIPTION OF SECURITIES THAT MAY BE OFFERED</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securities may be offered, at any time and from time to time, pursuant to this prospectus:</w:t>
      </w:r>
    </w:p>
    <w:p>
      <w:pPr>
        <w:spacing w:after="0" w:line="252" w:lineRule="exact"/>
        <w:rPr>
          <w:sz w:val="20"/>
          <w:szCs w:val="20"/>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225"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799"/>
        <w:spacing w:after="0" w:line="302" w:lineRule="auto"/>
        <w:rPr>
          <w:sz w:val="20"/>
          <w:szCs w:val="20"/>
          <w:color w:val="auto"/>
        </w:rPr>
      </w:pPr>
      <w:r>
        <w:rPr>
          <w:rFonts w:ascii="Arial" w:cs="Arial" w:eastAsia="Arial" w:hAnsi="Arial"/>
          <w:sz w:val="16"/>
          <w:szCs w:val="16"/>
          <w:color w:val="auto"/>
        </w:rPr>
        <w:t>The debt securities offered by this prospectus will be issued under an indenture dated as of September 27, 2013 between us and The Bank of New York Mellon, as trustee, a copy of which has been filed as an exhibit to the registration statement of which this prospectus is a part and which is incorporated by reference herein,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54"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73"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121"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76" w:lineRule="exact"/>
        <w:rPr>
          <w:sz w:val="20"/>
          <w:szCs w:val="20"/>
          <w:color w:val="auto"/>
        </w:rPr>
      </w:pPr>
    </w:p>
    <w:p>
      <w:pPr>
        <w:ind w:left="1120" w:hanging="20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20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thereof,will bear interest, or any formula or other method or means by which such rate or rates shall be determined, by reference to an index or other fact or event or otherwise;</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130" w:lineRule="exact"/>
        <w:rPr>
          <w:rFonts w:ascii="Arial" w:cs="Arial" w:eastAsia="Arial" w:hAnsi="Arial"/>
          <w:sz w:val="18"/>
          <w:szCs w:val="18"/>
          <w:color w:val="auto"/>
        </w:rPr>
      </w:pPr>
    </w:p>
    <w:p>
      <w:pPr>
        <w:ind w:left="1120" w:right="180" w:hanging="20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75" w:lineRule="exact"/>
        <w:rPr>
          <w:rFonts w:ascii="Arial" w:cs="Arial" w:eastAsia="Arial" w:hAnsi="Arial"/>
          <w:sz w:val="18"/>
          <w:szCs w:val="18"/>
          <w:color w:val="auto"/>
        </w:rPr>
      </w:pPr>
    </w:p>
    <w:p>
      <w:pPr>
        <w:ind w:left="1120" w:right="140" w:hanging="207"/>
        <w:spacing w:after="0" w:line="312"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52" w:lineRule="exact"/>
        <w:rPr>
          <w:rFonts w:ascii="Arial" w:cs="Arial" w:eastAsia="Arial" w:hAnsi="Arial"/>
          <w:sz w:val="16"/>
          <w:szCs w:val="16"/>
          <w:color w:val="auto"/>
        </w:rPr>
      </w:pPr>
    </w:p>
    <w:p>
      <w:pPr>
        <w:ind w:left="1120" w:hanging="207"/>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any of our other debt;</w:t>
      </w:r>
    </w:p>
    <w:p>
      <w:pPr>
        <w:spacing w:after="0" w:line="142" w:lineRule="exact"/>
        <w:rPr>
          <w:rFonts w:ascii="Arial" w:cs="Arial" w:eastAsia="Arial" w:hAnsi="Arial"/>
          <w:sz w:val="17"/>
          <w:szCs w:val="17"/>
          <w:color w:val="auto"/>
        </w:rPr>
      </w:pPr>
    </w:p>
    <w:p>
      <w:pPr>
        <w:ind w:left="1120" w:hanging="20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130" w:lineRule="exact"/>
        <w:rPr>
          <w:rFonts w:ascii="Arial" w:cs="Arial" w:eastAsia="Arial" w:hAnsi="Arial"/>
          <w:sz w:val="18"/>
          <w:szCs w:val="18"/>
          <w:color w:val="auto"/>
        </w:rPr>
      </w:pPr>
    </w:p>
    <w:p>
      <w:pPr>
        <w:ind w:left="1120" w:right="440" w:hanging="20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75" w:lineRule="exact"/>
        <w:rPr>
          <w:rFonts w:ascii="Arial" w:cs="Arial" w:eastAsia="Arial" w:hAnsi="Arial"/>
          <w:sz w:val="18"/>
          <w:szCs w:val="18"/>
          <w:color w:val="auto"/>
        </w:rPr>
      </w:pPr>
    </w:p>
    <w:p>
      <w:pPr>
        <w:ind w:left="1120" w:right="240" w:hanging="20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75" w:lineRule="exact"/>
        <w:rPr>
          <w:rFonts w:ascii="Arial" w:cs="Arial" w:eastAsia="Arial" w:hAnsi="Arial"/>
          <w:sz w:val="18"/>
          <w:szCs w:val="18"/>
          <w:color w:val="auto"/>
        </w:rPr>
      </w:pPr>
    </w:p>
    <w:p>
      <w:pPr>
        <w:ind w:left="1120" w:right="120" w:hanging="207"/>
        <w:spacing w:after="0" w:line="259"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120" w:right="340" w:hanging="20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apply to, and covenants for the benefit of the holders of, the debt securities of that series;</w:t>
      </w:r>
    </w:p>
    <w:p>
      <w:pPr>
        <w:spacing w:after="0" w:line="75" w:lineRule="exact"/>
        <w:rPr>
          <w:rFonts w:ascii="Arial" w:cs="Arial" w:eastAsia="Arial" w:hAnsi="Arial"/>
          <w:sz w:val="18"/>
          <w:szCs w:val="18"/>
          <w:color w:val="auto"/>
        </w:rPr>
      </w:pPr>
    </w:p>
    <w:p>
      <w:pPr>
        <w:ind w:left="1120" w:right="100" w:hanging="20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17"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will describe any restrictive covenants for any series of debt securities in the applicable prospectus supplement for such debt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12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 (i) either:</w:t>
      </w:r>
    </w:p>
    <w:p>
      <w:pPr>
        <w:spacing w:after="0" w:line="76" w:lineRule="exact"/>
        <w:rPr>
          <w:sz w:val="20"/>
          <w:szCs w:val="20"/>
          <w:color w:val="auto"/>
        </w:rPr>
      </w:pPr>
    </w:p>
    <w:p>
      <w:pPr>
        <w:ind w:left="1120" w:hanging="20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or</w:t>
      </w:r>
    </w:p>
    <w:p>
      <w:pPr>
        <w:spacing w:after="0" w:line="127" w:lineRule="exact"/>
        <w:rPr>
          <w:rFonts w:ascii="Arial" w:cs="Arial" w:eastAsia="Arial" w:hAnsi="Arial"/>
          <w:sz w:val="18"/>
          <w:szCs w:val="18"/>
          <w:color w:val="auto"/>
        </w:rPr>
      </w:pPr>
    </w:p>
    <w:p>
      <w:pPr>
        <w:ind w:left="1120" w:right="180" w:hanging="207"/>
        <w:spacing w:after="0" w:line="274"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debt securities of such series not previously delivered to the trustee for cancellation (i) have become due and payable (whether at stated maturity, early redemption or otherwise), (ii) will become due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spacing w:after="0" w:line="290" w:lineRule="auto"/>
        <w:rPr>
          <w:sz w:val="20"/>
          <w:szCs w:val="20"/>
          <w:color w:val="auto"/>
        </w:rPr>
      </w:pPr>
      <w:r>
        <w:rPr>
          <w:rFonts w:ascii="Arial" w:cs="Arial" w:eastAsia="Arial" w:hAnsi="Arial"/>
          <w:sz w:val="15"/>
          <w:szCs w:val="15"/>
          <w:color w:val="auto"/>
        </w:rPr>
        <w:t>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 and</w:t>
      </w:r>
    </w:p>
    <w:p>
      <w:pPr>
        <w:spacing w:after="0" w:line="78" w:lineRule="exact"/>
        <w:rPr>
          <w:sz w:val="20"/>
          <w:szCs w:val="20"/>
          <w:color w:val="auto"/>
        </w:rPr>
      </w:pPr>
    </w:p>
    <w:p>
      <w:pPr>
        <w:ind w:left="1480" w:hanging="675"/>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130" w:lineRule="exact"/>
        <w:rPr>
          <w:rFonts w:ascii="Arial" w:cs="Arial" w:eastAsia="Arial" w:hAnsi="Arial"/>
          <w:sz w:val="18"/>
          <w:szCs w:val="18"/>
          <w:color w:val="auto"/>
        </w:rPr>
      </w:pPr>
    </w:p>
    <w:p>
      <w:pPr>
        <w:ind w:left="1480" w:right="340" w:hanging="675"/>
        <w:spacing w:after="0" w:line="342"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92" w:lineRule="exact"/>
        <w:rPr>
          <w:sz w:val="20"/>
          <w:szCs w:val="20"/>
          <w:color w:val="auto"/>
        </w:rPr>
      </w:pPr>
    </w:p>
    <w:p>
      <w:pPr>
        <w:ind w:left="1480" w:right="460" w:hanging="675"/>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75" w:lineRule="exact"/>
        <w:rPr>
          <w:rFonts w:ascii="Arial" w:cs="Arial" w:eastAsia="Arial" w:hAnsi="Arial"/>
          <w:sz w:val="18"/>
          <w:szCs w:val="18"/>
          <w:color w:val="auto"/>
        </w:rPr>
      </w:pPr>
    </w:p>
    <w:p>
      <w:pPr>
        <w:ind w:left="1480" w:right="60" w:hanging="675"/>
        <w:spacing w:after="0" w:line="259"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92" w:lineRule="exact"/>
        <w:rPr>
          <w:rFonts w:ascii="Arial" w:cs="Arial" w:eastAsia="Arial" w:hAnsi="Arial"/>
          <w:sz w:val="18"/>
          <w:szCs w:val="18"/>
          <w:color w:val="auto"/>
        </w:rPr>
      </w:pPr>
    </w:p>
    <w:p>
      <w:pPr>
        <w:ind w:left="1480" w:hanging="675"/>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130" w:lineRule="exact"/>
        <w:rPr>
          <w:rFonts w:ascii="Arial" w:cs="Arial" w:eastAsia="Arial" w:hAnsi="Arial"/>
          <w:sz w:val="18"/>
          <w:szCs w:val="18"/>
          <w:color w:val="auto"/>
        </w:rPr>
      </w:pPr>
    </w:p>
    <w:p>
      <w:pPr>
        <w:ind w:left="1480" w:hanging="675"/>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17" w:lineRule="exact"/>
        <w:rPr>
          <w:sz w:val="20"/>
          <w:szCs w:val="20"/>
          <w:color w:val="auto"/>
        </w:rPr>
      </w:pPr>
    </w:p>
    <w:p>
      <w:pPr>
        <w:jc w:val="both"/>
        <w:ind w:right="20" w:firstLine="799"/>
        <w:spacing w:after="0" w:line="286" w:lineRule="auto"/>
        <w:rPr>
          <w:sz w:val="20"/>
          <w:szCs w:val="20"/>
          <w:color w:val="auto"/>
        </w:rPr>
      </w:pPr>
      <w:r>
        <w:rPr>
          <w:rFonts w:ascii="Arial" w:cs="Arial" w:eastAsia="Arial" w:hAnsi="Arial"/>
          <w:sz w:val="17"/>
          <w:szCs w:val="17"/>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480" w:right="340" w:hanging="675"/>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75" w:lineRule="exact"/>
        <w:rPr>
          <w:rFonts w:ascii="Arial" w:cs="Arial" w:eastAsia="Arial" w:hAnsi="Arial"/>
          <w:sz w:val="18"/>
          <w:szCs w:val="18"/>
          <w:color w:val="auto"/>
        </w:rPr>
      </w:pPr>
    </w:p>
    <w:p>
      <w:pPr>
        <w:ind w:left="1920" w:right="640" w:hanging="210"/>
        <w:spacing w:after="0" w:line="277" w:lineRule="auto"/>
        <w:tabs>
          <w:tab w:leader="none" w:pos="1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cash in dollars (or such other currency or composite currency in which such debt securities are denominated) in an amount sufficient;</w:t>
      </w:r>
    </w:p>
    <w:p>
      <w:pPr>
        <w:spacing w:after="0" w:line="75" w:lineRule="exact"/>
        <w:rPr>
          <w:rFonts w:ascii="Arial" w:cs="Arial" w:eastAsia="Arial" w:hAnsi="Arial"/>
          <w:sz w:val="18"/>
          <w:szCs w:val="18"/>
          <w:color w:val="auto"/>
        </w:rPr>
      </w:pPr>
    </w:p>
    <w:p>
      <w:pPr>
        <w:ind w:left="1920" w:right="440" w:hanging="210"/>
        <w:spacing w:after="0" w:line="277" w:lineRule="auto"/>
        <w:tabs>
          <w:tab w:leader="none" w:pos="1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75" w:lineRule="exact"/>
        <w:rPr>
          <w:rFonts w:ascii="Arial" w:cs="Arial" w:eastAsia="Arial" w:hAnsi="Arial"/>
          <w:sz w:val="18"/>
          <w:szCs w:val="18"/>
          <w:color w:val="auto"/>
        </w:rPr>
      </w:pPr>
    </w:p>
    <w:p>
      <w:pPr>
        <w:ind w:left="1920" w:hanging="210"/>
        <w:spacing w:after="0"/>
        <w:tabs>
          <w:tab w:leader="none" w:pos="1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117" w:lineRule="exact"/>
        <w:rPr>
          <w:sz w:val="20"/>
          <w:szCs w:val="20"/>
          <w:color w:val="auto"/>
        </w:rPr>
      </w:pPr>
    </w:p>
    <w:p>
      <w:pPr>
        <w:ind w:left="1940" w:right="660"/>
        <w:spacing w:after="0" w:line="277" w:lineRule="auto"/>
        <w:rPr>
          <w:sz w:val="20"/>
          <w:szCs w:val="20"/>
          <w:color w:val="auto"/>
        </w:rPr>
      </w:pPr>
      <w:r>
        <w:rPr>
          <w:rFonts w:ascii="Arial" w:cs="Arial" w:eastAsia="Arial" w:hAnsi="Arial"/>
          <w:sz w:val="18"/>
          <w:szCs w:val="18"/>
          <w:color w:val="auto"/>
        </w:rPr>
        <w:t>in each case, in the written opinion of a nationally recognized firm of independent certified public accountants, to pay and discharge (1) the principal of (and premium, if any) and interest on such debt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40"/>
        <w:spacing w:after="0" w:line="274" w:lineRule="auto"/>
        <w:rPr>
          <w:sz w:val="20"/>
          <w:szCs w:val="20"/>
          <w:color w:val="auto"/>
        </w:rPr>
      </w:pPr>
      <w:r>
        <w:rPr>
          <w:rFonts w:ascii="Arial" w:cs="Arial" w:eastAsia="Arial" w:hAnsi="Arial"/>
          <w:sz w:val="17"/>
          <w:szCs w:val="17"/>
          <w:color w:val="auto"/>
        </w:rPr>
        <w:t>securities of such series at the stated maturity or redemption date and (2) any mandatory sinking fund payments applicable to the debt securities of such series on the day on which such payments are due and payable;</w:t>
      </w:r>
    </w:p>
    <w:p>
      <w:pPr>
        <w:spacing w:after="0" w:line="80" w:lineRule="exact"/>
        <w:rPr>
          <w:sz w:val="20"/>
          <w:szCs w:val="20"/>
          <w:color w:val="auto"/>
        </w:rPr>
      </w:pPr>
    </w:p>
    <w:p>
      <w:pPr>
        <w:ind w:left="1380" w:right="40" w:hanging="575"/>
        <w:spacing w:after="0" w:line="257"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94" w:lineRule="exact"/>
        <w:rPr>
          <w:rFonts w:ascii="Arial" w:cs="Arial" w:eastAsia="Arial" w:hAnsi="Arial"/>
          <w:sz w:val="17"/>
          <w:szCs w:val="17"/>
          <w:color w:val="auto"/>
        </w:rPr>
      </w:pPr>
    </w:p>
    <w:p>
      <w:pPr>
        <w:jc w:val="both"/>
        <w:ind w:left="1380" w:right="280" w:hanging="575"/>
        <w:spacing w:after="0" w:line="312" w:lineRule="auto"/>
        <w:tabs>
          <w:tab w:leader="none" w:pos="13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6" w:lineRule="exact"/>
        <w:rPr>
          <w:rFonts w:ascii="Arial" w:cs="Arial" w:eastAsia="Arial" w:hAnsi="Arial"/>
          <w:sz w:val="15"/>
          <w:szCs w:val="15"/>
          <w:color w:val="auto"/>
        </w:rPr>
      </w:pPr>
    </w:p>
    <w:p>
      <w:pPr>
        <w:ind w:left="1380" w:right="360" w:hanging="575"/>
        <w:spacing w:after="0" w:line="274"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legal defeasance or covenant defeasance will not result in a breach or violation of, or constitute a default under, any material agreement or instrument to which we are a party or by which we are bound;</w:t>
      </w:r>
    </w:p>
    <w:p>
      <w:pPr>
        <w:spacing w:after="0" w:line="80" w:lineRule="exact"/>
        <w:rPr>
          <w:rFonts w:ascii="Arial" w:cs="Arial" w:eastAsia="Arial" w:hAnsi="Arial"/>
          <w:sz w:val="17"/>
          <w:szCs w:val="17"/>
          <w:color w:val="auto"/>
        </w:rPr>
      </w:pPr>
    </w:p>
    <w:p>
      <w:pPr>
        <w:jc w:val="both"/>
        <w:ind w:left="1380" w:hanging="575"/>
        <w:spacing w:after="0" w:line="261"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91" w:lineRule="exact"/>
        <w:rPr>
          <w:rFonts w:ascii="Arial" w:cs="Arial" w:eastAsia="Arial" w:hAnsi="Arial"/>
          <w:sz w:val="17"/>
          <w:szCs w:val="17"/>
          <w:color w:val="auto"/>
        </w:rPr>
      </w:pPr>
    </w:p>
    <w:p>
      <w:pPr>
        <w:ind w:left="1380" w:right="480" w:hanging="575"/>
        <w:spacing w:after="0" w:line="274"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shall have delivered to the trustee an agreement whereby we irrevocably agree to forfeit our rights, if any, to extend the interest payment periods on such debt securities pursuant to the indenture;</w:t>
      </w:r>
    </w:p>
    <w:p>
      <w:pPr>
        <w:spacing w:after="0" w:line="80" w:lineRule="exact"/>
        <w:rPr>
          <w:rFonts w:ascii="Arial" w:cs="Arial" w:eastAsia="Arial" w:hAnsi="Arial"/>
          <w:sz w:val="17"/>
          <w:szCs w:val="17"/>
          <w:color w:val="auto"/>
        </w:rPr>
      </w:pPr>
    </w:p>
    <w:p>
      <w:pPr>
        <w:ind w:left="1380" w:right="120" w:hanging="575"/>
        <w:spacing w:after="0" w:line="285"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73" w:lineRule="exact"/>
        <w:rPr>
          <w:rFonts w:ascii="Arial" w:cs="Arial" w:eastAsia="Arial" w:hAnsi="Arial"/>
          <w:sz w:val="16"/>
          <w:szCs w:val="16"/>
          <w:color w:val="auto"/>
        </w:rPr>
      </w:pPr>
    </w:p>
    <w:p>
      <w:pPr>
        <w:ind w:left="1380" w:right="380" w:hanging="575"/>
        <w:spacing w:after="0" w:line="274"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with respect to the legal defeasance or covenant defeasance have been complied with; and</w:t>
      </w:r>
    </w:p>
    <w:p>
      <w:pPr>
        <w:spacing w:after="0" w:line="80" w:lineRule="exact"/>
        <w:rPr>
          <w:rFonts w:ascii="Arial" w:cs="Arial" w:eastAsia="Arial" w:hAnsi="Arial"/>
          <w:sz w:val="17"/>
          <w:szCs w:val="17"/>
          <w:color w:val="auto"/>
        </w:rPr>
      </w:pPr>
    </w:p>
    <w:p>
      <w:pPr>
        <w:ind w:left="1380" w:hanging="575"/>
        <w:spacing w:after="0" w:line="255"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 Merger or Sale of Assets</w:t>
      </w:r>
    </w:p>
    <w:p>
      <w:pPr>
        <w:spacing w:after="0" w:line="121" w:lineRule="exact"/>
        <w:rPr>
          <w:sz w:val="20"/>
          <w:szCs w:val="20"/>
          <w:color w:val="auto"/>
        </w:rPr>
      </w:pPr>
    </w:p>
    <w:p>
      <w:pPr>
        <w:ind w:right="300" w:firstLine="799"/>
        <w:spacing w:after="0" w:line="274" w:lineRule="auto"/>
        <w:rPr>
          <w:sz w:val="20"/>
          <w:szCs w:val="20"/>
          <w:color w:val="auto"/>
        </w:rPr>
      </w:pPr>
      <w:r>
        <w:rPr>
          <w:rFonts w:ascii="Arial" w:cs="Arial" w:eastAsia="Arial" w:hAnsi="Arial"/>
          <w:sz w:val="17"/>
          <w:szCs w:val="17"/>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80" w:lineRule="exact"/>
        <w:rPr>
          <w:sz w:val="20"/>
          <w:szCs w:val="20"/>
          <w:color w:val="auto"/>
        </w:rPr>
      </w:pPr>
    </w:p>
    <w:p>
      <w:pPr>
        <w:ind w:left="1380" w:right="20" w:hanging="575"/>
        <w:spacing w:after="0" w:line="255"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95" w:lineRule="exact"/>
        <w:rPr>
          <w:rFonts w:ascii="Arial" w:cs="Arial" w:eastAsia="Arial" w:hAnsi="Arial"/>
          <w:sz w:val="17"/>
          <w:szCs w:val="17"/>
          <w:color w:val="auto"/>
        </w:rPr>
      </w:pPr>
    </w:p>
    <w:p>
      <w:pPr>
        <w:ind w:left="1380" w:right="220" w:hanging="575"/>
        <w:spacing w:after="0" w:line="274" w:lineRule="auto"/>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that, after notice or lapse of time or both, would become an event of default, shall have occurred and be continuing;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100" w:hanging="575"/>
        <w:spacing w:after="0" w:line="261"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86" w:lineRule="exact"/>
        <w:rPr>
          <w:sz w:val="20"/>
          <w:szCs w:val="20"/>
          <w:color w:val="auto"/>
        </w:rPr>
      </w:pPr>
    </w:p>
    <w:p>
      <w:pPr>
        <w:ind w:right="240" w:firstLine="799"/>
        <w:spacing w:after="0" w:line="261" w:lineRule="auto"/>
        <w:rPr>
          <w:sz w:val="20"/>
          <w:szCs w:val="20"/>
          <w:color w:val="auto"/>
        </w:rPr>
      </w:pPr>
      <w:r>
        <w:rPr>
          <w:rFonts w:ascii="Arial" w:cs="Arial" w:eastAsia="Arial" w:hAnsi="Arial"/>
          <w:sz w:val="17"/>
          <w:szCs w:val="17"/>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w:t>
      </w:r>
    </w:p>
    <w:p>
      <w:pPr>
        <w:spacing w:after="0" w:line="121" w:lineRule="exact"/>
        <w:rPr>
          <w:sz w:val="20"/>
          <w:szCs w:val="20"/>
          <w:color w:val="auto"/>
        </w:rPr>
      </w:pPr>
    </w:p>
    <w:p>
      <w:pPr>
        <w:ind w:firstLine="799"/>
        <w:spacing w:after="0" w:line="290" w:lineRule="auto"/>
        <w:rPr>
          <w:sz w:val="20"/>
          <w:szCs w:val="20"/>
          <w:color w:val="auto"/>
        </w:rPr>
      </w:pPr>
      <w:r>
        <w:rPr>
          <w:rFonts w:ascii="Arial" w:cs="Arial" w:eastAsia="Arial" w:hAnsi="Arial"/>
          <w:sz w:val="15"/>
          <w:szCs w:val="15"/>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without the consent of the holder of each outstanding debt security so affected, no such supplemental indenture may:</w:t>
      </w:r>
    </w:p>
    <w:p>
      <w:pPr>
        <w:spacing w:after="0" w:line="75" w:lineRule="exact"/>
        <w:rPr>
          <w:sz w:val="20"/>
          <w:szCs w:val="20"/>
          <w:color w:val="auto"/>
        </w:rPr>
      </w:pPr>
    </w:p>
    <w:p>
      <w:pPr>
        <w:ind w:left="1380" w:hanging="575"/>
        <w:spacing w:after="0" w:line="271" w:lineRule="auto"/>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85" w:lineRule="exact"/>
        <w:rPr>
          <w:rFonts w:ascii="Arial" w:cs="Arial" w:eastAsia="Arial" w:hAnsi="Arial"/>
          <w:sz w:val="16"/>
          <w:szCs w:val="16"/>
          <w:color w:val="auto"/>
        </w:rPr>
      </w:pPr>
    </w:p>
    <w:p>
      <w:pPr>
        <w:ind w:left="1380" w:right="220" w:hanging="575"/>
        <w:spacing w:after="0" w:line="261"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91" w:lineRule="exact"/>
        <w:rPr>
          <w:rFonts w:ascii="Arial" w:cs="Arial" w:eastAsia="Arial" w:hAnsi="Arial"/>
          <w:sz w:val="17"/>
          <w:szCs w:val="17"/>
          <w:color w:val="auto"/>
        </w:rPr>
      </w:pPr>
    </w:p>
    <w:p>
      <w:pPr>
        <w:jc w:val="both"/>
        <w:ind w:left="1380" w:right="140" w:hanging="575"/>
        <w:spacing w:after="0" w:line="261"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91" w:lineRule="exact"/>
        <w:rPr>
          <w:rFonts w:ascii="Arial" w:cs="Arial" w:eastAsia="Arial" w:hAnsi="Arial"/>
          <w:sz w:val="17"/>
          <w:szCs w:val="17"/>
          <w:color w:val="auto"/>
        </w:rPr>
      </w:pPr>
    </w:p>
    <w:p>
      <w:pPr>
        <w:ind w:left="1380" w:hanging="575"/>
        <w:spacing w:after="0"/>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modify any of the above provisions.</w:t>
      </w:r>
    </w:p>
    <w:p>
      <w:pPr>
        <w:spacing w:after="0" w:line="223" w:lineRule="exact"/>
        <w:rPr>
          <w:sz w:val="20"/>
          <w:szCs w:val="20"/>
          <w:color w:val="auto"/>
        </w:rPr>
      </w:pPr>
    </w:p>
    <w:p>
      <w:pPr>
        <w:ind w:right="480" w:firstLine="799"/>
        <w:spacing w:after="0" w:line="274" w:lineRule="auto"/>
        <w:rPr>
          <w:sz w:val="20"/>
          <w:szCs w:val="20"/>
          <w:color w:val="auto"/>
        </w:rPr>
      </w:pPr>
      <w:r>
        <w:rPr>
          <w:rFonts w:ascii="Arial" w:cs="Arial" w:eastAsia="Arial" w:hAnsi="Arial"/>
          <w:sz w:val="17"/>
          <w:szCs w:val="17"/>
          <w:color w:val="auto"/>
        </w:rPr>
        <w:t>The indenture contains provisions permitting us and the trustee to enter into supplemental indentures, without the consent of the holders of any debt securities, for any of the following purposes:</w:t>
      </w:r>
    </w:p>
    <w:p>
      <w:pPr>
        <w:spacing w:after="0" w:line="80" w:lineRule="exact"/>
        <w:rPr>
          <w:sz w:val="20"/>
          <w:szCs w:val="20"/>
          <w:color w:val="auto"/>
        </w:rPr>
      </w:pPr>
    </w:p>
    <w:p>
      <w:pPr>
        <w:ind w:left="1380" w:right="40" w:hanging="575"/>
        <w:spacing w:after="0" w:line="274"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evidence the succession of another person to us and the assumption by any such successor of the covenants applicable to us under the indenture and in the debt securities; or</w:t>
      </w:r>
    </w:p>
    <w:p>
      <w:pPr>
        <w:spacing w:after="0" w:line="80" w:lineRule="exact"/>
        <w:rPr>
          <w:rFonts w:ascii="Arial" w:cs="Arial" w:eastAsia="Arial" w:hAnsi="Arial"/>
          <w:sz w:val="17"/>
          <w:szCs w:val="17"/>
          <w:color w:val="auto"/>
        </w:rPr>
      </w:pPr>
    </w:p>
    <w:p>
      <w:pPr>
        <w:ind w:left="1380" w:right="420" w:hanging="575"/>
        <w:spacing w:after="0" w:line="274"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add to the covenants applicable to us for the benefit of the holders of all or any series of debt securities, or to surrender any right or power conferred upon us under the indenture; or</w:t>
      </w:r>
    </w:p>
    <w:p>
      <w:pPr>
        <w:spacing w:after="0" w:line="80" w:lineRule="exact"/>
        <w:rPr>
          <w:rFonts w:ascii="Arial" w:cs="Arial" w:eastAsia="Arial" w:hAnsi="Arial"/>
          <w:sz w:val="17"/>
          <w:szCs w:val="17"/>
          <w:color w:val="auto"/>
        </w:rPr>
      </w:pPr>
    </w:p>
    <w:p>
      <w:pPr>
        <w:ind w:left="1380" w:hanging="575"/>
        <w:spacing w:after="0"/>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debt securities; or</w:t>
      </w:r>
    </w:p>
    <w:p>
      <w:pPr>
        <w:spacing w:after="0" w:line="128" w:lineRule="exact"/>
        <w:rPr>
          <w:rFonts w:ascii="Arial" w:cs="Arial" w:eastAsia="Arial" w:hAnsi="Arial"/>
          <w:sz w:val="17"/>
          <w:szCs w:val="17"/>
          <w:color w:val="auto"/>
        </w:rPr>
      </w:pPr>
    </w:p>
    <w:p>
      <w:pPr>
        <w:ind w:left="1380" w:right="80" w:hanging="575"/>
        <w:spacing w:after="0" w:line="261" w:lineRule="auto"/>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80" w:right="60" w:hanging="575"/>
        <w:spacing w:after="0" w:line="302" w:lineRule="auto"/>
        <w:tabs>
          <w:tab w:leader="none" w:pos="1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to change or eliminate any of the provisions of the indenture, or to add any new provision to the indenture, in respect of one or more series of debt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185" w:lineRule="exact"/>
        <w:rPr>
          <w:rFonts w:ascii="Arial" w:cs="Arial" w:eastAsia="Arial" w:hAnsi="Arial"/>
          <w:sz w:val="15"/>
          <w:szCs w:val="15"/>
          <w:color w:val="auto"/>
        </w:rPr>
      </w:pPr>
    </w:p>
    <w:p>
      <w:pPr>
        <w:ind w:left="1380" w:right="420" w:hanging="575"/>
        <w:spacing w:after="0" w:line="274" w:lineRule="auto"/>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add collateral security with respect to the debt securities of any series and to provide for the terms and conditions of release or substitution thereof; or</w:t>
      </w:r>
    </w:p>
    <w:p>
      <w:pPr>
        <w:spacing w:after="0" w:line="201" w:lineRule="exact"/>
        <w:rPr>
          <w:rFonts w:ascii="Arial" w:cs="Arial" w:eastAsia="Arial" w:hAnsi="Arial"/>
          <w:sz w:val="17"/>
          <w:szCs w:val="17"/>
          <w:color w:val="auto"/>
        </w:rPr>
      </w:pPr>
    </w:p>
    <w:p>
      <w:pPr>
        <w:ind w:left="1380" w:right="580" w:hanging="575"/>
        <w:spacing w:after="0" w:line="274" w:lineRule="auto"/>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establish the issuance of and establish the form, terms and conditions of any additional debt securities of any series or tranche thereof as permitted by the indenture; or</w:t>
      </w:r>
    </w:p>
    <w:p>
      <w:pPr>
        <w:spacing w:after="0" w:line="201" w:lineRule="exact"/>
        <w:rPr>
          <w:rFonts w:ascii="Arial" w:cs="Arial" w:eastAsia="Arial" w:hAnsi="Arial"/>
          <w:sz w:val="17"/>
          <w:szCs w:val="17"/>
          <w:color w:val="auto"/>
        </w:rPr>
      </w:pPr>
    </w:p>
    <w:p>
      <w:pPr>
        <w:ind w:left="1380" w:hanging="575"/>
        <w:spacing w:after="0"/>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all, or any series or tranche of, certificated debt securities; or</w:t>
      </w:r>
    </w:p>
    <w:p>
      <w:pPr>
        <w:spacing w:after="0" w:line="250" w:lineRule="exact"/>
        <w:rPr>
          <w:rFonts w:ascii="Arial" w:cs="Arial" w:eastAsia="Arial" w:hAnsi="Arial"/>
          <w:sz w:val="17"/>
          <w:szCs w:val="17"/>
          <w:color w:val="auto"/>
        </w:rPr>
      </w:pPr>
    </w:p>
    <w:p>
      <w:pPr>
        <w:ind w:left="1380" w:right="20" w:hanging="575"/>
        <w:spacing w:after="0" w:line="261" w:lineRule="auto"/>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13" w:lineRule="exact"/>
        <w:rPr>
          <w:rFonts w:ascii="Arial" w:cs="Arial" w:eastAsia="Arial" w:hAnsi="Arial"/>
          <w:sz w:val="17"/>
          <w:szCs w:val="17"/>
          <w:color w:val="auto"/>
        </w:rPr>
      </w:pPr>
    </w:p>
    <w:p>
      <w:pPr>
        <w:ind w:left="1380" w:hanging="575"/>
        <w:spacing w:after="0"/>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provide for a separate trustee or co-trustee; or</w:t>
      </w:r>
    </w:p>
    <w:p>
      <w:pPr>
        <w:spacing w:after="0" w:line="250" w:lineRule="exact"/>
        <w:rPr>
          <w:rFonts w:ascii="Arial" w:cs="Arial" w:eastAsia="Arial" w:hAnsi="Arial"/>
          <w:sz w:val="17"/>
          <w:szCs w:val="17"/>
          <w:color w:val="auto"/>
        </w:rPr>
      </w:pPr>
    </w:p>
    <w:p>
      <w:pPr>
        <w:ind w:left="1380" w:right="240" w:hanging="575"/>
        <w:spacing w:after="0" w:line="312" w:lineRule="auto"/>
        <w:tabs>
          <w:tab w:leader="none" w:pos="1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78" w:lineRule="exact"/>
        <w:rPr>
          <w:rFonts w:ascii="Arial" w:cs="Arial" w:eastAsia="Arial" w:hAnsi="Arial"/>
          <w:sz w:val="15"/>
          <w:szCs w:val="15"/>
          <w:color w:val="auto"/>
        </w:rPr>
      </w:pPr>
    </w:p>
    <w:p>
      <w:pPr>
        <w:ind w:left="1380" w:right="40" w:hanging="575"/>
        <w:spacing w:after="0" w:line="312" w:lineRule="auto"/>
        <w:tabs>
          <w:tab w:leader="none" w:pos="1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action shall not adversely affect the interests of the holders of debt securities of such series or tranche or any other series of debt securities in any material respect; or</w:t>
      </w:r>
    </w:p>
    <w:p>
      <w:pPr>
        <w:spacing w:after="0" w:line="178" w:lineRule="exact"/>
        <w:rPr>
          <w:rFonts w:ascii="Arial" w:cs="Arial" w:eastAsia="Arial" w:hAnsi="Arial"/>
          <w:sz w:val="15"/>
          <w:szCs w:val="15"/>
          <w:color w:val="auto"/>
        </w:rPr>
      </w:pPr>
    </w:p>
    <w:p>
      <w:pPr>
        <w:ind w:left="1380" w:right="460" w:hanging="575"/>
        <w:spacing w:after="0" w:line="342" w:lineRule="auto"/>
        <w:tabs>
          <w:tab w:leader="none" w:pos="1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156" w:lineRule="exact"/>
        <w:rPr>
          <w:rFonts w:ascii="Arial" w:cs="Arial" w:eastAsia="Arial" w:hAnsi="Arial"/>
          <w:sz w:val="15"/>
          <w:szCs w:val="15"/>
          <w:color w:val="auto"/>
        </w:rPr>
      </w:pPr>
    </w:p>
    <w:p>
      <w:pPr>
        <w:ind w:left="1380" w:right="60" w:hanging="575"/>
        <w:spacing w:after="0" w:line="274" w:lineRule="auto"/>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201" w:lineRule="exact"/>
        <w:rPr>
          <w:rFonts w:ascii="Arial" w:cs="Arial" w:eastAsia="Arial" w:hAnsi="Arial"/>
          <w:sz w:val="17"/>
          <w:szCs w:val="17"/>
          <w:color w:val="auto"/>
        </w:rPr>
      </w:pPr>
    </w:p>
    <w:p>
      <w:pPr>
        <w:jc w:val="both"/>
        <w:ind w:left="1380" w:right="320" w:hanging="575"/>
        <w:spacing w:after="0" w:line="261" w:lineRule="auto"/>
        <w:tabs>
          <w:tab w:leader="none" w:pos="1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to make any other provisions with respect to matters or questions arising under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86" w:lineRule="exact"/>
        <w:rPr>
          <w:sz w:val="20"/>
          <w:szCs w:val="20"/>
          <w:color w:val="auto"/>
        </w:rPr>
      </w:pPr>
    </w:p>
    <w:p>
      <w:pPr>
        <w:ind w:right="80" w:firstLine="799"/>
        <w:spacing w:after="0" w:line="342" w:lineRule="auto"/>
        <w:rPr>
          <w:sz w:val="20"/>
          <w:szCs w:val="20"/>
          <w:color w:val="auto"/>
        </w:rPr>
      </w:pPr>
      <w:r>
        <w:rPr>
          <w:rFonts w:ascii="Arial" w:cs="Arial" w:eastAsia="Arial" w:hAnsi="Arial"/>
          <w:sz w:val="15"/>
          <w:szCs w:val="15"/>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121" w:lineRule="exact"/>
        <w:rPr>
          <w:sz w:val="20"/>
          <w:szCs w:val="20"/>
          <w:color w:val="auto"/>
        </w:rPr>
      </w:pPr>
    </w:p>
    <w:p>
      <w:pPr>
        <w:ind w:right="240" w:firstLine="799"/>
        <w:spacing w:after="0" w:line="274" w:lineRule="auto"/>
        <w:rPr>
          <w:sz w:val="20"/>
          <w:szCs w:val="20"/>
          <w:color w:val="auto"/>
        </w:rPr>
      </w:pPr>
      <w:r>
        <w:rPr>
          <w:rFonts w:ascii="Arial" w:cs="Arial" w:eastAsia="Arial" w:hAnsi="Arial"/>
          <w:sz w:val="17"/>
          <w:szCs w:val="17"/>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202" w:lineRule="exact"/>
        <w:rPr>
          <w:sz w:val="20"/>
          <w:szCs w:val="20"/>
          <w:color w:val="auto"/>
        </w:rPr>
      </w:pPr>
    </w:p>
    <w:p>
      <w:pPr>
        <w:ind w:left="1380" w:hanging="575"/>
        <w:spacing w:after="0" w:line="274" w:lineRule="auto"/>
        <w:tabs>
          <w:tab w:leader="none" w:pos="1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default in the payment of interest on any debt security of that series when it becomes due and payable, and continuance of such default for a period of 30 days;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valid extension of the interest payment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period by us as permitted under the terms of any debt security of that series shall not constitute a failure to pay interest for this purpose;</w:t>
      </w:r>
    </w:p>
    <w:p>
      <w:pPr>
        <w:spacing w:after="0" w:line="154" w:lineRule="exact"/>
        <w:rPr>
          <w:sz w:val="20"/>
          <w:szCs w:val="20"/>
          <w:color w:val="auto"/>
        </w:rPr>
      </w:pPr>
    </w:p>
    <w:p>
      <w:pPr>
        <w:ind w:left="1480" w:right="120" w:hanging="675"/>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75" w:lineRule="exact"/>
        <w:rPr>
          <w:rFonts w:ascii="Arial" w:cs="Arial" w:eastAsia="Arial" w:hAnsi="Arial"/>
          <w:sz w:val="18"/>
          <w:szCs w:val="18"/>
          <w:color w:val="auto"/>
        </w:rPr>
      </w:pPr>
    </w:p>
    <w:p>
      <w:pPr>
        <w:ind w:left="1480" w:right="40" w:hanging="675"/>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75" w:lineRule="exact"/>
        <w:rPr>
          <w:rFonts w:ascii="Arial" w:cs="Arial" w:eastAsia="Arial" w:hAnsi="Arial"/>
          <w:sz w:val="18"/>
          <w:szCs w:val="18"/>
          <w:color w:val="auto"/>
        </w:rPr>
      </w:pPr>
    </w:p>
    <w:p>
      <w:pPr>
        <w:ind w:left="1480" w:right="80" w:hanging="675"/>
        <w:spacing w:after="0" w:line="25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93" w:lineRule="exact"/>
        <w:rPr>
          <w:rFonts w:ascii="Arial" w:cs="Arial" w:eastAsia="Arial" w:hAnsi="Arial"/>
          <w:sz w:val="18"/>
          <w:szCs w:val="18"/>
          <w:color w:val="auto"/>
        </w:rPr>
      </w:pPr>
    </w:p>
    <w:p>
      <w:pPr>
        <w:ind w:left="1480" w:hanging="675"/>
        <w:spacing w:after="0"/>
        <w:tabs>
          <w:tab w:leader="none" w:pos="1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events of bankruptcy, insolvency, reorganization, administration or similar proceedings with respect to us have occurred; or</w:t>
      </w:r>
    </w:p>
    <w:p>
      <w:pPr>
        <w:spacing w:after="0" w:line="142" w:lineRule="exact"/>
        <w:rPr>
          <w:rFonts w:ascii="Arial" w:cs="Arial" w:eastAsia="Arial" w:hAnsi="Arial"/>
          <w:sz w:val="17"/>
          <w:szCs w:val="17"/>
          <w:color w:val="auto"/>
        </w:rPr>
      </w:pPr>
    </w:p>
    <w:p>
      <w:pPr>
        <w:ind w:left="1480" w:hanging="675"/>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2" w:lineRule="exact"/>
        <w:rPr>
          <w:sz w:val="20"/>
          <w:szCs w:val="20"/>
          <w:color w:val="auto"/>
        </w:rPr>
      </w:pPr>
    </w:p>
    <w:p>
      <w:pPr>
        <w:ind w:right="80" w:firstLine="799"/>
        <w:spacing w:after="0" w:line="288"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w:t>
      </w:r>
    </w:p>
    <w:p>
      <w:pPr>
        <w:ind w:firstLine="8"/>
        <w:spacing w:after="0" w:line="268" w:lineRule="auto"/>
        <w:tabs>
          <w:tab w:leader="none" w:pos="2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82"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52" w:lineRule="exact"/>
        <w:rPr>
          <w:sz w:val="20"/>
          <w:szCs w:val="20"/>
          <w:color w:val="auto"/>
        </w:rPr>
      </w:pPr>
    </w:p>
    <w:p>
      <w:pPr>
        <w:ind w:left="1120" w:hanging="315"/>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53" w:lineRule="exact"/>
        <w:rPr>
          <w:rFonts w:ascii="Arial" w:cs="Arial" w:eastAsia="Arial" w:hAnsi="Arial"/>
          <w:sz w:val="16"/>
          <w:szCs w:val="16"/>
          <w:color w:val="auto"/>
        </w:rPr>
      </w:pPr>
    </w:p>
    <w:p>
      <w:pPr>
        <w:ind w:left="1120" w:hanging="315"/>
        <w:spacing w:after="0" w:line="277"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60" w:hanging="315"/>
        <w:spacing w:after="0" w:line="277"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70"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that if an event of default has occurred and is continuing with respect to more than one series of debt securities of equal ranking,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87"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20" w:right="500" w:hanging="315"/>
        <w:spacing w:after="0" w:line="27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75" w:lineRule="exact"/>
        <w:rPr>
          <w:rFonts w:ascii="Arial" w:cs="Arial" w:eastAsia="Arial" w:hAnsi="Arial"/>
          <w:sz w:val="18"/>
          <w:szCs w:val="18"/>
          <w:color w:val="auto"/>
        </w:rPr>
      </w:pPr>
    </w:p>
    <w:p>
      <w:pPr>
        <w:ind w:left="1120" w:right="140" w:hanging="315"/>
        <w:spacing w:after="0" w:line="286" w:lineRule="auto"/>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66"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117"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5620" w:right="3500" w:hanging="4815"/>
        <w:spacing w:after="0" w:line="449" w:lineRule="auto"/>
        <w:tabs>
          <w:tab w:leader="none" w:pos="11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 14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80" w:firstLine="799"/>
        <w:spacing w:after="0" w:line="297"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8" w:lineRule="exact"/>
        <w:rPr>
          <w:sz w:val="20"/>
          <w:szCs w:val="20"/>
          <w:color w:val="auto"/>
        </w:rPr>
      </w:pPr>
    </w:p>
    <w:p>
      <w:pPr>
        <w:jc w:val="both"/>
        <w:ind w:right="160" w:firstLine="799"/>
        <w:spacing w:after="0" w:line="264"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7" w:lineRule="exact"/>
        <w:rPr>
          <w:sz w:val="20"/>
          <w:szCs w:val="20"/>
          <w:color w:val="auto"/>
        </w:rPr>
      </w:pPr>
    </w:p>
    <w:p>
      <w:pPr>
        <w:ind w:left="1120" w:hanging="315"/>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130" w:lineRule="exact"/>
        <w:rPr>
          <w:rFonts w:ascii="Arial" w:cs="Arial" w:eastAsia="Arial" w:hAnsi="Arial"/>
          <w:sz w:val="18"/>
          <w:szCs w:val="18"/>
          <w:color w:val="auto"/>
        </w:rPr>
      </w:pPr>
    </w:p>
    <w:p>
      <w:pPr>
        <w:ind w:left="1120" w:right="520" w:hanging="315"/>
        <w:spacing w:after="0" w:line="277"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71"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jc w:val="both"/>
        <w:ind w:right="40" w:firstLine="799"/>
        <w:spacing w:after="0" w:line="25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A global security may be exchanged for debt securities in physical, certificated form (which would be registered in such names as DTC shall direct) only if:</w:t>
      </w:r>
    </w:p>
    <w:p>
      <w:pPr>
        <w:spacing w:after="0" w:line="76" w:lineRule="exact"/>
        <w:rPr>
          <w:sz w:val="20"/>
          <w:szCs w:val="20"/>
          <w:color w:val="auto"/>
        </w:rPr>
      </w:pPr>
    </w:p>
    <w:p>
      <w:pPr>
        <w:ind w:left="1120" w:right="340" w:hanging="315"/>
        <w:spacing w:after="0" w:line="277"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75" w:lineRule="exact"/>
        <w:rPr>
          <w:rFonts w:ascii="Arial" w:cs="Arial" w:eastAsia="Arial" w:hAnsi="Arial"/>
          <w:sz w:val="18"/>
          <w:szCs w:val="18"/>
          <w:color w:val="auto"/>
        </w:rPr>
      </w:pPr>
    </w:p>
    <w:p>
      <w:pPr>
        <w:ind w:left="1120" w:hanging="315"/>
        <w:spacing w:after="0"/>
        <w:tabs>
          <w:tab w:leader="none" w:pos="1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1120" w:hanging="315"/>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130" w:lineRule="exact"/>
        <w:rPr>
          <w:rFonts w:ascii="Arial" w:cs="Arial" w:eastAsia="Arial" w:hAnsi="Arial"/>
          <w:sz w:val="18"/>
          <w:szCs w:val="18"/>
          <w:color w:val="auto"/>
        </w:rPr>
      </w:pPr>
    </w:p>
    <w:p>
      <w:pPr>
        <w:ind w:left="1120" w:hanging="315"/>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31, 2017, there were no shares of preferred stock outstanding. The terms of any shares of preferred stock offered pursuant to this prospectus will be set forth in an applicable prospectus supplement.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Our only class of common stock is our common stock, par value $0.01 per share. Our Certificate of Incorporation currently authorizes our Board of Directors to issue 5,000,000,000 shares of common stock. As of January 31, 2017 1,497,964,557 shares of our common stock were issued and outstanding. There are no redemption or sinking fund provisions applicable to our common stock. All outstanding shares of our common stock are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7"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380" w:firstLine="799"/>
        <w:spacing w:after="0" w:line="264"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exclusive right to vote for the election of directors and for all other purposes. Our common stockholders do not possess cumulative voting rights.</w:t>
      </w:r>
    </w:p>
    <w:p>
      <w:pPr>
        <w:spacing w:after="0" w:line="23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right="300" w:firstLine="799"/>
        <w:spacing w:after="0" w:line="286" w:lineRule="auto"/>
        <w:rPr>
          <w:sz w:val="20"/>
          <w:szCs w:val="20"/>
          <w:color w:val="auto"/>
        </w:rPr>
      </w:pPr>
      <w:r>
        <w:rPr>
          <w:rFonts w:ascii="Arial" w:cs="Arial" w:eastAsia="Arial" w:hAnsi="Arial"/>
          <w:sz w:val="17"/>
          <w:szCs w:val="17"/>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is listed on the New York Stock Exchange under the symbol “GM” and on the Toronto Stock Exchange under the symbol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“GMM.”</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Jenner &amp; Block LLP.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The financial statements of General Motors Company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7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financial statements of SAIC General Motors Corp., Ltd. incorporated in this Prospectus by reference from the Company’s Annual Report on Form 10-K have been audited by Deloitte Touche Tohmatsu Certified Public Accountants LLP, independent auditors, as stated in their report, which is incorporated herein by reference. Such financial statements have been so incorporated in reliance upon the report of such firm given upon their authority as experts in accounting and auditing.</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with the SEC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2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981075</wp:posOffset>
            </wp:positionV>
            <wp:extent cx="4528185" cy="634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40" w:hanging="1275"/>
        <w:spacing w:after="0"/>
        <w:tabs>
          <w:tab w:leader="none" w:pos="4240" w:val="left"/>
        </w:tabs>
        <w:numPr>
          <w:ilvl w:val="0"/>
          <w:numId w:val="50"/>
        </w:numPr>
        <w:rPr>
          <w:rFonts w:ascii="Arial" w:cs="Arial" w:eastAsia="Arial" w:hAnsi="Arial"/>
          <w:sz w:val="24"/>
          <w:szCs w:val="24"/>
          <w:b w:val="1"/>
          <w:bCs w:val="1"/>
          <w:color w:val="auto"/>
        </w:rPr>
      </w:pPr>
      <w:r>
        <w:rPr>
          <w:rFonts w:ascii="Arial" w:cs="Arial" w:eastAsia="Arial" w:hAnsi="Arial"/>
          <w:sz w:val="24"/>
          <w:szCs w:val="24"/>
          <w:b w:val="1"/>
          <w:bCs w:val="1"/>
          <w:color w:val="auto"/>
        </w:rPr>
        <w:t>Floating Rate Senior Notes due 20</w:t>
      </w:r>
    </w:p>
    <w:p>
      <w:pPr>
        <w:spacing w:after="0" w:line="38" w:lineRule="exact"/>
        <w:rPr>
          <w:sz w:val="20"/>
          <w:szCs w:val="20"/>
          <w:color w:val="auto"/>
        </w:rPr>
      </w:pPr>
    </w:p>
    <w:p>
      <w:pPr>
        <w:ind w:left="4920" w:hanging="1293"/>
        <w:spacing w:after="0"/>
        <w:tabs>
          <w:tab w:leader="none" w:pos="4920" w:val="left"/>
        </w:tabs>
        <w:numPr>
          <w:ilvl w:val="0"/>
          <w:numId w:val="51"/>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8" w:lineRule="exact"/>
        <w:rPr>
          <w:sz w:val="20"/>
          <w:szCs w:val="20"/>
          <w:color w:val="auto"/>
        </w:rPr>
      </w:pPr>
    </w:p>
    <w:p>
      <w:pPr>
        <w:ind w:left="4920" w:hanging="1293"/>
        <w:spacing w:after="0"/>
        <w:tabs>
          <w:tab w:leader="none" w:pos="4920" w:val="left"/>
        </w:tabs>
        <w:numPr>
          <w:ilvl w:val="0"/>
          <w:numId w:val="52"/>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pacing w:after="0" w:line="8" w:lineRule="exact"/>
        <w:rPr>
          <w:sz w:val="20"/>
          <w:szCs w:val="20"/>
          <w:color w:val="auto"/>
        </w:rPr>
      </w:pPr>
    </w:p>
    <w:p>
      <w:pPr>
        <w:ind w:left="4920" w:hanging="1293"/>
        <w:spacing w:after="0"/>
        <w:tabs>
          <w:tab w:leader="none" w:pos="4920" w:val="left"/>
        </w:tabs>
        <w:numPr>
          <w:ilvl w:val="0"/>
          <w:numId w:val="53"/>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Morgan Stanley</w:t>
      </w:r>
    </w:p>
    <w:p>
      <w:pPr>
        <w:spacing w:after="0" w:line="200" w:lineRule="exact"/>
        <w:rPr>
          <w:sz w:val="20"/>
          <w:szCs w:val="20"/>
          <w:color w:val="auto"/>
        </w:rPr>
      </w:pPr>
    </w:p>
    <w:p>
      <w:pPr>
        <w:sectPr>
          <w:pgSz w:w="11900" w:h="16838" w:orient="portrait"/>
          <w:cols w:equalWidth="0" w:num="3">
            <w:col w:w="4160" w:space="720"/>
            <w:col w:w="4220" w:space="720"/>
            <w:col w:w="1600"/>
          </w:cols>
          <w:pgMar w:left="240" w:top="459" w:right="23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J.P. Morgan</w:t>
      </w:r>
    </w:p>
    <w:p>
      <w:pPr>
        <w:spacing w:after="0" w:line="200" w:lineRule="exact"/>
        <w:rPr>
          <w:sz w:val="20"/>
          <w:szCs w:val="20"/>
          <w:color w:val="auto"/>
        </w:rPr>
      </w:pPr>
    </w:p>
    <w:p>
      <w:pPr>
        <w:sectPr>
          <w:pgSz w:w="11900" w:h="16838" w:orient="portrait"/>
          <w:cols w:equalWidth="0" w:num="2">
            <w:col w:w="9500" w:space="720"/>
            <w:col w:w="120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313"/>
    </w:lvl>
  </w:abstractNum>
  <w:abstractNum w:abstractNumId="1">
    <w:nsid w:val="71F32454"/>
    <w:multiLevelType w:val="hybridMultilevel"/>
    <w:lvl w:ilvl="0">
      <w:lvlJc w:val="left"/>
      <w:lvlText w:val="(%1)"/>
      <w:numFmt w:val="lowerLetter"/>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1)"/>
      <w:numFmt w:val="lowerRoman"/>
      <w:start w:val="2"/>
    </w:lvl>
  </w:abstractNum>
  <w:abstractNum w:abstractNumId="10">
    <w:nsid w:val="6CEAF087"/>
    <w:multiLevelType w:val="hybridMultilevel"/>
    <w:lvl w:ilvl="0">
      <w:lvlJc w:val="left"/>
      <w:lvlText w:val="%1"/>
      <w:numFmt w:val="decimal"/>
      <w:start w:val="20"/>
    </w:lvl>
  </w:abstractNum>
  <w:abstractNum w:abstractNumId="11">
    <w:nsid w:val="22221A70"/>
    <w:multiLevelType w:val="hybridMultilevel"/>
    <w:lvl w:ilvl="0">
      <w:lvlJc w:val="left"/>
      <w:lvlText w:val="%1"/>
      <w:numFmt w:val="decimal"/>
      <w:start w:val="20"/>
    </w:lvl>
  </w:abstractNum>
  <w:abstractNum w:abstractNumId="12">
    <w:nsid w:val="4516DDE9"/>
    <w:multiLevelType w:val="hybridMultilevel"/>
    <w:lvl w:ilvl="0">
      <w:lvlJc w:val="left"/>
      <w:lvlText w:val="%1"/>
      <w:numFmt w:val="decimal"/>
      <w:start w:val="20"/>
    </w:lvl>
  </w:abstractNum>
  <w:abstractNum w:abstractNumId="13">
    <w:nsid w:val="3006C83E"/>
    <w:multiLevelType w:val="hybridMultilevel"/>
    <w:lvl w:ilvl="0">
      <w:lvlJc w:val="left"/>
      <w:lvlText w:val="(%1)"/>
      <w:numFmt w:val="lowerRoman"/>
      <w:start w:val="1"/>
    </w:lvl>
  </w:abstractNum>
  <w:abstractNum w:abstractNumId="14">
    <w:nsid w:val="614FD4A1"/>
    <w:multiLevelType w:val="hybridMultilevel"/>
    <w:lvl w:ilvl="0">
      <w:lvlJc w:val="left"/>
      <w:lvlText w:val="(%1)"/>
      <w:numFmt w:val="lowerRoman"/>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lowerRoman"/>
      <w:start w:val="2"/>
    </w:lvl>
  </w:abstractNum>
  <w:abstractNum w:abstractNumId="31">
    <w:nsid w:val="6A2342EC"/>
    <w:multiLevelType w:val="hybridMultilevel"/>
    <w:lvl w:ilvl="0">
      <w:lvlJc w:val="left"/>
      <w:lvlText w:val="(%1)"/>
      <w:numFmt w:val="lowerRoman"/>
      <w:start w:val="1"/>
    </w:lvl>
  </w:abstractNum>
  <w:abstractNum w:abstractNumId="32">
    <w:nsid w:val="2A487CB0"/>
    <w:multiLevelType w:val="hybridMultilevel"/>
    <w:lvl w:ilvl="0">
      <w:lvlJc w:val="left"/>
      <w:lvlText w:val="(%1)"/>
      <w:numFmt w:val="lowerRoman"/>
      <w:start w:val="1"/>
    </w:lvl>
    <w:lvl w:ilvl="1">
      <w:lvlJc w:val="left"/>
      <w:lvlText w:val="•"/>
      <w:numFmt w:val="bullet"/>
      <w:start w:val="1"/>
    </w:lvl>
  </w:abstractNum>
  <w:abstractNum w:abstractNumId="33">
    <w:nsid w:val="1D4ED43B"/>
    <w:multiLevelType w:val="hybridMultilevel"/>
    <w:lvl w:ilvl="0">
      <w:lvlJc w:val="left"/>
      <w:lvlText w:val="(%1)"/>
      <w:numFmt w:val="lowerRoman"/>
      <w:start w:val="2"/>
    </w:lvl>
  </w:abstractNum>
  <w:abstractNum w:abstractNumId="34">
    <w:nsid w:val="725A06FB"/>
    <w:multiLevelType w:val="hybridMultilevel"/>
    <w:lvl w:ilvl="0">
      <w:lvlJc w:val="left"/>
      <w:lvlText w:val="(%1)"/>
      <w:numFmt w:val="lowerRoman"/>
      <w:start w:val="1"/>
    </w:lvl>
  </w:abstractNum>
  <w:abstractNum w:abstractNumId="35">
    <w:nsid w:val="2CD89A32"/>
    <w:multiLevelType w:val="hybridMultilevel"/>
    <w:lvl w:ilvl="0">
      <w:lvlJc w:val="left"/>
      <w:lvlText w:val="(%1)"/>
      <w:numFmt w:val="lowerRoman"/>
      <w:start w:val="3"/>
    </w:lvl>
  </w:abstractNum>
  <w:abstractNum w:abstractNumId="36">
    <w:nsid w:val="57E4CCAF"/>
    <w:multiLevelType w:val="hybridMultilevel"/>
    <w:lvl w:ilvl="0">
      <w:lvlJc w:val="left"/>
      <w:lvlText w:val="(%1)"/>
      <w:numFmt w:val="lowerRoman"/>
      <w:start w:val="1"/>
    </w:lvl>
  </w:abstractNum>
  <w:abstractNum w:abstractNumId="37">
    <w:nsid w:val="7A6D8D3C"/>
    <w:multiLevelType w:val="hybridMultilevel"/>
    <w:lvl w:ilvl="0">
      <w:lvlJc w:val="left"/>
      <w:lvlText w:val="(%1)"/>
      <w:numFmt w:val="lowerRoman"/>
      <w:start w:val="1"/>
    </w:lvl>
  </w:abstractNum>
  <w:abstractNum w:abstractNumId="38">
    <w:nsid w:val="4B588F54"/>
    <w:multiLevelType w:val="hybridMultilevel"/>
    <w:lvl w:ilvl="0">
      <w:lvlJc w:val="left"/>
      <w:lvlText w:val="(%1)"/>
      <w:numFmt w:val="lowerRoman"/>
      <w:start w:val="5"/>
    </w:lvl>
  </w:abstractNum>
  <w:abstractNum w:abstractNumId="39">
    <w:nsid w:val="542289EC"/>
    <w:multiLevelType w:val="hybridMultilevel"/>
    <w:lvl w:ilvl="0">
      <w:lvlJc w:val="left"/>
      <w:lvlText w:val="(%1)"/>
      <w:numFmt w:val="lowerRoman"/>
      <w:start w:val="1"/>
    </w:lvl>
  </w:abstractNum>
  <w:abstractNum w:abstractNumId="40">
    <w:nsid w:val="6DE91B18"/>
    <w:multiLevelType w:val="hybridMultilevel"/>
    <w:lvl w:ilvl="0">
      <w:lvlJc w:val="left"/>
      <w:lvlText w:val="(%1)"/>
      <w:numFmt w:val="lowerRoman"/>
      <w:start w:val="2"/>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2019-12-07T11:16:23Z</dcterms:created>
  <dcterms:modified xsi:type="dcterms:W3CDTF">2019-12-07T11:16:23Z</dcterms:modified>
</cp:coreProperties>
</file>