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10,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sz w:val="24"/>
          <w:szCs w:val="24"/>
          <w:color w:val="auto"/>
        </w:rPr>
      </w:pPr>
    </w:p>
    <w:p>
      <w:pPr>
        <w:ind w:left="620" w:hanging="571"/>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34" w:lineRule="exact"/>
        <w:rPr>
          <w:sz w:val="24"/>
          <w:szCs w:val="24"/>
          <w:color w:val="auto"/>
        </w:rPr>
      </w:pPr>
    </w:p>
    <w:p>
      <w:pPr>
        <w:ind w:left="620" w:hanging="571"/>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February 10, 2015, General Motors Company (“GM”) issued a press release regarding a Notice of Director Nomination and Shareholder Proposal received by GM from Harry J. Wilson and certain affiliated parties. The press release is attached hereto as Exhibit 99.1, and the Notice of Director Nomination and Shareholder Proposal is attached hereto as Exhibit 99.2.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GM will be filing a proxy statement with the Securities and Exchange Commission (the "SEC") in connection with the solicitation of proxies for GM’s 2015 Annual Meeting of Shareholders (the "Proxy Statement"). GM, its directors and certain of its executive officers may be deemed participants in the solicitation of proxies from shareholders in respect of the 2015 Annual Meeting. Information regarding the names of GM’s directors and executive officers and their respective interests in GM by security holdings or otherwise is set forth in GM’s Annual Report on Form 10-K for the fiscal year ended December 31, 2014, filed with the SEC on February 4, 2015 and GM’s proxy statement for the 2014 Annual Meeting of Shareholders, filed with the SEC on April 25, 2014 and the Form 8-K filed with the SEC on February 5, 2015. To the extent holdings of such participants in GM’s securities have changed since the amounts described in the 2014 proxy statement, such changes have been reflected on Initial Statements of Beneficial Ownership on Form 3 or Statements of Change in Ownership on Form 4 filed with the SEC. Additional information concerning other persons who may under the SEC rules be considered participants and the nominees of GM’s Board of Directors for election at the 2015 Annual Meeting will be included in the 2015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documents filed by GM free of charge from the SEC's website, http://www.sec.gov. GM’s shareholders will also be able to obtain, without charge, a copy of the definitive Proxy Statement and other relevant filed documents by directing a request by mail to GM Stockholder Services at General Motors Company, Mail Code 482-C25-A36, 300 Renaissance Center, P.O. Box 300, Detroit, Michigan 48265-3000 or at stockholder.services@gm.com or from the investor relations section of GM’s website, http://www.gm.com/investor.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02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020" w:type="dxa"/>
            <w:vAlign w:val="bottom"/>
            <w:gridSpan w:val="2"/>
          </w:tcPr>
          <w:p>
            <w:pPr>
              <w:spacing w:after="0"/>
              <w:rPr>
                <w:sz w:val="20"/>
                <w:szCs w:val="20"/>
                <w:color w:val="auto"/>
              </w:rPr>
            </w:pPr>
            <w:r>
              <w:rPr>
                <w:rFonts w:ascii="Arial" w:cs="Arial" w:eastAsia="Arial" w:hAnsi="Arial"/>
                <w:sz w:val="18"/>
                <w:szCs w:val="18"/>
                <w:color w:val="auto"/>
              </w:rPr>
              <w:t>Press Release Regarding Notice of Director Nomination and</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Shareholder Proposal</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5020" w:type="dxa"/>
            <w:vAlign w:val="bottom"/>
            <w:gridSpan w:val="2"/>
          </w:tcPr>
          <w:p>
            <w:pPr>
              <w:spacing w:after="0"/>
              <w:rPr>
                <w:sz w:val="20"/>
                <w:szCs w:val="20"/>
                <w:color w:val="auto"/>
              </w:rPr>
            </w:pPr>
            <w:r>
              <w:rPr>
                <w:rFonts w:ascii="Arial" w:cs="Arial" w:eastAsia="Arial" w:hAnsi="Arial"/>
                <w:sz w:val="18"/>
                <w:szCs w:val="18"/>
                <w:color w:val="auto"/>
              </w:rPr>
              <w:t>Notice of Director Nomination and Shareholder Proposal</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Arial" w:cs="Arial" w:eastAsia="Arial" w:hAnsi="Arial"/>
                <w:sz w:val="18"/>
                <w:szCs w:val="18"/>
                <w:color w:val="auto"/>
              </w:rPr>
              <w:t>Date: February 10, 2015</w:t>
            </w:r>
          </w:p>
        </w:tc>
        <w:tc>
          <w:tcPr>
            <w:tcW w:w="2120" w:type="dxa"/>
            <w:vAlign w:val="bottom"/>
            <w:vMerge w:val="restart"/>
          </w:tcPr>
          <w:p>
            <w:pPr>
              <w:ind w:left="152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 Tuesday, Feb. 10, 2015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GM Statement Regarding Receipt of Director Notice and Shareholder Proposal from Harry J. Wilson</w:t>
      </w:r>
    </w:p>
    <w:p>
      <w:pPr>
        <w:spacing w:after="0" w:line="2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DETROIT </w:t>
      </w:r>
      <w:r>
        <w:rPr>
          <w:rFonts w:ascii="Arial" w:cs="Arial" w:eastAsia="Arial" w:hAnsi="Arial"/>
          <w:sz w:val="17"/>
          <w:szCs w:val="17"/>
          <w:color w:val="auto"/>
        </w:rPr>
        <w:t>- General Motors today announced that it has received notice from Harry J. Wilson regarding the intent to nominate himself as candidate to stand</w:t>
      </w:r>
      <w:r>
        <w:rPr>
          <w:rFonts w:ascii="Arial" w:cs="Arial" w:eastAsia="Arial" w:hAnsi="Arial"/>
          <w:sz w:val="17"/>
          <w:szCs w:val="17"/>
          <w:b w:val="1"/>
          <w:bCs w:val="1"/>
          <w:color w:val="auto"/>
        </w:rPr>
        <w:t xml:space="preserve"> </w:t>
      </w:r>
      <w:r>
        <w:rPr>
          <w:rFonts w:ascii="Arial" w:cs="Arial" w:eastAsia="Arial" w:hAnsi="Arial"/>
          <w:sz w:val="17"/>
          <w:szCs w:val="17"/>
          <w:color w:val="auto"/>
        </w:rPr>
        <w:t>for election to the GM Board of Directors at the company’s 2015 annual meeting of stockholders and bring before the annual meeting a proposal that the company commit to completing $8 billion of share repurchases on or before the first anniversary of the 2015 annual meeting.</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Wilson’s notice indicated that he is acting with and on behalf of himself and four investment funds that support his election and proposal: the Taconic Parties, Appaloosa Parties, HG Vora Parties and the Hayman Parties, which together own approximately 34.4 million shares, or approximately 2.1 percent, of the company’s common stock. Mr. Wilson’s notice further indicates a fee arrangement under which he will receive a percentage of the group’s profits from their investment in GM.</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Wilson first informed the company of his interest in being nominated to GM’s Board of Directors at a meeting with GM’s Chief Executive Officer on Feb. 3, 2015, a meeting requested by Mr. Wilson for other purposes. He disclosed the identity of the members of his group for the first time in his notice, submitted just before the deadline of midnight, Feb. 9. GM has had regular contact with some of the investors identified in the group, including as recently as after its earnings announcement on Feb. 4, and at no time in discussions with GM have they indicated an interest or intent to nominate directors to the GM board.</w:t>
      </w:r>
    </w:p>
    <w:p>
      <w:pPr>
        <w:spacing w:after="0" w:line="18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Board’s Directors and Corporate Governance Committee will evaluate the proposed director nominee based on the criteria set forth in the company’s Corporate Governance Principles and Director Qualification Standards and make a recommendation based on the best interests of all shareholders. GM shareholders are not required to take any action at this time.</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GM Board of Directors and management team are committed to acting in the best interests of all shareholders and are always open to constructive ideas to enhance shareholder value. GM’s management team is successfully executing a plan that is continuing to build a strong and sustainable business for the long term. The company recently announced strong fourth quarter results, its best-ever fourth quarter consolidated EBIT-adjusted, and its 20th consecutive quarter of profitability. These results capped strong core operating performance for the year, the first under the leadership of CEO Mary Barra, despite significant challenges faced by the company and the industry. Importantly, the company is on track with its financial objectives for 2016 and beyond.</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GM recently announced an expected 20 percent increase of the quarterly dividend to 36 cents per share to be declared as part of the board’s regularly scheduled second quarter 2015 common stock dividend declaration process. This expected dividend increase reflects the confidence the company has in the growing strength of the business. As the company gets more clarity on several business open items related to recalls, it expects to continue to evaluate further return of capital to shareholders as soon as the second half of this year. The board and management have demonstrated their ongoing commitment to return value to shareholders through a series of previous actions, including the repurchase of $5.5 billion of stock from the U.S. Treasury in 2012 and the initiation of a strong quarterly dividend of 30 cents per share on its common stock in 2014.</w:t>
      </w:r>
    </w:p>
    <w:p>
      <w:pPr>
        <w:spacing w:after="0" w:line="178"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 company’s intention to increase the dividend is consistent with its balanced capital allocation strategy. Its goal is to maximize long-term shareholder value through both stock price appreciation and return of capital via dividends and share repurchases. The company continually evaluates the appropriate approach to returning value to shareholders in a manner consistent with its customer-focused strategic plan to lead in product and technology, grow its business in China and its captive finance company GM Financial, deliver core operating efficiencies, and allocate capital prudently.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Also available on our media and investor websites is the Notice of Director Nomination and Shareholder Proposal.</w:t>
      </w:r>
    </w:p>
    <w:p>
      <w:pPr>
        <w:sectPr>
          <w:pgSz w:w="11900" w:h="16838" w:orient="portrait"/>
          <w:cols w:equalWidth="0" w:num="1">
            <w:col w:w="11420"/>
          </w:cols>
          <w:pgMar w:left="240" w:top="1440" w:right="239" w:bottom="1440" w:gutter="0" w:footer="0" w:header="0"/>
        </w:sectPr>
      </w:pPr>
    </w:p>
    <w:bookmarkStart w:id="4" w:name="page5"/>
    <w:bookmarkEnd w:id="4"/>
    <w:p>
      <w:pPr>
        <w:ind w:right="3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http://www.gm.com.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400" w:type="dxa"/>
            <w:vAlign w:val="bottom"/>
            <w:gridSpan w:val="2"/>
          </w:tcPr>
          <w:p>
            <w:pPr>
              <w:jc w:val="right"/>
              <w:ind w:right="1470"/>
              <w:spacing w:after="0"/>
              <w:rPr>
                <w:sz w:val="20"/>
                <w:szCs w:val="20"/>
                <w:color w:val="auto"/>
              </w:rPr>
            </w:pPr>
            <w:r>
              <w:rPr>
                <w:rFonts w:ascii="Arial" w:cs="Arial" w:eastAsia="Arial" w:hAnsi="Arial"/>
                <w:sz w:val="20"/>
                <w:szCs w:val="20"/>
                <w:color w:val="333333"/>
              </w:rPr>
              <w:t>###</w:t>
            </w:r>
          </w:p>
        </w:tc>
      </w:tr>
      <w:tr>
        <w:trPr>
          <w:trHeight w:val="442"/>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3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80"/>
        </w:trPr>
        <w:tc>
          <w:tcPr>
            <w:tcW w:w="42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Dave Roman</w:t>
            </w:r>
          </w:p>
        </w:tc>
        <w:tc>
          <w:tcPr>
            <w:tcW w:w="5400" w:type="dxa"/>
            <w:vAlign w:val="bottom"/>
            <w:gridSpan w:val="2"/>
          </w:tcPr>
          <w:p>
            <w:pPr>
              <w:ind w:left="3720"/>
              <w:spacing w:after="0"/>
              <w:rPr>
                <w:sz w:val="20"/>
                <w:szCs w:val="20"/>
                <w:color w:val="auto"/>
              </w:rPr>
            </w:pPr>
            <w:r>
              <w:rPr>
                <w:rFonts w:ascii="Arial" w:cs="Arial" w:eastAsia="Arial" w:hAnsi="Arial"/>
                <w:sz w:val="18"/>
                <w:szCs w:val="18"/>
                <w:color w:val="auto"/>
              </w:rPr>
              <w:t>Mark Oswald</w:t>
            </w:r>
          </w:p>
        </w:tc>
      </w:tr>
      <w:tr>
        <w:trPr>
          <w:trHeight w:val="216"/>
        </w:trPr>
        <w:tc>
          <w:tcPr>
            <w:tcW w:w="2020" w:type="dxa"/>
            <w:vAlign w:val="bottom"/>
            <w:gridSpan w:val="2"/>
          </w:tcPr>
          <w:p>
            <w:pPr>
              <w:ind w:left="420"/>
              <w:spacing w:after="0"/>
              <w:rPr>
                <w:sz w:val="20"/>
                <w:szCs w:val="20"/>
                <w:color w:val="auto"/>
              </w:rPr>
            </w:pPr>
            <w:r>
              <w:rPr>
                <w:rFonts w:ascii="Arial" w:cs="Arial" w:eastAsia="Arial" w:hAnsi="Arial"/>
                <w:sz w:val="18"/>
                <w:szCs w:val="18"/>
                <w:color w:val="auto"/>
              </w:rPr>
              <w:t>313-498-1735</w:t>
            </w:r>
          </w:p>
        </w:tc>
        <w:tc>
          <w:tcPr>
            <w:tcW w:w="5400" w:type="dxa"/>
            <w:vAlign w:val="bottom"/>
            <w:gridSpan w:val="2"/>
          </w:tcPr>
          <w:p>
            <w:pPr>
              <w:ind w:left="3720"/>
              <w:spacing w:after="0"/>
              <w:rPr>
                <w:sz w:val="20"/>
                <w:szCs w:val="20"/>
                <w:color w:val="auto"/>
              </w:rPr>
            </w:pPr>
            <w:r>
              <w:rPr>
                <w:rFonts w:ascii="Arial" w:cs="Arial" w:eastAsia="Arial" w:hAnsi="Arial"/>
                <w:sz w:val="18"/>
                <w:szCs w:val="18"/>
                <w:color w:val="auto"/>
              </w:rPr>
              <w:t>313-244-8983</w:t>
            </w:r>
          </w:p>
        </w:tc>
      </w:tr>
      <w:tr>
        <w:trPr>
          <w:trHeight w:val="216"/>
        </w:trPr>
        <w:tc>
          <w:tcPr>
            <w:tcW w:w="4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4"/>
              </w:rPr>
              <w:t>GM Communications</w:t>
            </w:r>
          </w:p>
        </w:tc>
        <w:tc>
          <w:tcPr>
            <w:tcW w:w="5400" w:type="dxa"/>
            <w:vAlign w:val="bottom"/>
            <w:gridSpan w:val="2"/>
          </w:tcPr>
          <w:p>
            <w:pPr>
              <w:ind w:left="3720"/>
              <w:spacing w:after="0"/>
              <w:rPr>
                <w:sz w:val="20"/>
                <w:szCs w:val="20"/>
                <w:color w:val="auto"/>
              </w:rPr>
            </w:pPr>
            <w:r>
              <w:rPr>
                <w:rFonts w:ascii="Arial" w:cs="Arial" w:eastAsia="Arial" w:hAnsi="Arial"/>
                <w:sz w:val="18"/>
                <w:szCs w:val="18"/>
                <w:color w:val="auto"/>
                <w:w w:val="93"/>
              </w:rPr>
              <w:t>GM Investor Relations</w:t>
            </w:r>
          </w:p>
        </w:tc>
      </w:tr>
      <w:tr>
        <w:trPr>
          <w:trHeight w:val="190"/>
        </w:trPr>
        <w:tc>
          <w:tcPr>
            <w:tcW w:w="420" w:type="dxa"/>
            <w:vAlign w:val="bottom"/>
          </w:tcPr>
          <w:p>
            <w:pPr>
              <w:spacing w:after="0"/>
              <w:rPr>
                <w:sz w:val="16"/>
                <w:szCs w:val="16"/>
                <w:color w:val="auto"/>
              </w:rPr>
            </w:pPr>
          </w:p>
        </w:tc>
        <w:tc>
          <w:tcPr>
            <w:tcW w:w="160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9"/>
              </w:rPr>
              <w:t>dave.roman@gm.com</w:t>
            </w:r>
          </w:p>
        </w:tc>
        <w:tc>
          <w:tcPr>
            <w:tcW w:w="3720" w:type="dxa"/>
            <w:vAlign w:val="bottom"/>
          </w:tcPr>
          <w:p>
            <w:pPr>
              <w:spacing w:after="0"/>
              <w:rPr>
                <w:sz w:val="16"/>
                <w:szCs w:val="16"/>
                <w:color w:val="auto"/>
              </w:rPr>
            </w:pPr>
          </w:p>
        </w:tc>
        <w:tc>
          <w:tcPr>
            <w:tcW w:w="16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0"/>
              </w:rPr>
              <w:t>mark.oswald@gm.com</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this press release and in related comments by our management, our use of the words ”plans,” “expect,” “anticipate,” “possible,” “potential,” “target,” “believe,” “commit,” “intend,” “continue,” “may,” “would,” “could,” “should,” “project,” “appears,” “potential,” “projected,”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w:t>
      </w:r>
    </w:p>
    <w:p>
      <w:pPr>
        <w:spacing w:after="0" w:line="248" w:lineRule="auto"/>
        <w:rPr>
          <w:sz w:val="20"/>
          <w:szCs w:val="20"/>
          <w:color w:val="auto"/>
        </w:rPr>
      </w:pPr>
      <w:r>
        <w:rPr>
          <w:rFonts w:ascii="Arial" w:cs="Arial" w:eastAsia="Arial" w:hAnsi="Arial"/>
          <w:sz w:val="16"/>
          <w:szCs w:val="16"/>
          <w:color w:val="auto"/>
        </w:rPr>
        <w:t>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and our ability to continue to attract new customers, particularly for our new products. GM's most recent annual report on Form 10-K provides information about these and other factors, which we may revise or supplement in future reports to the SEC.</w:t>
      </w:r>
    </w:p>
    <w:p>
      <w:pPr>
        <w:sectPr>
          <w:pgSz w:w="11900" w:h="16838" w:orient="portrait"/>
          <w:cols w:equalWidth="0" w:num="1">
            <w:col w:w="11420"/>
          </w:cols>
          <w:pgMar w:left="240" w:top="580" w:right="239" w:bottom="1440" w:gutter="0" w:footer="0" w:header="0"/>
        </w:sectPr>
      </w:pPr>
    </w:p>
    <w:bookmarkStart w:id="5" w:name="page6"/>
    <w:bookmarkEnd w:id="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9537700</wp:posOffset>
            </wp:positionV>
            <wp:extent cx="685609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9537065</wp:posOffset>
            </wp:positionV>
            <wp:extent cx="685609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4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2019-12-08T22:04:00Z</dcterms:created>
  <dcterms:modified xsi:type="dcterms:W3CDTF">2019-12-08T22:04:00Z</dcterms:modified>
</cp:coreProperties>
</file>