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459105</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July 25, 2013</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394"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8" w:lineRule="exact"/>
        <w:rPr>
          <w:sz w:val="24"/>
          <w:szCs w:val="24"/>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146685</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035" w:right="819" w:bottom="1440" w:gutter="0" w:footer="0" w:header="0"/>
        </w:sectPr>
      </w:pPr>
    </w:p>
    <w:bookmarkStart w:id="1" w:name="page2"/>
    <w:bookmarkEnd w:id="1"/>
    <w:p>
      <w:pPr>
        <w:ind w:left="486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214" w:lineRule="exact"/>
        <w:rPr>
          <w:sz w:val="20"/>
          <w:szCs w:val="20"/>
          <w:color w:val="auto"/>
        </w:rPr>
      </w:pPr>
    </w:p>
    <w:p>
      <w:pPr>
        <w:ind w:right="5039"/>
        <w:spacing w:after="0" w:line="277" w:lineRule="auto"/>
        <w:rPr>
          <w:sz w:val="20"/>
          <w:szCs w:val="20"/>
          <w:color w:val="auto"/>
        </w:rPr>
      </w:pPr>
      <w:r>
        <w:rPr>
          <w:rFonts w:ascii="Arial" w:cs="Arial" w:eastAsia="Arial" w:hAnsi="Arial"/>
          <w:sz w:val="16"/>
          <w:szCs w:val="16"/>
          <w:b w:val="1"/>
          <w:bCs w:val="1"/>
          <w:color w:val="auto"/>
        </w:rPr>
        <w:t>ITEM 2.02 RESULTS OF OPERATIONS AND FINANCIAL CONDITION ITEM 9.01 FINANCIAL STATEMENTS AND EXHIBITS 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News Release Dated July 25, 2013 and Financial Statements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Charts Furnished to Securities Analysts</w:t>
      </w:r>
    </w:p>
    <w:p>
      <w:pPr>
        <w:sectPr>
          <w:pgSz w:w="11900" w:h="16838" w:orient="portrait"/>
          <w:cols w:equalWidth="0" w:num="1">
            <w:col w:w="10219"/>
          </w:cols>
          <w:pgMar w:left="240" w:top="533"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54" w:lineRule="exact"/>
        <w:rPr>
          <w:sz w:val="20"/>
          <w:szCs w:val="20"/>
          <w:color w:val="auto"/>
        </w:rPr>
      </w:pPr>
    </w:p>
    <w:p>
      <w:pPr>
        <w:jc w:val="both"/>
        <w:ind w:firstLine="145"/>
        <w:spacing w:after="0" w:line="265" w:lineRule="auto"/>
        <w:rPr>
          <w:sz w:val="20"/>
          <w:szCs w:val="20"/>
          <w:color w:val="auto"/>
        </w:rPr>
      </w:pPr>
      <w:r>
        <w:rPr>
          <w:rFonts w:ascii="Arial" w:cs="Arial" w:eastAsia="Arial" w:hAnsi="Arial"/>
          <w:sz w:val="16"/>
          <w:szCs w:val="16"/>
          <w:color w:val="auto"/>
        </w:rPr>
        <w:t>On July 25, 2013 a news release was issued on the subject of second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Charts furnished to securities analysts in connection with GM's quarter ended June 30, 2013 are attached as Exhibit 99.2.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1"/>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4000" w:type="dxa"/>
            <w:vAlign w:val="bottom"/>
            <w:gridSpan w:val="4"/>
          </w:tcPr>
          <w:p>
            <w:pPr>
              <w:spacing w:after="0"/>
              <w:rPr>
                <w:sz w:val="20"/>
                <w:szCs w:val="20"/>
                <w:color w:val="auto"/>
              </w:rPr>
            </w:pPr>
            <w:r>
              <w:rPr>
                <w:rFonts w:ascii="Arial" w:cs="Arial" w:eastAsia="Arial" w:hAnsi="Arial"/>
                <w:sz w:val="16"/>
                <w:szCs w:val="16"/>
                <w:color w:val="auto"/>
                <w:w w:val="91"/>
              </w:rPr>
              <w:t>News Release Dated July 25, 2013 and Financial Statements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41"/>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4000" w:type="dxa"/>
            <w:vAlign w:val="bottom"/>
            <w:gridSpan w:val="4"/>
          </w:tcPr>
          <w:p>
            <w:pPr>
              <w:spacing w:after="0"/>
              <w:rPr>
                <w:sz w:val="20"/>
                <w:szCs w:val="20"/>
                <w:color w:val="auto"/>
              </w:rPr>
            </w:pPr>
            <w:r>
              <w:rPr>
                <w:rFonts w:ascii="Arial" w:cs="Arial" w:eastAsia="Arial" w:hAnsi="Arial"/>
                <w:sz w:val="16"/>
                <w:szCs w:val="16"/>
                <w:color w:val="auto"/>
              </w:rPr>
              <w:t>Charts Furnished to Securities Analysts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bl>
    <w:p>
      <w:pPr>
        <w:sectPr>
          <w:pgSz w:w="11900" w:h="16838" w:orient="portrait"/>
          <w:cols w:equalWidth="0" w:num="1">
            <w:col w:w="11440"/>
          </w:cols>
          <w:pgMar w:left="240" w:top="726"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/s/THOMAS S. TIMKO</w:t>
            </w:r>
          </w:p>
        </w:tc>
        <w:tc>
          <w:tcPr>
            <w:tcW w:w="0" w:type="dxa"/>
            <w:vAlign w:val="bottom"/>
          </w:tcPr>
          <w:p>
            <w:pPr>
              <w:spacing w:after="0"/>
              <w:rPr>
                <w:sz w:val="1"/>
                <w:szCs w:val="1"/>
                <w:color w:val="auto"/>
              </w:rPr>
            </w:pPr>
          </w:p>
        </w:tc>
      </w:tr>
      <w:tr>
        <w:trPr>
          <w:trHeight w:val="24"/>
        </w:trPr>
        <w:tc>
          <w:tcPr>
            <w:tcW w:w="3020" w:type="dxa"/>
            <w:vAlign w:val="bottom"/>
            <w:vMerge w:val="restart"/>
          </w:tcPr>
          <w:p>
            <w:pPr>
              <w:spacing w:after="0"/>
              <w:rPr>
                <w:sz w:val="20"/>
                <w:szCs w:val="20"/>
                <w:color w:val="auto"/>
              </w:rPr>
            </w:pPr>
            <w:r>
              <w:rPr>
                <w:rFonts w:ascii="Arial" w:cs="Arial" w:eastAsia="Arial" w:hAnsi="Arial"/>
                <w:sz w:val="16"/>
                <w:szCs w:val="16"/>
                <w:color w:val="auto"/>
              </w:rPr>
              <w:t>Date: July 25, 2013</w:t>
            </w:r>
          </w:p>
        </w:tc>
        <w:tc>
          <w:tcPr>
            <w:tcW w:w="2400" w:type="dxa"/>
            <w:vAlign w:val="bottom"/>
            <w:vMerge w:val="restart"/>
          </w:tcPr>
          <w:p>
            <w:pPr>
              <w:ind w:left="178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020" w:type="dxa"/>
            <w:vAlign w:val="bottom"/>
            <w:vMerge w:val="continue"/>
          </w:tcPr>
          <w:p>
            <w:pPr>
              <w:spacing w:after="0"/>
              <w:rPr>
                <w:sz w:val="17"/>
                <w:szCs w:val="17"/>
                <w:color w:val="auto"/>
              </w:rPr>
            </w:pPr>
          </w:p>
        </w:tc>
        <w:tc>
          <w:tcPr>
            <w:tcW w:w="24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Thomas S. Timko</w:t>
            </w: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349250</wp:posOffset>
            </wp:positionV>
            <wp:extent cx="5223510" cy="750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223510" cy="750570"/>
                    </a:xfrm>
                    <a:prstGeom prst="rect">
                      <a:avLst/>
                    </a:prstGeom>
                    <a:noFill/>
                  </pic:spPr>
                </pic:pic>
              </a:graphicData>
            </a:graphic>
          </wp:anchor>
        </w:drawing>
      </w:r>
    </w:p>
    <w:p>
      <w:pPr>
        <w:spacing w:after="0" w:line="260"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For Release: Thursday, July 25, 7:30 a.m. EDT</w:t>
      </w:r>
      <w:r>
        <w:rPr>
          <w:sz w:val="20"/>
          <w:szCs w:val="20"/>
          <w:color w:val="auto"/>
        </w:rPr>
        <w:tab/>
      </w:r>
      <w:r>
        <w:rPr>
          <w:rFonts w:ascii="Arial" w:cs="Arial" w:eastAsia="Arial" w:hAnsi="Arial"/>
          <w:sz w:val="17"/>
          <w:szCs w:val="17"/>
          <w:b w:val="1"/>
          <w:bCs w:val="1"/>
          <w:color w:val="auto"/>
        </w:rPr>
        <w:t>Exhibit 99.1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GM Reports Second Quarter Net Income of $1.2 Billion</w:t>
      </w:r>
    </w:p>
    <w:p>
      <w:pPr>
        <w:spacing w:after="0" w:line="226"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EPS of $0.75 including net loss from special items of $0.09 per share</w:t>
      </w: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EBIT-adjusted of $2.3 billion</w:t>
      </w:r>
    </w:p>
    <w:p>
      <w:pPr>
        <w:spacing w:after="0" w:line="169"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second quarter net income attributable to common stockholders of $1.2 billion,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$0.75 per fully diluted share. These results include a net loss from special items that reduced net income by $0.2 billion, or $0.09 per fully diluted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2012, GM's net income attributable to common stockholders was $1.5 billion, or $0.90 per fully diluted share.</w:t>
      </w:r>
    </w:p>
    <w:p>
      <w:pPr>
        <w:spacing w:after="0" w:line="191"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Net income for the second quarter of 2013 included an increase in tax expense of $0.5 billion, or $0.29 per fully diluted share, compared to the second quarter of 2012.</w:t>
      </w:r>
    </w:p>
    <w:p>
      <w:pPr>
        <w:spacing w:after="0" w:line="184"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Net revenue in the second quarter of 2013 was $39.1 billion, compared to $37.6 billion in the second quarter of 2012. Earnings before interest and tax (EBIT) adjusted was $2.3 billion, compared to $2.1 billion in the second quarter of 2012.</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continue to perform well in the world's two most important markets, the U.S. and China," said Dan Akerson, GM chairman and CEO. "We also made further progress in our European business and saw the steady performance of our global brands Chevrolet and Cadillac. For the rest of the year, we'll focus on winning customers with high-quality vehicles at a compelling value."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 xml:space="preserve">GM Results Overview </w:t>
            </w:r>
            <w:r>
              <w:rPr>
                <w:rFonts w:ascii="Arial" w:cs="Arial" w:eastAsia="Arial" w:hAnsi="Arial"/>
                <w:sz w:val="12"/>
                <w:szCs w:val="12"/>
                <w:color w:val="auto"/>
              </w:rPr>
              <w:t>(in billions except for per share amounts)</w:t>
            </w:r>
          </w:p>
        </w:tc>
        <w:tc>
          <w:tcPr>
            <w:tcW w:w="3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46"/>
        </w:trPr>
        <w:tc>
          <w:tcPr>
            <w:tcW w:w="5320" w:type="dxa"/>
            <w:vAlign w:val="bottom"/>
          </w:tcPr>
          <w:p>
            <w:pPr>
              <w:spacing w:after="0"/>
              <w:rPr>
                <w:sz w:val="24"/>
                <w:szCs w:val="24"/>
                <w:color w:val="auto"/>
              </w:rPr>
            </w:pPr>
          </w:p>
        </w:tc>
        <w:tc>
          <w:tcPr>
            <w:tcW w:w="3180" w:type="dxa"/>
            <w:vAlign w:val="bottom"/>
          </w:tcPr>
          <w:p>
            <w:pPr>
              <w:ind w:left="1960"/>
              <w:spacing w:after="0"/>
              <w:rPr>
                <w:sz w:val="20"/>
                <w:szCs w:val="20"/>
                <w:color w:val="auto"/>
              </w:rPr>
            </w:pPr>
            <w:r>
              <w:rPr>
                <w:rFonts w:ascii="Arial" w:cs="Arial" w:eastAsia="Arial" w:hAnsi="Arial"/>
                <w:sz w:val="16"/>
                <w:szCs w:val="16"/>
                <w:b w:val="1"/>
                <w:bCs w:val="1"/>
                <w:color w:val="auto"/>
              </w:rPr>
              <w:t>Q2 2013</w:t>
            </w:r>
          </w:p>
        </w:tc>
        <w:tc>
          <w:tcPr>
            <w:tcW w:w="1440" w:type="dxa"/>
            <w:vAlign w:val="bottom"/>
          </w:tcPr>
          <w:p>
            <w:pPr>
              <w:ind w:left="880"/>
              <w:spacing w:after="0"/>
              <w:rPr>
                <w:sz w:val="20"/>
                <w:szCs w:val="20"/>
                <w:color w:val="auto"/>
              </w:rPr>
            </w:pPr>
            <w:r>
              <w:rPr>
                <w:rFonts w:ascii="Arial" w:cs="Arial" w:eastAsia="Arial" w:hAnsi="Arial"/>
                <w:sz w:val="16"/>
                <w:szCs w:val="16"/>
                <w:b w:val="1"/>
                <w:bCs w:val="1"/>
                <w:color w:val="auto"/>
                <w:w w:val="87"/>
              </w:rPr>
              <w:t>Q2 2012</w:t>
            </w:r>
          </w:p>
        </w:tc>
      </w:tr>
      <w:tr>
        <w:trPr>
          <w:trHeight w:val="241"/>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Revenue</w:t>
            </w:r>
          </w:p>
        </w:tc>
        <w:tc>
          <w:tcPr>
            <w:tcW w:w="3180" w:type="dxa"/>
            <w:vAlign w:val="bottom"/>
          </w:tcPr>
          <w:p>
            <w:pPr>
              <w:ind w:left="1960"/>
              <w:spacing w:after="0"/>
              <w:rPr>
                <w:sz w:val="20"/>
                <w:szCs w:val="20"/>
                <w:color w:val="auto"/>
              </w:rPr>
            </w:pPr>
            <w:r>
              <w:rPr>
                <w:rFonts w:ascii="Arial" w:cs="Arial" w:eastAsia="Arial" w:hAnsi="Arial"/>
                <w:sz w:val="16"/>
                <w:szCs w:val="16"/>
                <w:color w:val="auto"/>
              </w:rPr>
              <w:t>$39.1</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89"/>
              </w:rPr>
              <w:t>$37.6</w:t>
            </w:r>
          </w:p>
        </w:tc>
      </w:tr>
      <w:tr>
        <w:trPr>
          <w:trHeight w:val="241"/>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3180" w:type="dxa"/>
            <w:vAlign w:val="bottom"/>
          </w:tcPr>
          <w:p>
            <w:pPr>
              <w:ind w:left="1960"/>
              <w:spacing w:after="0"/>
              <w:rPr>
                <w:sz w:val="20"/>
                <w:szCs w:val="20"/>
                <w:color w:val="auto"/>
              </w:rPr>
            </w:pPr>
            <w:r>
              <w:rPr>
                <w:rFonts w:ascii="Arial" w:cs="Arial" w:eastAsia="Arial" w:hAnsi="Arial"/>
                <w:sz w:val="16"/>
                <w:szCs w:val="16"/>
                <w:color w:val="auto"/>
              </w:rPr>
              <w:t>$1.2</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89"/>
              </w:rPr>
              <w:t>$1.5</w:t>
            </w:r>
          </w:p>
        </w:tc>
      </w:tr>
      <w:tr>
        <w:trPr>
          <w:trHeight w:val="241"/>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Earnings per share (EPS) fully diluted</w:t>
            </w:r>
          </w:p>
        </w:tc>
        <w:tc>
          <w:tcPr>
            <w:tcW w:w="3180" w:type="dxa"/>
            <w:vAlign w:val="bottom"/>
          </w:tcPr>
          <w:p>
            <w:pPr>
              <w:ind w:left="1960"/>
              <w:spacing w:after="0"/>
              <w:rPr>
                <w:sz w:val="20"/>
                <w:szCs w:val="20"/>
                <w:color w:val="auto"/>
              </w:rPr>
            </w:pPr>
            <w:r>
              <w:rPr>
                <w:rFonts w:ascii="Arial" w:cs="Arial" w:eastAsia="Arial" w:hAnsi="Arial"/>
                <w:sz w:val="16"/>
                <w:szCs w:val="16"/>
                <w:color w:val="auto"/>
              </w:rPr>
              <w:t>$0.75</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89"/>
              </w:rPr>
              <w:t>$0.90</w:t>
            </w:r>
          </w:p>
        </w:tc>
      </w:tr>
      <w:tr>
        <w:trPr>
          <w:trHeight w:val="241"/>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Impact of special items on EPS fully diluted</w:t>
            </w:r>
          </w:p>
        </w:tc>
        <w:tc>
          <w:tcPr>
            <w:tcW w:w="3180" w:type="dxa"/>
            <w:vAlign w:val="bottom"/>
          </w:tcPr>
          <w:p>
            <w:pPr>
              <w:ind w:left="1960"/>
              <w:spacing w:after="0"/>
              <w:rPr>
                <w:sz w:val="20"/>
                <w:szCs w:val="20"/>
                <w:color w:val="auto"/>
              </w:rPr>
            </w:pPr>
            <w:r>
              <w:rPr>
                <w:rFonts w:ascii="Arial" w:cs="Arial" w:eastAsia="Arial" w:hAnsi="Arial"/>
                <w:sz w:val="16"/>
                <w:szCs w:val="16"/>
                <w:color w:val="auto"/>
              </w:rPr>
              <w:t>$(0.09)</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929"/>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EBIT-adjusted</w:t>
            </w:r>
          </w:p>
        </w:tc>
        <w:tc>
          <w:tcPr>
            <w:tcW w:w="3180" w:type="dxa"/>
            <w:vAlign w:val="bottom"/>
          </w:tcPr>
          <w:p>
            <w:pPr>
              <w:ind w:left="1960"/>
              <w:spacing w:after="0"/>
              <w:rPr>
                <w:sz w:val="20"/>
                <w:szCs w:val="20"/>
                <w:color w:val="auto"/>
              </w:rPr>
            </w:pPr>
            <w:r>
              <w:rPr>
                <w:rFonts w:ascii="Arial" w:cs="Arial" w:eastAsia="Arial" w:hAnsi="Arial"/>
                <w:sz w:val="16"/>
                <w:szCs w:val="16"/>
                <w:color w:val="auto"/>
              </w:rPr>
              <w:t>$2.3</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89"/>
              </w:rPr>
              <w:t>$2.1</w:t>
            </w:r>
          </w:p>
        </w:tc>
      </w:tr>
      <w:tr>
        <w:trPr>
          <w:trHeight w:val="929"/>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w w:val="99"/>
              </w:rPr>
              <w:t>Automotive net cash flow from operating activities</w:t>
            </w:r>
          </w:p>
        </w:tc>
        <w:tc>
          <w:tcPr>
            <w:tcW w:w="3180" w:type="dxa"/>
            <w:vAlign w:val="bottom"/>
          </w:tcPr>
          <w:p>
            <w:pPr>
              <w:ind w:left="1960"/>
              <w:spacing w:after="0"/>
              <w:rPr>
                <w:sz w:val="20"/>
                <w:szCs w:val="20"/>
                <w:color w:val="auto"/>
              </w:rPr>
            </w:pPr>
            <w:r>
              <w:rPr>
                <w:rFonts w:ascii="Arial" w:cs="Arial" w:eastAsia="Arial" w:hAnsi="Arial"/>
                <w:sz w:val="16"/>
                <w:szCs w:val="16"/>
                <w:color w:val="auto"/>
              </w:rPr>
              <w:t>$4.5</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89"/>
              </w:rPr>
              <w:t>$3.8</w:t>
            </w:r>
          </w:p>
        </w:tc>
      </w:tr>
      <w:tr>
        <w:trPr>
          <w:trHeight w:val="241"/>
        </w:trPr>
        <w:tc>
          <w:tcPr>
            <w:tcW w:w="5320" w:type="dxa"/>
            <w:vAlign w:val="bottom"/>
          </w:tcPr>
          <w:p>
            <w:pPr>
              <w:ind w:left="1480"/>
              <w:spacing w:after="0"/>
              <w:rPr>
                <w:sz w:val="20"/>
                <w:szCs w:val="20"/>
                <w:color w:val="auto"/>
              </w:rPr>
            </w:pPr>
            <w:r>
              <w:rPr>
                <w:rFonts w:ascii="Arial" w:cs="Arial" w:eastAsia="Arial" w:hAnsi="Arial"/>
                <w:sz w:val="16"/>
                <w:szCs w:val="16"/>
                <w:b w:val="1"/>
                <w:bCs w:val="1"/>
                <w:color w:val="auto"/>
              </w:rPr>
              <w:t>Adjusted automotive free cash flow</w:t>
            </w:r>
          </w:p>
        </w:tc>
        <w:tc>
          <w:tcPr>
            <w:tcW w:w="3180" w:type="dxa"/>
            <w:vAlign w:val="bottom"/>
          </w:tcPr>
          <w:p>
            <w:pPr>
              <w:ind w:left="1960"/>
              <w:spacing w:after="0"/>
              <w:rPr>
                <w:sz w:val="20"/>
                <w:szCs w:val="20"/>
                <w:color w:val="auto"/>
              </w:rPr>
            </w:pPr>
            <w:r>
              <w:rPr>
                <w:rFonts w:ascii="Arial" w:cs="Arial" w:eastAsia="Arial" w:hAnsi="Arial"/>
                <w:sz w:val="16"/>
                <w:szCs w:val="16"/>
                <w:color w:val="auto"/>
              </w:rPr>
              <w:t>$2.6</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89"/>
              </w:rPr>
              <w:t>$1.7</w:t>
            </w:r>
          </w:p>
        </w:tc>
      </w:tr>
      <w:tr>
        <w:trPr>
          <w:trHeight w:val="627"/>
        </w:trPr>
        <w:tc>
          <w:tcPr>
            <w:tcW w:w="5320" w:type="dxa"/>
            <w:vAlign w:val="bottom"/>
          </w:tcPr>
          <w:p>
            <w:pPr>
              <w:spacing w:after="0"/>
              <w:rPr>
                <w:sz w:val="24"/>
                <w:szCs w:val="24"/>
                <w:color w:val="auto"/>
              </w:rPr>
            </w:pPr>
          </w:p>
        </w:tc>
        <w:tc>
          <w:tcPr>
            <w:tcW w:w="3180" w:type="dxa"/>
            <w:vAlign w:val="bottom"/>
          </w:tcPr>
          <w:p>
            <w:pPr>
              <w:ind w:left="360"/>
              <w:spacing w:after="0"/>
              <w:rPr>
                <w:sz w:val="20"/>
                <w:szCs w:val="20"/>
                <w:color w:val="auto"/>
              </w:rPr>
            </w:pPr>
            <w:r>
              <w:rPr>
                <w:rFonts w:ascii="Arial" w:cs="Arial" w:eastAsia="Arial" w:hAnsi="Arial"/>
                <w:sz w:val="16"/>
                <w:szCs w:val="16"/>
                <w:color w:val="auto"/>
              </w:rPr>
              <w:t>1</w:t>
            </w: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Segment Results</w:t>
      </w:r>
    </w:p>
    <w:p>
      <w:pPr>
        <w:spacing w:after="0" w:line="211" w:lineRule="exact"/>
        <w:rPr>
          <w:sz w:val="20"/>
          <w:szCs w:val="20"/>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North America reported EBIT-adjusted of $2.0 billion, compared with $1.9 billion in the second quarter of 2012.</w:t>
      </w:r>
    </w:p>
    <w:p>
      <w:pPr>
        <w:ind w:left="5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Europe reported an EBIT-adjusted of $(0.1) billion, compared with $(0.4) billion in the second quarter of 2012.</w:t>
      </w:r>
    </w:p>
    <w:p>
      <w:pPr>
        <w:ind w:left="5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International Operations reported EBIT-adjusted of $0.2 billion, compared with $0.6 billion in the second quarter of 2012.</w:t>
      </w:r>
    </w:p>
    <w:p>
      <w:pPr>
        <w:ind w:left="5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South America reported EBIT-adjusted of $0.1 billion, compared with EBIT-adjusted of $0.0 billion in the second quarter of 2012.</w:t>
      </w: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Financial earnings before tax was $0.3 billion for the quarter, compared to $0.2 billion in the second quarter of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Liquidity</w:t>
      </w:r>
    </w:p>
    <w:p>
      <w:pPr>
        <w:spacing w:after="0" w:line="20"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For the quarter, automotive cash flow from operating activities was $ 4.5 billion and automotive free cash flow adjusted was $2.6 billion. GM ended the quarter with very strong total automotive liquidity of $34.8 billion. Automotive cash and marketable securities was $24.2 billion compared with $24.3 billion for the first quarter of 2013.</w:t>
      </w:r>
    </w:p>
    <w:p>
      <w:pPr>
        <w:spacing w:after="0" w:line="18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“Our results in this quarter were clearly pegged to winning vehicles like the </w:t>
      </w:r>
      <w:r>
        <w:rPr>
          <w:rFonts w:ascii="Arial" w:cs="Arial" w:eastAsia="Arial" w:hAnsi="Arial"/>
          <w:sz w:val="18"/>
          <w:szCs w:val="18"/>
          <w:u w:val="single" w:color="auto"/>
          <w:color w:val="0000FF"/>
        </w:rPr>
        <w:t>Cadillac ATS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Chevrolet Impala</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Opel Mokka</w:t>
      </w:r>
      <w:r>
        <w:rPr>
          <w:rFonts w:ascii="Arial" w:cs="Arial" w:eastAsia="Arial" w:hAnsi="Arial"/>
          <w:sz w:val="18"/>
          <w:szCs w:val="18"/>
          <w:color w:val="auto"/>
        </w:rPr>
        <w:t>,” said Dan Ammann, GM executive vice president and CFO. “We will continue to address our business challenges head-on, execute flawless launches of our future products and most importantly, satisfy our customers.”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(NYSE:GM, TSX: GMM) and its partners produce vehicles in 30 countries, and the company has leadership positions in the world's largest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fastest-growing automotive 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240" w:type="dxa"/>
            <w:vAlign w:val="bottom"/>
          </w:tcPr>
          <w:p>
            <w:pPr>
              <w:jc w:val="right"/>
              <w:ind w:right="218"/>
              <w:spacing w:after="0"/>
              <w:rPr>
                <w:sz w:val="20"/>
                <w:szCs w:val="20"/>
                <w:color w:val="auto"/>
              </w:rPr>
            </w:pPr>
            <w:r>
              <w:rPr>
                <w:rFonts w:ascii="Arial" w:cs="Arial" w:eastAsia="Arial" w:hAnsi="Arial"/>
                <w:sz w:val="18"/>
                <w:szCs w:val="18"/>
                <w:color w:val="auto"/>
              </w:rPr>
              <w:t># # #</w:t>
            </w:r>
          </w:p>
        </w:tc>
        <w:tc>
          <w:tcPr>
            <w:tcW w:w="1720" w:type="dxa"/>
            <w:vAlign w:val="bottom"/>
          </w:tcPr>
          <w:p>
            <w:pPr>
              <w:spacing w:after="0"/>
              <w:rPr>
                <w:sz w:val="19"/>
                <w:szCs w:val="19"/>
                <w:color w:val="auto"/>
              </w:rPr>
            </w:pPr>
          </w:p>
        </w:tc>
      </w:tr>
      <w:tr>
        <w:trPr>
          <w:trHeight w:val="382"/>
        </w:trPr>
        <w:tc>
          <w:tcPr>
            <w:tcW w:w="1960" w:type="dxa"/>
            <w:vAlign w:val="bottom"/>
            <w:gridSpan w:val="2"/>
          </w:tcPr>
          <w:p>
            <w:pPr>
              <w:spacing w:after="0"/>
              <w:rPr>
                <w:sz w:val="20"/>
                <w:szCs w:val="20"/>
                <w:color w:val="auto"/>
              </w:rPr>
            </w:pPr>
            <w:r>
              <w:rPr>
                <w:rFonts w:ascii="Arial" w:cs="Arial" w:eastAsia="Arial" w:hAnsi="Arial"/>
                <w:sz w:val="16"/>
                <w:szCs w:val="16"/>
                <w:b w:val="1"/>
                <w:bCs w:val="1"/>
                <w:color w:val="auto"/>
              </w:rPr>
              <w:t>CONTACTS:</w:t>
            </w:r>
          </w:p>
        </w:tc>
        <w:tc>
          <w:tcPr>
            <w:tcW w:w="4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5"/>
        </w:trPr>
        <w:tc>
          <w:tcPr>
            <w:tcW w:w="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Tom Henderson</w:t>
            </w:r>
          </w:p>
        </w:tc>
        <w:tc>
          <w:tcPr>
            <w:tcW w:w="5960" w:type="dxa"/>
            <w:vAlign w:val="bottom"/>
            <w:gridSpan w:val="2"/>
          </w:tcPr>
          <w:p>
            <w:pPr>
              <w:ind w:left="4240"/>
              <w:spacing w:after="0"/>
              <w:rPr>
                <w:sz w:val="20"/>
                <w:szCs w:val="20"/>
                <w:color w:val="auto"/>
              </w:rPr>
            </w:pPr>
            <w:r>
              <w:rPr>
                <w:rFonts w:ascii="Arial" w:cs="Arial" w:eastAsia="Arial" w:hAnsi="Arial"/>
                <w:sz w:val="16"/>
                <w:szCs w:val="16"/>
                <w:color w:val="auto"/>
              </w:rPr>
              <w:t>Randy Arickx</w:t>
            </w:r>
          </w:p>
        </w:tc>
      </w:tr>
      <w:tr>
        <w:trPr>
          <w:trHeight w:val="181"/>
        </w:trPr>
        <w:tc>
          <w:tcPr>
            <w:tcW w:w="196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313-410-2704</w:t>
            </w:r>
          </w:p>
        </w:tc>
        <w:tc>
          <w:tcPr>
            <w:tcW w:w="5960" w:type="dxa"/>
            <w:vAlign w:val="bottom"/>
            <w:gridSpan w:val="2"/>
          </w:tcPr>
          <w:p>
            <w:pPr>
              <w:ind w:left="4240"/>
              <w:spacing w:after="0" w:line="181" w:lineRule="exact"/>
              <w:rPr>
                <w:sz w:val="20"/>
                <w:szCs w:val="20"/>
                <w:color w:val="auto"/>
              </w:rPr>
            </w:pPr>
            <w:r>
              <w:rPr>
                <w:rFonts w:ascii="Arial" w:cs="Arial" w:eastAsia="Arial" w:hAnsi="Arial"/>
                <w:sz w:val="16"/>
                <w:szCs w:val="16"/>
                <w:color w:val="auto"/>
              </w:rPr>
              <w:t>313-268-7070</w:t>
            </w:r>
          </w:p>
        </w:tc>
      </w:tr>
      <w:tr>
        <w:trPr>
          <w:trHeight w:val="158"/>
        </w:trPr>
        <w:tc>
          <w:tcPr>
            <w:tcW w:w="20" w:type="dxa"/>
            <w:vAlign w:val="bottom"/>
          </w:tcPr>
          <w:p>
            <w:pPr>
              <w:spacing w:after="0"/>
              <w:rPr>
                <w:sz w:val="13"/>
                <w:szCs w:val="13"/>
                <w:color w:val="auto"/>
              </w:rPr>
            </w:pPr>
          </w:p>
        </w:tc>
        <w:tc>
          <w:tcPr>
            <w:tcW w:w="1940" w:type="dxa"/>
            <w:vAlign w:val="bottom"/>
          </w:tcPr>
          <w:p>
            <w:pPr>
              <w:spacing w:after="0" w:line="158" w:lineRule="exact"/>
              <w:rPr>
                <w:sz w:val="20"/>
                <w:szCs w:val="20"/>
                <w:color w:val="auto"/>
              </w:rPr>
            </w:pPr>
            <w:r>
              <w:rPr>
                <w:rFonts w:ascii="Arial" w:cs="Arial" w:eastAsia="Arial" w:hAnsi="Arial"/>
                <w:sz w:val="16"/>
                <w:szCs w:val="16"/>
                <w:color w:val="0000FF"/>
                <w:w w:val="99"/>
              </w:rPr>
              <w:t>tom.e.henderson@gm.com</w:t>
            </w:r>
          </w:p>
        </w:tc>
        <w:tc>
          <w:tcPr>
            <w:tcW w:w="5960" w:type="dxa"/>
            <w:vAlign w:val="bottom"/>
            <w:gridSpan w:val="2"/>
          </w:tcPr>
          <w:p>
            <w:pPr>
              <w:ind w:left="4240"/>
              <w:spacing w:after="0" w:line="158" w:lineRule="exact"/>
              <w:rPr>
                <w:sz w:val="20"/>
                <w:szCs w:val="20"/>
                <w:color w:val="auto"/>
              </w:rPr>
            </w:pPr>
            <w:r>
              <w:rPr>
                <w:rFonts w:ascii="Arial" w:cs="Arial" w:eastAsia="Arial" w:hAnsi="Arial"/>
                <w:sz w:val="16"/>
                <w:szCs w:val="16"/>
                <w:color w:val="0000FF"/>
                <w:w w:val="98"/>
              </w:rPr>
              <w:t>randy.c.arickx@gm.com</w:t>
            </w: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Europe; and our ability to continue to attract new customers, particularly for our new products. GM's most recent annual report on Form 10-K provides information about these and other factors, which we may revise or supplement in future reports to the SEC.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717" w:right="239" w:bottom="1440" w:gutter="0" w:footer="0" w:header="0"/>
        </w:sectPr>
      </w:pPr>
    </w:p>
    <w:bookmarkStart w:id="6" w:name="page7"/>
    <w:bookmarkEnd w:id="6"/>
    <w:p>
      <w:pPr>
        <w:jc w:val="center"/>
        <w:ind w:left="880"/>
        <w:spacing w:after="0"/>
        <w:rPr>
          <w:sz w:val="20"/>
          <w:szCs w:val="20"/>
          <w:color w:val="auto"/>
        </w:rPr>
      </w:pPr>
      <w:r>
        <w:rPr>
          <w:rFonts w:ascii="Arial" w:cs="Arial" w:eastAsia="Arial" w:hAnsi="Arial"/>
          <w:sz w:val="16"/>
          <w:szCs w:val="16"/>
          <w:b w:val="1"/>
          <w:bCs w:val="1"/>
          <w:color w:val="auto"/>
        </w:rPr>
        <w:t>Exhibit 1</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46" w:lineRule="exact"/>
        <w:rPr>
          <w:sz w:val="20"/>
          <w:szCs w:val="20"/>
          <w:color w:val="auto"/>
        </w:rPr>
      </w:pPr>
    </w:p>
    <w:p>
      <w:pPr>
        <w:ind w:left="4" w:right="80" w:firstLine="145"/>
        <w:spacing w:after="0" w:line="268" w:lineRule="auto"/>
        <w:rPr>
          <w:sz w:val="20"/>
          <w:szCs w:val="20"/>
          <w:color w:val="auto"/>
        </w:rPr>
      </w:pPr>
      <w:r>
        <w:rPr>
          <w:rFonts w:ascii="Arial" w:cs="Arial" w:eastAsia="Arial" w:hAnsi="Arial"/>
          <w:sz w:val="14"/>
          <w:szCs w:val="14"/>
          <w:color w:val="auto"/>
        </w:rPr>
        <w:t>The accompanying tables and charts include earnings before interest and taxes adjusted for special items, presented net of noncontrolling interests, (EBIT-adjusted) and Adjusted automotive free cash flow. These metrics are not prepared in accordance with Accounting Principles Generally Accepted in the United States of America (U.S. GAAP) and have not been audited or reviewed by GM's independent auditors. EBIT-adjusted and Adjusted automotive free cash flow are considered non-GAAP financial measures.</w:t>
      </w:r>
    </w:p>
    <w:p>
      <w:pPr>
        <w:spacing w:after="0" w:line="136" w:lineRule="exact"/>
        <w:rPr>
          <w:sz w:val="20"/>
          <w:szCs w:val="20"/>
          <w:color w:val="auto"/>
        </w:rPr>
      </w:pPr>
    </w:p>
    <w:p>
      <w:pPr>
        <w:ind w:left="4" w:right="120" w:firstLine="145"/>
        <w:spacing w:after="0" w:line="289" w:lineRule="auto"/>
        <w:rPr>
          <w:sz w:val="20"/>
          <w:szCs w:val="20"/>
          <w:color w:val="auto"/>
        </w:rPr>
      </w:pPr>
      <w:r>
        <w:rPr>
          <w:rFonts w:ascii="Arial" w:cs="Arial" w:eastAsia="Arial" w:hAnsi="Arial"/>
          <w:sz w:val="13"/>
          <w:szCs w:val="13"/>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24" w:lineRule="exact"/>
        <w:rPr>
          <w:sz w:val="20"/>
          <w:szCs w:val="20"/>
          <w:color w:val="auto"/>
        </w:rPr>
      </w:pPr>
    </w:p>
    <w:p>
      <w:pPr>
        <w:ind w:left="4" w:right="280" w:firstLine="145"/>
        <w:spacing w:after="0" w:line="289" w:lineRule="auto"/>
        <w:rPr>
          <w:sz w:val="20"/>
          <w:szCs w:val="20"/>
          <w:color w:val="auto"/>
        </w:rPr>
      </w:pPr>
      <w:r>
        <w:rPr>
          <w:rFonts w:ascii="Arial" w:cs="Arial" w:eastAsia="Arial" w:hAnsi="Arial"/>
          <w:sz w:val="13"/>
          <w:szCs w:val="13"/>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Net income or Net income attributable to stockholders. Due to these limitations, these non-GAAP financial measures are used as a supplement to U.S. GAAP measures.</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the reconciliation of EBIT-adjusted to its most comparable U.S. GAAP measure (dollars in millions):</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2013</w:t>
            </w:r>
          </w:p>
        </w:tc>
        <w:tc>
          <w:tcPr>
            <w:tcW w:w="106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2012</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June 30, 2013</w:t>
            </w:r>
          </w:p>
        </w:tc>
        <w:tc>
          <w:tcPr>
            <w:tcW w:w="90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94"/>
              </w:rPr>
              <w:t>June 30, 2012</w:t>
            </w:r>
          </w:p>
        </w:tc>
        <w:tc>
          <w:tcPr>
            <w:tcW w:w="0" w:type="dxa"/>
            <w:vAlign w:val="bottom"/>
          </w:tcPr>
          <w:p>
            <w:pPr>
              <w:spacing w:after="0"/>
              <w:rPr>
                <w:sz w:val="1"/>
                <w:szCs w:val="1"/>
                <w:color w:val="auto"/>
              </w:rPr>
            </w:pPr>
          </w:p>
        </w:tc>
      </w:tr>
      <w:tr>
        <w:trPr>
          <w:trHeight w:val="211"/>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Operating segments</w:t>
            </w: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GMNA(a)(b)</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1,976</w:t>
            </w:r>
          </w:p>
        </w:tc>
        <w:tc>
          <w:tcPr>
            <w:tcW w:w="120" w:type="dxa"/>
            <w:vAlign w:val="bottom"/>
          </w:tcPr>
          <w:p>
            <w:pPr>
              <w:spacing w:after="0"/>
              <w:rPr>
                <w:sz w:val="20"/>
                <w:szCs w:val="20"/>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1,891</w:t>
            </w:r>
          </w:p>
        </w:tc>
        <w:tc>
          <w:tcPr>
            <w:tcW w:w="120" w:type="dxa"/>
            <w:vAlign w:val="bottom"/>
          </w:tcPr>
          <w:p>
            <w:pPr>
              <w:spacing w:after="0"/>
              <w:rPr>
                <w:sz w:val="20"/>
                <w:szCs w:val="20"/>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3,390</w:t>
            </w:r>
          </w:p>
        </w:tc>
        <w:tc>
          <w:tcPr>
            <w:tcW w:w="100" w:type="dxa"/>
            <w:vAlign w:val="bottom"/>
          </w:tcPr>
          <w:p>
            <w:pPr>
              <w:spacing w:after="0"/>
              <w:rPr>
                <w:sz w:val="20"/>
                <w:szCs w:val="20"/>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3,533</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GME(a)(b)</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GMIO(a)(b)</w:t>
            </w:r>
          </w:p>
        </w:tc>
        <w:tc>
          <w:tcPr>
            <w:tcW w:w="2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GMSA(a)(b)</w:t>
            </w:r>
          </w:p>
        </w:tc>
        <w:tc>
          <w:tcPr>
            <w:tcW w:w="2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GM Financial(c)</w:t>
            </w:r>
          </w:p>
        </w:tc>
        <w:tc>
          <w:tcPr>
            <w:tcW w:w="2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30"/>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60"/>
              <w:spacing w:after="0"/>
              <w:rPr>
                <w:sz w:val="20"/>
                <w:szCs w:val="20"/>
                <w:color w:val="auto"/>
              </w:rPr>
            </w:pPr>
            <w:r>
              <w:rPr>
                <w:rFonts w:ascii="Arial" w:cs="Arial" w:eastAsia="Arial" w:hAnsi="Arial"/>
                <w:sz w:val="14"/>
                <w:szCs w:val="14"/>
                <w:color w:val="auto"/>
              </w:rPr>
              <w:t>Total operating segments</w:t>
            </w:r>
          </w:p>
        </w:tc>
        <w:tc>
          <w:tcPr>
            <w:tcW w:w="2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2,402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2,357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4,278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4,560</w:t>
            </w:r>
          </w:p>
        </w:tc>
        <w:tc>
          <w:tcPr>
            <w:tcW w:w="0" w:type="dxa"/>
            <w:vAlign w:val="bottom"/>
          </w:tcPr>
          <w:p>
            <w:pPr>
              <w:spacing w:after="0"/>
              <w:rPr>
                <w:sz w:val="1"/>
                <w:szCs w:val="1"/>
                <w:color w:val="auto"/>
              </w:rPr>
            </w:pPr>
          </w:p>
        </w:tc>
      </w:tr>
      <w:tr>
        <w:trPr>
          <w:trHeight w:val="241"/>
        </w:trPr>
        <w:tc>
          <w:tcPr>
            <w:tcW w:w="7440" w:type="dxa"/>
            <w:vAlign w:val="bottom"/>
          </w:tcPr>
          <w:p>
            <w:pPr>
              <w:ind w:left="160"/>
              <w:spacing w:after="0"/>
              <w:rPr>
                <w:sz w:val="20"/>
                <w:szCs w:val="20"/>
                <w:color w:val="auto"/>
              </w:rPr>
            </w:pPr>
            <w:r>
              <w:rPr>
                <w:rFonts w:ascii="Arial" w:cs="Arial" w:eastAsia="Arial" w:hAnsi="Arial"/>
                <w:sz w:val="14"/>
                <w:szCs w:val="14"/>
                <w:color w:val="auto"/>
              </w:rPr>
              <w:t>Corporate(a)</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30"/>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EBIT-adjusted</w:t>
            </w:r>
          </w:p>
        </w:tc>
        <w:tc>
          <w:tcPr>
            <w:tcW w:w="2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2,276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2,119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4,042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4,301</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Special items</w:t>
            </w:r>
          </w:p>
        </w:tc>
        <w:tc>
          <w:tcPr>
            <w:tcW w:w="2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47"/>
        </w:trPr>
        <w:tc>
          <w:tcPr>
            <w:tcW w:w="7440" w:type="dxa"/>
            <w:vAlign w:val="bottom"/>
          </w:tcPr>
          <w:p>
            <w:pPr>
              <w:ind w:left="20"/>
              <w:spacing w:after="0"/>
              <w:rPr>
                <w:sz w:val="20"/>
                <w:szCs w:val="20"/>
                <w:color w:val="auto"/>
              </w:rPr>
            </w:pPr>
            <w:r>
              <w:rPr>
                <w:rFonts w:ascii="Arial" w:cs="Arial" w:eastAsia="Arial" w:hAnsi="Arial"/>
                <w:sz w:val="14"/>
                <w:szCs w:val="14"/>
                <w:color w:val="auto"/>
              </w:rPr>
              <w:t>Corporate interest income</w:t>
            </w:r>
          </w:p>
        </w:tc>
        <w:tc>
          <w:tcPr>
            <w:tcW w:w="26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35"/>
        </w:trPr>
        <w:tc>
          <w:tcPr>
            <w:tcW w:w="7440" w:type="dxa"/>
            <w:vAlign w:val="bottom"/>
          </w:tcPr>
          <w:p>
            <w:pPr>
              <w:ind w:left="20"/>
              <w:spacing w:after="0"/>
              <w:rPr>
                <w:sz w:val="20"/>
                <w:szCs w:val="20"/>
                <w:color w:val="auto"/>
              </w:rPr>
            </w:pPr>
            <w:r>
              <w:rPr>
                <w:rFonts w:ascii="Arial" w:cs="Arial" w:eastAsia="Arial" w:hAnsi="Arial"/>
                <w:sz w:val="14"/>
                <w:szCs w:val="14"/>
                <w:color w:val="auto"/>
              </w:rPr>
              <w:t>Automotive interest expense</w:t>
            </w:r>
          </w:p>
        </w:tc>
        <w:tc>
          <w:tcPr>
            <w:tcW w:w="2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2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30"/>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stockholders</w:t>
            </w:r>
          </w:p>
        </w:tc>
        <w:tc>
          <w:tcPr>
            <w:tcW w:w="2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1,414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1,846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2,589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3,161</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Less: cumulative dividends on preferred stock</w:t>
            </w:r>
          </w:p>
        </w:tc>
        <w:tc>
          <w:tcPr>
            <w:tcW w:w="2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4"/>
                <w:szCs w:val="14"/>
                <w:color w:val="auto"/>
              </w:rPr>
              <w:t>Less: undistributed earnings allocated to Series B Preferred Stock participating security(d)</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30"/>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common stockholders</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1,200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1,487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2,491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84" w:right="60" w:hanging="284"/>
        <w:spacing w:after="0" w:line="253" w:lineRule="auto"/>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three months ended March 31, 2013 GM changed its managerial and reporting structure to report segment revenues and profits based on the geographic region in which a vehicle is sold. Previously, segment results included the impacts of inter-segment sales and profits. Prior year segment results have been reclassified so all information is shown on a comparable basis. Consolidated results are unaffected by this change.</w:t>
      </w:r>
    </w:p>
    <w:p>
      <w:pPr>
        <w:spacing w:after="0" w:line="1" w:lineRule="exact"/>
        <w:rPr>
          <w:rFonts w:ascii="Arial" w:cs="Arial" w:eastAsia="Arial" w:hAnsi="Arial"/>
          <w:sz w:val="14"/>
          <w:szCs w:val="14"/>
          <w:color w:val="auto"/>
        </w:rPr>
      </w:pPr>
    </w:p>
    <w:p>
      <w:pPr>
        <w:ind w:left="284" w:right="240" w:hanging="284"/>
        <w:spacing w:after="0" w:line="251" w:lineRule="auto"/>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GM's automotive operations interest and income taxes are recorded centrally in Corporate; therefore, there are no reconciling items for GM's automotive operating segments between EBIT-adjusted and Net income attributable to stockholders.</w:t>
      </w:r>
    </w:p>
    <w:p>
      <w:pPr>
        <w:ind w:left="284" w:hanging="284"/>
        <w:spacing w:after="0"/>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 Financial amounts represent income before income taxes.</w:t>
      </w:r>
    </w:p>
    <w:p>
      <w:pPr>
        <w:spacing w:after="0" w:line="7" w:lineRule="exact"/>
        <w:rPr>
          <w:rFonts w:ascii="Arial" w:cs="Arial" w:eastAsia="Arial" w:hAnsi="Arial"/>
          <w:sz w:val="14"/>
          <w:szCs w:val="14"/>
          <w:color w:val="auto"/>
        </w:rPr>
      </w:pPr>
    </w:p>
    <w:p>
      <w:pPr>
        <w:ind w:left="284" w:right="360" w:hanging="284"/>
        <w:spacing w:after="0" w:line="266" w:lineRule="auto"/>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three and six months ended June 30, 2013 the applicable market value of our common stock was within the range of $33.00 to $39.60 per common share, as such, we applied the if-converted method for purposes of calculating basic earnings per share.</w:t>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4"/>
          </w:cols>
          <w:pgMar w:left="236" w:top="533" w:right="219" w:bottom="1440" w:gutter="0" w:footer="0" w:header="0"/>
        </w:sectPr>
      </w:pPr>
    </w:p>
    <w:bookmarkStart w:id="7" w:name="page8"/>
    <w:bookmarkEnd w:id="7"/>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summarizes the special items: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the three months ended June 30, 2013 special items included the following:</w:t>
      </w:r>
    </w:p>
    <w:p>
      <w:pPr>
        <w:spacing w:after="0" w:line="226" w:lineRule="exact"/>
        <w:rPr>
          <w:sz w:val="20"/>
          <w:szCs w:val="20"/>
          <w:color w:val="auto"/>
        </w:rPr>
      </w:pPr>
    </w:p>
    <w:p>
      <w:pPr>
        <w:ind w:left="1220" w:hanging="500"/>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acquisition of GM Korea preferred shares of $67 million in GMIO; and</w:t>
      </w:r>
    </w:p>
    <w:p>
      <w:pPr>
        <w:spacing w:after="0" w:line="45" w:lineRule="exact"/>
        <w:rPr>
          <w:rFonts w:ascii="Arial" w:cs="Arial" w:eastAsia="Arial" w:hAnsi="Arial"/>
          <w:sz w:val="16"/>
          <w:szCs w:val="16"/>
          <w:color w:val="auto"/>
        </w:rPr>
      </w:pPr>
    </w:p>
    <w:p>
      <w:pPr>
        <w:ind w:left="1220" w:hanging="500"/>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Pension settlement credits of $37 million in GMNA.</w:t>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the six months ended June 30, 2013 special items included the following:</w:t>
      </w:r>
    </w:p>
    <w:p>
      <w:pPr>
        <w:spacing w:after="0" w:line="226" w:lineRule="exact"/>
        <w:rPr>
          <w:sz w:val="20"/>
          <w:szCs w:val="20"/>
          <w:color w:val="auto"/>
        </w:rPr>
      </w:pPr>
    </w:p>
    <w:p>
      <w:pPr>
        <w:ind w:left="1220" w:hanging="500"/>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Venezuela currency devaluation of $162 million in GMSA;</w:t>
      </w:r>
    </w:p>
    <w:p>
      <w:pPr>
        <w:spacing w:after="0" w:line="45" w:lineRule="exact"/>
        <w:rPr>
          <w:rFonts w:ascii="Arial" w:cs="Arial" w:eastAsia="Arial" w:hAnsi="Arial"/>
          <w:sz w:val="16"/>
          <w:szCs w:val="16"/>
          <w:color w:val="auto"/>
        </w:rPr>
      </w:pPr>
    </w:p>
    <w:p>
      <w:pPr>
        <w:ind w:left="1220" w:hanging="500"/>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acquisition of GM Korea preferred shares of $67 million in GMIO; and</w:t>
      </w:r>
    </w:p>
    <w:p>
      <w:pPr>
        <w:spacing w:after="0" w:line="45" w:lineRule="exact"/>
        <w:rPr>
          <w:rFonts w:ascii="Arial" w:cs="Arial" w:eastAsia="Arial" w:hAnsi="Arial"/>
          <w:sz w:val="16"/>
          <w:szCs w:val="16"/>
          <w:color w:val="auto"/>
        </w:rPr>
      </w:pPr>
    </w:p>
    <w:p>
      <w:pPr>
        <w:ind w:left="1220" w:hanging="500"/>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pension settlement charges and income related to various insurance recoveries, net, of $29 million.</w:t>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There were no special items in the three months ended June 30, 2012.</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the six months ended June 30, 2012 special items included Goodwill impairment charges of $590 million in GME and $22 million in GMIO.</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following table summarizes the reconciliation of Adjusted automotive free cash flow to Automotive net cash provided by operating activities (dollars in millions):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Six Months Ended</w:t>
            </w:r>
          </w:p>
        </w:tc>
      </w:tr>
      <w:tr>
        <w:trPr>
          <w:trHeight w:val="233"/>
        </w:trPr>
        <w:tc>
          <w:tcPr>
            <w:tcW w:w="7420" w:type="dxa"/>
            <w:vAlign w:val="bottom"/>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2013</w:t>
            </w:r>
          </w:p>
        </w:tc>
        <w:tc>
          <w:tcPr>
            <w:tcW w:w="106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2012</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June 30, 2013</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June 30, 2012</w:t>
            </w:r>
          </w:p>
        </w:tc>
      </w:tr>
      <w:tr>
        <w:trPr>
          <w:trHeight w:val="214"/>
        </w:trPr>
        <w:tc>
          <w:tcPr>
            <w:tcW w:w="742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2,565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85"/>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1,698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1,980</w:t>
            </w: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Less: Adjustments for voluntary management actions</w:t>
            </w:r>
          </w:p>
        </w:tc>
        <w:tc>
          <w:tcPr>
            <w:tcW w:w="2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4"/>
        </w:trPr>
        <w:tc>
          <w:tcPr>
            <w:tcW w:w="7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6"/>
                <w:szCs w:val="16"/>
                <w:color w:val="auto"/>
              </w:rPr>
              <w:t>Automotive free cash flow</w:t>
            </w:r>
          </w:p>
        </w:tc>
        <w:tc>
          <w:tcPr>
            <w:tcW w:w="260" w:type="dxa"/>
            <w:vAlign w:val="bottom"/>
          </w:tcPr>
          <w:p>
            <w:pPr>
              <w:spacing w:after="0"/>
              <w:rPr>
                <w:sz w:val="18"/>
                <w:szCs w:val="18"/>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2,565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1,698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1,980</w:t>
            </w: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20"/>
                <w:szCs w:val="20"/>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1,890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3,829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4,052</w:t>
            </w:r>
          </w:p>
        </w:tc>
      </w:tr>
      <w:tr>
        <w:trPr>
          <w:trHeight w:val="24"/>
        </w:trPr>
        <w:tc>
          <w:tcPr>
            <w:tcW w:w="7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7"/>
        </w:trPr>
        <w:tc>
          <w:tcPr>
            <w:tcW w:w="7420" w:type="dxa"/>
            <w:vAlign w:val="bottom"/>
          </w:tcPr>
          <w:p>
            <w:pPr>
              <w:spacing w:after="0"/>
              <w:rPr>
                <w:sz w:val="20"/>
                <w:szCs w:val="20"/>
                <w:color w:val="auto"/>
              </w:rPr>
            </w:pPr>
            <w:r>
              <w:rPr>
                <w:rFonts w:ascii="Arial" w:cs="Arial" w:eastAsia="Arial" w:hAnsi="Arial"/>
                <w:sz w:val="16"/>
                <w:szCs w:val="16"/>
                <w:b w:val="1"/>
                <w:bCs w:val="1"/>
                <w:color w:val="auto"/>
              </w:rPr>
              <w:t>Automotive net cash provided by operating activities</w:t>
            </w: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4,455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3,760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4,998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6,032</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00" w:firstLine="145"/>
        <w:spacing w:after="0" w:line="279" w:lineRule="auto"/>
        <w:rPr>
          <w:sz w:val="20"/>
          <w:szCs w:val="20"/>
          <w:color w:val="auto"/>
        </w:rPr>
      </w:pPr>
      <w:r>
        <w:rPr>
          <w:rFonts w:ascii="Arial" w:cs="Arial" w:eastAsia="Arial" w:hAnsi="Arial"/>
          <w:sz w:val="16"/>
          <w:szCs w:val="16"/>
          <w:color w:val="auto"/>
        </w:rPr>
        <w:t>In the three months ended March 31, 2013 adjustments for voluntary management actions included pension contributions of $71 million related to the previously announced annuitization of the U.S. salaried pension plan.</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533"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Three Months Ended June 30, 2013</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23,495</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5,154</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5,250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4,308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39</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38,246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836</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39,075</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1,014</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127</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196</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7</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1,471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1,578</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426</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429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429</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Three Months Ended June 30, 2012</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21,552</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5,532</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5,915</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4,117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37,126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487</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37,614</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894</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295</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149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1,468</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1,520</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298</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300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300</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Six Months Ended June 30, 2013</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46,474</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9,972</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10,070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7,999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75</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74,590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1,376</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75,959</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2,739</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351</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435</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51</w:t>
            </w:r>
          </w:p>
        </w:tc>
        <w:tc>
          <w:tcPr>
            <w:tcW w:w="14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3,829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3,833</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1,940</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237</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399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258</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23</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2,856</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195</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3,043</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976</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984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984</w:t>
            </w:r>
          </w:p>
        </w:tc>
      </w:tr>
      <w:tr>
        <w:trPr>
          <w:trHeight w:val="386"/>
        </w:trPr>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260" w:type="dxa"/>
            <w:vAlign w:val="bottom"/>
          </w:tcPr>
          <w:p>
            <w:pPr>
              <w:spacing w:after="0"/>
              <w:rPr>
                <w:sz w:val="20"/>
                <w:szCs w:val="20"/>
                <w:color w:val="auto"/>
              </w:rPr>
            </w:pPr>
            <w:r>
              <w:rPr>
                <w:rFonts w:ascii="Arial" w:cs="Arial" w:eastAsia="Arial" w:hAnsi="Arial"/>
                <w:sz w:val="11"/>
                <w:szCs w:val="11"/>
                <w:b w:val="1"/>
                <w:bCs w:val="1"/>
                <w:color w:val="auto"/>
              </w:rPr>
              <w:t>Six Months Ended June 30, 2012</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44,727</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10,787</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10,931</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7,984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25</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74,454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918</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75,373</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2,241</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624</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616</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538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4,052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4,059</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1,782</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575</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278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235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26</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2,895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2,988</w:t>
            </w:r>
          </w:p>
        </w:tc>
      </w:tr>
      <w:tr>
        <w:trPr>
          <w:trHeight w:val="350"/>
        </w:trPr>
        <w:tc>
          <w:tcPr>
            <w:tcW w:w="2260" w:type="dxa"/>
            <w:vAlign w:val="bottom"/>
          </w:tcPr>
          <w:p>
            <w:pPr>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719</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723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723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60" w:top="673" w:right="219" w:bottom="1440" w:gutter="0" w:footer="0" w:header="0"/>
        </w:sectPr>
      </w:pPr>
    </w:p>
    <w:bookmarkStart w:id="9" w:name="page10"/>
    <w:bookmarkEnd w:id="9"/>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20" w:type="dxa"/>
            <w:vAlign w:val="bottom"/>
          </w:tcPr>
          <w:p>
            <w:pPr>
              <w:spacing w:after="0"/>
              <w:rPr>
                <w:sz w:val="14"/>
                <w:szCs w:val="14"/>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w w:val="89"/>
              </w:rPr>
              <w:t>June 30, 2013</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December 31, 2012</w:t>
            </w:r>
          </w:p>
        </w:tc>
      </w:tr>
      <w:tr>
        <w:trPr>
          <w:trHeight w:val="214"/>
        </w:trPr>
        <w:tc>
          <w:tcPr>
            <w:tcW w:w="9340" w:type="dxa"/>
            <w:vAlign w:val="bottom"/>
            <w:gridSpan w:val="2"/>
          </w:tcPr>
          <w:p>
            <w:pPr>
              <w:ind w:left="20"/>
              <w:spacing w:after="0"/>
              <w:rPr>
                <w:sz w:val="20"/>
                <w:szCs w:val="20"/>
                <w:color w:val="auto"/>
              </w:rPr>
            </w:pPr>
            <w:r>
              <w:rPr>
                <w:rFonts w:ascii="Arial" w:cs="Arial" w:eastAsia="Arial" w:hAnsi="Arial"/>
                <w:sz w:val="16"/>
                <w:szCs w:val="16"/>
                <w:b w:val="1"/>
                <w:bCs w:val="1"/>
                <w:color w:val="auto"/>
              </w:rPr>
              <w:t>Worldwide Employment (in thousands)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1"/>
        </w:trPr>
        <w:tc>
          <w:tcPr>
            <w:tcW w:w="9340" w:type="dxa"/>
            <w:vAlign w:val="bottom"/>
            <w:gridSpan w:val="2"/>
          </w:tcPr>
          <w:p>
            <w:pPr>
              <w:ind w:left="20"/>
              <w:spacing w:after="0"/>
              <w:rPr>
                <w:sz w:val="20"/>
                <w:szCs w:val="20"/>
                <w:color w:val="auto"/>
              </w:rPr>
            </w:pPr>
            <w:r>
              <w:rPr>
                <w:rFonts w:ascii="Arial" w:cs="Arial" w:eastAsia="Arial" w:hAnsi="Arial"/>
                <w:sz w:val="16"/>
                <w:szCs w:val="16"/>
                <w:color w:val="auto"/>
              </w:rPr>
              <w:t>GMNA(a)</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107</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101</w:t>
            </w:r>
          </w:p>
        </w:tc>
      </w:tr>
      <w:tr>
        <w:trPr>
          <w:trHeight w:val="241"/>
        </w:trPr>
        <w:tc>
          <w:tcPr>
            <w:tcW w:w="9340" w:type="dxa"/>
            <w:vAlign w:val="bottom"/>
            <w:gridSpan w:val="2"/>
          </w:tcPr>
          <w:p>
            <w:pPr>
              <w:ind w:left="20"/>
              <w:spacing w:after="0"/>
              <w:rPr>
                <w:sz w:val="20"/>
                <w:szCs w:val="20"/>
                <w:color w:val="auto"/>
              </w:rPr>
            </w:pPr>
            <w:r>
              <w:rPr>
                <w:rFonts w:ascii="Arial" w:cs="Arial" w:eastAsia="Arial" w:hAnsi="Arial"/>
                <w:sz w:val="16"/>
                <w:szCs w:val="16"/>
                <w:color w:val="auto"/>
              </w:rPr>
              <w:t>GME</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37</w:t>
            </w:r>
          </w:p>
        </w:tc>
      </w:tr>
      <w:tr>
        <w:trPr>
          <w:trHeight w:val="241"/>
        </w:trPr>
        <w:tc>
          <w:tcPr>
            <w:tcW w:w="9340" w:type="dxa"/>
            <w:vAlign w:val="bottom"/>
            <w:gridSpan w:val="2"/>
          </w:tcPr>
          <w:p>
            <w:pPr>
              <w:ind w:left="20"/>
              <w:spacing w:after="0"/>
              <w:rPr>
                <w:sz w:val="20"/>
                <w:szCs w:val="20"/>
                <w:color w:val="auto"/>
              </w:rPr>
            </w:pPr>
            <w:r>
              <w:rPr>
                <w:rFonts w:ascii="Arial" w:cs="Arial" w:eastAsia="Arial" w:hAnsi="Arial"/>
                <w:sz w:val="16"/>
                <w:szCs w:val="16"/>
                <w:color w:val="auto"/>
              </w:rPr>
              <w:t>GMIO</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39</w:t>
            </w:r>
          </w:p>
        </w:tc>
      </w:tr>
      <w:tr>
        <w:trPr>
          <w:trHeight w:val="241"/>
        </w:trPr>
        <w:tc>
          <w:tcPr>
            <w:tcW w:w="9340" w:type="dxa"/>
            <w:vAlign w:val="bottom"/>
            <w:gridSpan w:val="2"/>
          </w:tcPr>
          <w:p>
            <w:pPr>
              <w:ind w:left="20"/>
              <w:spacing w:after="0"/>
              <w:rPr>
                <w:sz w:val="20"/>
                <w:szCs w:val="20"/>
                <w:color w:val="auto"/>
              </w:rPr>
            </w:pPr>
            <w:r>
              <w:rPr>
                <w:rFonts w:ascii="Arial" w:cs="Arial" w:eastAsia="Arial" w:hAnsi="Arial"/>
                <w:sz w:val="16"/>
                <w:szCs w:val="16"/>
                <w:color w:val="auto"/>
              </w:rPr>
              <w:t>GMSA</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32</w:t>
            </w:r>
          </w:p>
        </w:tc>
      </w:tr>
      <w:tr>
        <w:trPr>
          <w:trHeight w:val="241"/>
        </w:trPr>
        <w:tc>
          <w:tcPr>
            <w:tcW w:w="9340" w:type="dxa"/>
            <w:vAlign w:val="bottom"/>
            <w:gridSpan w:val="2"/>
          </w:tcPr>
          <w:p>
            <w:pPr>
              <w:ind w:left="20"/>
              <w:spacing w:after="0"/>
              <w:rPr>
                <w:sz w:val="20"/>
                <w:szCs w:val="20"/>
                <w:color w:val="auto"/>
              </w:rPr>
            </w:pPr>
            <w:r>
              <w:rPr>
                <w:rFonts w:ascii="Arial" w:cs="Arial" w:eastAsia="Arial" w:hAnsi="Arial"/>
                <w:sz w:val="16"/>
                <w:szCs w:val="16"/>
                <w:color w:val="auto"/>
              </w:rPr>
              <w:t>GM Financial</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4</w:t>
            </w:r>
          </w:p>
        </w:tc>
      </w:tr>
      <w:tr>
        <w:trPr>
          <w:trHeight w:val="24"/>
        </w:trPr>
        <w:tc>
          <w:tcPr>
            <w:tcW w:w="8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93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Worldwide</w:t>
            </w:r>
          </w:p>
        </w:tc>
        <w:tc>
          <w:tcPr>
            <w:tcW w:w="400" w:type="dxa"/>
            <w:vAlign w:val="bottom"/>
          </w:tcPr>
          <w:p>
            <w:pPr>
              <w:jc w:val="right"/>
              <w:ind w:right="40"/>
              <w:spacing w:after="0"/>
              <w:rPr>
                <w:sz w:val="20"/>
                <w:szCs w:val="20"/>
                <w:color w:val="auto"/>
              </w:rPr>
            </w:pPr>
            <w:r>
              <w:rPr>
                <w:rFonts w:ascii="Arial" w:cs="Arial" w:eastAsia="Arial" w:hAnsi="Arial"/>
                <w:sz w:val="16"/>
                <w:szCs w:val="16"/>
                <w:b w:val="1"/>
                <w:bCs w:val="1"/>
                <w:color w:val="auto"/>
                <w:w w:val="97"/>
              </w:rPr>
              <w:t>219</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b w:val="1"/>
                <w:bCs w:val="1"/>
                <w:color w:val="auto"/>
              </w:rPr>
              <w:t>213</w:t>
            </w:r>
          </w:p>
        </w:tc>
      </w:tr>
      <w:tr>
        <w:trPr>
          <w:trHeight w:val="20"/>
        </w:trPr>
        <w:tc>
          <w:tcPr>
            <w:tcW w:w="8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9340" w:type="dxa"/>
            <w:vAlign w:val="bottom"/>
            <w:gridSpan w:val="2"/>
          </w:tcPr>
          <w:p>
            <w:pPr>
              <w:ind w:left="20"/>
              <w:spacing w:after="0"/>
              <w:rPr>
                <w:sz w:val="20"/>
                <w:szCs w:val="20"/>
                <w:color w:val="auto"/>
              </w:rPr>
            </w:pPr>
            <w:r>
              <w:rPr>
                <w:rFonts w:ascii="Arial" w:cs="Arial" w:eastAsia="Arial" w:hAnsi="Arial"/>
                <w:sz w:val="16"/>
                <w:szCs w:val="16"/>
                <w:color w:val="auto"/>
              </w:rPr>
              <w:t>U.S. - Salaried(a)</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30</w:t>
            </w:r>
          </w:p>
        </w:tc>
      </w:tr>
      <w:tr>
        <w:trPr>
          <w:trHeight w:val="241"/>
        </w:trPr>
        <w:tc>
          <w:tcPr>
            <w:tcW w:w="9340" w:type="dxa"/>
            <w:vAlign w:val="bottom"/>
            <w:gridSpan w:val="2"/>
          </w:tcPr>
          <w:p>
            <w:pPr>
              <w:ind w:left="20"/>
              <w:spacing w:after="0"/>
              <w:rPr>
                <w:sz w:val="20"/>
                <w:szCs w:val="20"/>
                <w:color w:val="auto"/>
              </w:rPr>
            </w:pPr>
            <w:r>
              <w:rPr>
                <w:rFonts w:ascii="Arial" w:cs="Arial" w:eastAsia="Arial" w:hAnsi="Arial"/>
                <w:sz w:val="16"/>
                <w:szCs w:val="16"/>
                <w:color w:val="auto"/>
              </w:rPr>
              <w:t>U.S. - Hourly</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50</w:t>
            </w:r>
          </w:p>
        </w:tc>
      </w:tr>
      <w:tr>
        <w:trPr>
          <w:trHeight w:val="185"/>
        </w:trPr>
        <w:tc>
          <w:tcPr>
            <w:tcW w:w="8120" w:type="dxa"/>
            <w:vAlign w:val="bottom"/>
          </w:tcPr>
          <w:p>
            <w:pPr>
              <w:spacing w:after="0"/>
              <w:rPr>
                <w:sz w:val="20"/>
                <w:szCs w:val="20"/>
                <w:color w:val="auto"/>
              </w:rPr>
            </w:pPr>
            <w:r>
              <w:rPr>
                <w:rFonts w:ascii="Arial" w:cs="Arial" w:eastAsia="Arial" w:hAnsi="Arial"/>
                <w:sz w:val="14"/>
                <w:szCs w:val="14"/>
                <w:color w:val="auto"/>
              </w:rPr>
              <w:t>_________</w:t>
            </w: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3"/>
        </w:trPr>
        <w:tc>
          <w:tcPr>
            <w:tcW w:w="9340" w:type="dxa"/>
            <w:vAlign w:val="bottom"/>
            <w:gridSpan w:val="2"/>
          </w:tcPr>
          <w:p>
            <w:pPr>
              <w:spacing w:after="0"/>
              <w:rPr>
                <w:sz w:val="20"/>
                <w:szCs w:val="20"/>
                <w:color w:val="auto"/>
              </w:rPr>
            </w:pPr>
            <w:r>
              <w:rPr>
                <w:rFonts w:ascii="Arial" w:cs="Arial" w:eastAsia="Arial" w:hAnsi="Arial"/>
                <w:sz w:val="14"/>
                <w:szCs w:val="14"/>
                <w:color w:val="auto"/>
                <w:w w:val="96"/>
              </w:rPr>
              <w:t>(a)  Headcount increased primarily due to the insourcing of certain information technology support functions that were previously provided by outside parties.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Wholesale and Retail Vehicle Sales</w:t>
      </w:r>
    </w:p>
    <w:p>
      <w:pPr>
        <w:spacing w:after="0" w:line="206" w:lineRule="exact"/>
        <w:rPr>
          <w:sz w:val="20"/>
          <w:szCs w:val="20"/>
          <w:color w:val="auto"/>
        </w:rPr>
      </w:pPr>
    </w:p>
    <w:p>
      <w:pPr>
        <w:ind w:right="20" w:firstLine="145"/>
        <w:spacing w:after="0" w:line="256" w:lineRule="auto"/>
        <w:rPr>
          <w:sz w:val="20"/>
          <w:szCs w:val="20"/>
          <w:color w:val="auto"/>
        </w:rPr>
      </w:pPr>
      <w:r>
        <w:rPr>
          <w:rFonts w:ascii="Arial" w:cs="Arial" w:eastAsia="Arial" w:hAnsi="Arial"/>
          <w:sz w:val="16"/>
          <w:szCs w:val="16"/>
          <w:color w:val="auto"/>
        </w:rPr>
        <w:t>Wholesale vehicle sales data, which represents sales directly to dealers and others, is the measure that correlates vehicle sales to our revenue from the sale of vehicles, which is the largest component of Automotive sales and revenue. Wholesale vehicle sales exclude vehicles produced by unconsolidated joint ventures. Retail vehicle sales data, which represents estimated sales to the end customer, including fleets, does not correlate directly to the revenue recognized during the period. However, retail vehicle sales data is indicative of the underlying demand for GM's vehicles, is the basis for market share, and is based upon the good faith estimates of management and includes all sales by joint ventures on a total vehicle basis, not based on the percentage of ownership in the joint venture. Market share information is based primarily on retail vehicle sales volume, but estimates may be used where retail vehicle sales volume is not available. Worldwide market share and retail vehicle sales data exclude the markets of Iran, North Korea, Sudan and Syria.</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GM presents both wholesale and retail vehicle sales data to assist in the analysis of its revenue and market share.</w:t>
      </w:r>
    </w:p>
    <w:p>
      <w:pPr>
        <w:spacing w:after="0" w:line="202" w:lineRule="exact"/>
        <w:rPr>
          <w:sz w:val="20"/>
          <w:szCs w:val="20"/>
          <w:color w:val="auto"/>
        </w:rPr>
      </w:pPr>
    </w:p>
    <w:p>
      <w:pPr>
        <w:ind w:right="700" w:firstLine="145"/>
        <w:spacing w:after="0" w:line="279" w:lineRule="auto"/>
        <w:rPr>
          <w:sz w:val="20"/>
          <w:szCs w:val="20"/>
          <w:color w:val="auto"/>
        </w:rPr>
      </w:pPr>
      <w:r>
        <w:rPr>
          <w:rFonts w:ascii="Arial" w:cs="Arial" w:eastAsia="Arial" w:hAnsi="Arial"/>
          <w:sz w:val="16"/>
          <w:szCs w:val="16"/>
          <w:color w:val="auto"/>
        </w:rPr>
        <w:t>The joint venture agreements with SAIC-GM-Wuling Automobile Co., Ltd. (SGMW) and FAW-GM Light Duty Commercial Vehicle Co., Ltd. (FAW-GM) allow for significant rights as a member as well as the contractual right to report SGMW and FAW-GM joint venture sales in China.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533" w:right="219" w:bottom="1440" w:gutter="0" w:footer="0" w:header="0"/>
        </w:sectPr>
      </w:pPr>
    </w:p>
    <w:bookmarkStart w:id="10" w:name="page11"/>
    <w:bookmarkEnd w:id="10"/>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Wholesale Vehicle Sales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summarizes total wholesale vehicle sales of new motor vehicles by automotive segment (vehicles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June 30, 2013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June 30, 2012</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June 30, 2013</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June 30, 2012</w:t>
            </w:r>
          </w:p>
        </w:tc>
        <w:tc>
          <w:tcPr>
            <w:tcW w:w="0" w:type="dxa"/>
            <w:vAlign w:val="bottom"/>
          </w:tcPr>
          <w:p>
            <w:pPr>
              <w:spacing w:after="0"/>
              <w:rPr>
                <w:sz w:val="1"/>
                <w:szCs w:val="1"/>
                <w:color w:val="auto"/>
              </w:rPr>
            </w:pPr>
          </w:p>
        </w:tc>
      </w:tr>
      <w:tr>
        <w:trPr>
          <w:trHeight w:val="214"/>
        </w:trPr>
        <w:tc>
          <w:tcPr>
            <w:tcW w:w="3180" w:type="dxa"/>
            <w:vAlign w:val="bottom"/>
          </w:tcPr>
          <w:p>
            <w:pPr>
              <w:spacing w:after="0"/>
              <w:rPr>
                <w:sz w:val="20"/>
                <w:szCs w:val="20"/>
                <w:color w:val="auto"/>
              </w:rPr>
            </w:pPr>
            <w:r>
              <w:rPr>
                <w:rFonts w:ascii="Arial" w:cs="Arial" w:eastAsia="Arial" w:hAnsi="Arial"/>
                <w:sz w:val="16"/>
                <w:szCs w:val="16"/>
                <w:color w:val="auto"/>
              </w:rPr>
              <w:t>GMNA</w:t>
            </w:r>
          </w:p>
        </w:tc>
        <w:tc>
          <w:tcPr>
            <w:tcW w:w="4140" w:type="dxa"/>
            <w:vAlign w:val="bottom"/>
            <w:gridSpan w:val="2"/>
          </w:tcPr>
          <w:p>
            <w:pPr>
              <w:jc w:val="right"/>
              <w:ind w:right="76"/>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1,638</w:t>
            </w:r>
          </w:p>
        </w:tc>
        <w:tc>
          <w:tcPr>
            <w:tcW w:w="10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41"/>
        </w:trPr>
        <w:tc>
          <w:tcPr>
            <w:tcW w:w="3180" w:type="dxa"/>
            <w:vAlign w:val="bottom"/>
          </w:tcPr>
          <w:p>
            <w:pPr>
              <w:spacing w:after="0"/>
              <w:rPr>
                <w:sz w:val="20"/>
                <w:szCs w:val="20"/>
                <w:color w:val="auto"/>
              </w:rPr>
            </w:pPr>
            <w:r>
              <w:rPr>
                <w:rFonts w:ascii="Arial" w:cs="Arial" w:eastAsia="Arial" w:hAnsi="Arial"/>
                <w:sz w:val="16"/>
                <w:szCs w:val="16"/>
                <w:color w:val="auto"/>
              </w:rPr>
              <w:t>GME</w:t>
            </w:r>
          </w:p>
        </w:tc>
        <w:tc>
          <w:tcPr>
            <w:tcW w:w="4140" w:type="dxa"/>
            <w:vAlign w:val="bottom"/>
            <w:gridSpan w:val="2"/>
          </w:tcPr>
          <w:p>
            <w:pPr>
              <w:jc w:val="right"/>
              <w:ind w:right="76"/>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41"/>
        </w:trPr>
        <w:tc>
          <w:tcPr>
            <w:tcW w:w="3180" w:type="dxa"/>
            <w:vAlign w:val="bottom"/>
          </w:tcPr>
          <w:p>
            <w:pPr>
              <w:spacing w:after="0"/>
              <w:rPr>
                <w:sz w:val="20"/>
                <w:szCs w:val="20"/>
                <w:color w:val="auto"/>
              </w:rPr>
            </w:pPr>
            <w:r>
              <w:rPr>
                <w:rFonts w:ascii="Arial" w:cs="Arial" w:eastAsia="Arial" w:hAnsi="Arial"/>
                <w:sz w:val="16"/>
                <w:szCs w:val="16"/>
                <w:color w:val="auto"/>
              </w:rPr>
              <w:t>GMIO</w:t>
            </w:r>
          </w:p>
        </w:tc>
        <w:tc>
          <w:tcPr>
            <w:tcW w:w="4140" w:type="dxa"/>
            <w:vAlign w:val="bottom"/>
            <w:gridSpan w:val="2"/>
          </w:tcPr>
          <w:p>
            <w:pPr>
              <w:jc w:val="right"/>
              <w:ind w:right="76"/>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41"/>
        </w:trPr>
        <w:tc>
          <w:tcPr>
            <w:tcW w:w="3180" w:type="dxa"/>
            <w:vAlign w:val="bottom"/>
          </w:tcPr>
          <w:p>
            <w:pPr>
              <w:spacing w:after="0"/>
              <w:rPr>
                <w:sz w:val="20"/>
                <w:szCs w:val="20"/>
                <w:color w:val="auto"/>
              </w:rPr>
            </w:pPr>
            <w:r>
              <w:rPr>
                <w:rFonts w:ascii="Arial" w:cs="Arial" w:eastAsia="Arial" w:hAnsi="Arial"/>
                <w:sz w:val="16"/>
                <w:szCs w:val="16"/>
                <w:color w:val="auto"/>
              </w:rPr>
              <w:t>GMSA</w:t>
            </w:r>
          </w:p>
        </w:tc>
        <w:tc>
          <w:tcPr>
            <w:tcW w:w="4140" w:type="dxa"/>
            <w:vAlign w:val="bottom"/>
            <w:gridSpan w:val="2"/>
          </w:tcPr>
          <w:p>
            <w:pPr>
              <w:jc w:val="right"/>
              <w:ind w:right="76"/>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180" w:type="dxa"/>
            <w:vAlign w:val="bottom"/>
          </w:tcPr>
          <w:p>
            <w:pPr>
              <w:spacing w:after="0"/>
              <w:rPr>
                <w:sz w:val="20"/>
                <w:szCs w:val="20"/>
                <w:color w:val="auto"/>
              </w:rPr>
            </w:pPr>
            <w:r>
              <w:rPr>
                <w:rFonts w:ascii="Arial" w:cs="Arial" w:eastAsia="Arial" w:hAnsi="Arial"/>
                <w:sz w:val="16"/>
                <w:szCs w:val="16"/>
                <w:color w:val="auto"/>
              </w:rPr>
              <w:t>Worldwide</w:t>
            </w:r>
          </w:p>
        </w:tc>
        <w:tc>
          <w:tcPr>
            <w:tcW w:w="4140" w:type="dxa"/>
            <w:vAlign w:val="bottom"/>
            <w:gridSpan w:val="2"/>
          </w:tcPr>
          <w:p>
            <w:pPr>
              <w:jc w:val="right"/>
              <w:ind w:right="76"/>
              <w:spacing w:after="0"/>
              <w:rPr>
                <w:sz w:val="20"/>
                <w:szCs w:val="20"/>
                <w:color w:val="auto"/>
              </w:rPr>
            </w:pPr>
            <w:r>
              <w:rPr>
                <w:rFonts w:ascii="Arial" w:cs="Arial" w:eastAsia="Arial" w:hAnsi="Arial"/>
                <w:sz w:val="16"/>
                <w:szCs w:val="16"/>
                <w:color w:val="auto"/>
              </w:rPr>
              <w:t>1,631</w:t>
            </w:r>
          </w:p>
        </w:tc>
        <w:tc>
          <w:tcPr>
            <w:tcW w:w="120" w:type="dxa"/>
            <w:vAlign w:val="bottom"/>
          </w:tcPr>
          <w:p>
            <w:pPr>
              <w:spacing w:after="0"/>
              <w:rPr>
                <w:sz w:val="19"/>
                <w:szCs w:val="19"/>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19"/>
                <w:szCs w:val="19"/>
                <w:color w:val="auto"/>
              </w:rPr>
            </w:pP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3,185</w:t>
            </w:r>
          </w:p>
        </w:tc>
        <w:tc>
          <w:tcPr>
            <w:tcW w:w="100" w:type="dxa"/>
            <w:vAlign w:val="bottom"/>
          </w:tcPr>
          <w:p>
            <w:pPr>
              <w:spacing w:after="0"/>
              <w:rPr>
                <w:sz w:val="19"/>
                <w:szCs w:val="19"/>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860" w:type="dxa"/>
            <w:vAlign w:val="bottom"/>
            <w:vMerge w:val="restart"/>
          </w:tcPr>
          <w:p>
            <w:pPr>
              <w:jc w:val="right"/>
              <w:ind w:right="220"/>
              <w:spacing w:after="0"/>
              <w:rPr>
                <w:sz w:val="20"/>
                <w:szCs w:val="20"/>
                <w:color w:val="auto"/>
              </w:rPr>
            </w:pPr>
            <w:r>
              <w:rPr>
                <w:rFonts w:ascii="Arial" w:cs="Arial" w:eastAsia="Arial" w:hAnsi="Arial"/>
                <w:sz w:val="16"/>
                <w:szCs w:val="16"/>
                <w:color w:val="auto"/>
              </w:rPr>
              <w:t>5</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31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26" w:right="219" w:bottom="1440" w:gutter="0" w:footer="0" w:header="0"/>
        </w:sectPr>
      </w:pPr>
    </w:p>
    <w:bookmarkStart w:id="11" w:name="page12"/>
    <w:bookmarkEnd w:id="11"/>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3"/>
                <w:szCs w:val="13"/>
                <w:b w:val="1"/>
                <w:bCs w:val="1"/>
                <w:color w:val="auto"/>
              </w:rPr>
              <w:t>June 30, 2013</w:t>
            </w:r>
          </w:p>
        </w:tc>
        <w:tc>
          <w:tcPr>
            <w:tcW w:w="1380" w:type="dxa"/>
            <w:vAlign w:val="bottom"/>
            <w:gridSpan w:val="2"/>
          </w:tcPr>
          <w:p>
            <w:pPr>
              <w:ind w:left="260"/>
              <w:spacing w:after="0"/>
              <w:rPr>
                <w:sz w:val="20"/>
                <w:szCs w:val="20"/>
                <w:color w:val="auto"/>
              </w:rPr>
            </w:pPr>
            <w:r>
              <w:rPr>
                <w:rFonts w:ascii="Arial" w:cs="Arial" w:eastAsia="Arial" w:hAnsi="Arial"/>
                <w:sz w:val="13"/>
                <w:szCs w:val="13"/>
                <w:b w:val="1"/>
                <w:bCs w:val="1"/>
                <w:color w:val="auto"/>
              </w:rPr>
              <w:t>June 30, 2012</w:t>
            </w:r>
          </w:p>
        </w:tc>
        <w:tc>
          <w:tcPr>
            <w:tcW w:w="1340" w:type="dxa"/>
            <w:vAlign w:val="bottom"/>
            <w:gridSpan w:val="2"/>
          </w:tcPr>
          <w:p>
            <w:pPr>
              <w:ind w:left="240"/>
              <w:spacing w:after="0"/>
              <w:rPr>
                <w:sz w:val="20"/>
                <w:szCs w:val="20"/>
                <w:color w:val="auto"/>
              </w:rPr>
            </w:pPr>
            <w:r>
              <w:rPr>
                <w:rFonts w:ascii="Arial" w:cs="Arial" w:eastAsia="Arial" w:hAnsi="Arial"/>
                <w:sz w:val="13"/>
                <w:szCs w:val="13"/>
                <w:b w:val="1"/>
                <w:bCs w:val="1"/>
                <w:color w:val="auto"/>
              </w:rPr>
              <w:t>June 30, 2013</w:t>
            </w:r>
          </w:p>
        </w:tc>
        <w:tc>
          <w:tcPr>
            <w:tcW w:w="1260" w:type="dxa"/>
            <w:vAlign w:val="bottom"/>
          </w:tcPr>
          <w:p>
            <w:pPr>
              <w:jc w:val="right"/>
              <w:ind w:right="180"/>
              <w:spacing w:after="0"/>
              <w:rPr>
                <w:sz w:val="20"/>
                <w:szCs w:val="20"/>
                <w:color w:val="auto"/>
              </w:rPr>
            </w:pPr>
            <w:r>
              <w:rPr>
                <w:rFonts w:ascii="Arial" w:cs="Arial" w:eastAsia="Arial" w:hAnsi="Arial"/>
                <w:sz w:val="13"/>
                <w:szCs w:val="13"/>
                <w:b w:val="1"/>
                <w:bCs w:val="1"/>
                <w:color w:val="auto"/>
              </w:rPr>
              <w:t>June 30, 2012</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Retail Vehicle Sales (units in thousands)(a)(b)(c)</w:t>
            </w: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 - Cars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 - Trucks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 - Crossovers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Cadillac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Buick</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GMC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United States</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755</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707</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1,420</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1,316</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Canada, Mexico and 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North America</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880</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820</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1,642</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1,524</w:t>
            </w: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Europe</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Opel/Vauxhall</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Europe</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425</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455</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797</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853</w:t>
            </w: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Asia/Pacific, Middle East and Africa</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Wuling</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Buick</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Holden</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GMC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Cadillac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Asia/Pacific, Middle East and Africa(d)</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925</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862</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1,917</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1,791</w:t>
            </w: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South America</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South America</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262</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254</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497</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502</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2,492</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2,392</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4,853</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4,670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84" w:right="60" w:hanging="284"/>
        <w:spacing w:after="0" w:line="274"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ind w:left="284" w:hanging="284"/>
        <w:spacing w:after="0"/>
        <w:tabs>
          <w:tab w:leader="none" w:pos="284" w:val="left"/>
        </w:tabs>
        <w:numPr>
          <w:ilvl w:val="0"/>
          <w:numId w:val="7"/>
        </w:numPr>
        <w:rPr>
          <w:rFonts w:ascii="Arial" w:cs="Arial" w:eastAsia="Arial" w:hAnsi="Arial"/>
          <w:sz w:val="14"/>
          <w:szCs w:val="14"/>
          <w:color w:val="auto"/>
        </w:rPr>
      </w:pPr>
      <w:r>
        <w:rPr>
          <w:rFonts w:ascii="Arial" w:cs="Arial" w:eastAsia="Arial" w:hAnsi="Arial"/>
          <w:sz w:val="14"/>
          <w:szCs w:val="14"/>
          <w:color w:val="auto"/>
        </w:rPr>
        <w:t>Certain fleet sales that are accounted for as operating leases are included in vehicle sales at the time of delivery to the daily rental car companies.</w:t>
      </w:r>
    </w:p>
    <w:p>
      <w:pPr>
        <w:spacing w:after="0" w:line="7" w:lineRule="exact"/>
        <w:rPr>
          <w:rFonts w:ascii="Arial" w:cs="Arial" w:eastAsia="Arial" w:hAnsi="Arial"/>
          <w:sz w:val="14"/>
          <w:szCs w:val="14"/>
          <w:color w:val="auto"/>
        </w:rPr>
      </w:pPr>
    </w:p>
    <w:p>
      <w:pPr>
        <w:ind w:left="284" w:hanging="284"/>
        <w:spacing w:after="0"/>
        <w:tabs>
          <w:tab w:leader="none" w:pos="284" w:val="left"/>
        </w:tabs>
        <w:numPr>
          <w:ilvl w:val="0"/>
          <w:numId w:val="7"/>
        </w:numPr>
        <w:rPr>
          <w:rFonts w:ascii="Arial" w:cs="Arial" w:eastAsia="Arial" w:hAnsi="Arial"/>
          <w:sz w:val="14"/>
          <w:szCs w:val="14"/>
          <w:color w:val="auto"/>
        </w:rPr>
      </w:pPr>
      <w:r>
        <w:rPr>
          <w:rFonts w:ascii="Arial" w:cs="Arial" w:eastAsia="Arial" w:hAnsi="Arial"/>
          <w:sz w:val="14"/>
          <w:szCs w:val="14"/>
          <w:color w:val="auto"/>
        </w:rPr>
        <w:t>Vehicle sales data may include rounding differences.</w:t>
      </w:r>
    </w:p>
    <w:p>
      <w:pPr>
        <w:spacing w:after="0" w:line="7" w:lineRule="exact"/>
        <w:rPr>
          <w:rFonts w:ascii="Arial" w:cs="Arial" w:eastAsia="Arial" w:hAnsi="Arial"/>
          <w:sz w:val="14"/>
          <w:szCs w:val="14"/>
          <w:color w:val="auto"/>
        </w:rPr>
      </w:pPr>
    </w:p>
    <w:p>
      <w:pPr>
        <w:ind w:left="284" w:hanging="284"/>
        <w:spacing w:after="0"/>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joint venture vehicle sales presented in the following table are included in GM's retail vehicle sales. Vehicle sales for HKJV are included in the three and six months ended June 30, 2013.</w:t>
      </w:r>
    </w:p>
    <w:p>
      <w:pPr>
        <w:spacing w:after="0" w:line="217" w:lineRule="exact"/>
        <w:rPr>
          <w:sz w:val="20"/>
          <w:szCs w:val="20"/>
          <w:color w:val="auto"/>
        </w:rPr>
      </w:pPr>
    </w:p>
    <w:tbl>
      <w:tblPr>
        <w:tblLayout w:type="fixed"/>
        <w:tblInd w:w="984" w:type="dxa"/>
        <w:tblCellMar>
          <w:top w:w="0" w:type="dxa"/>
          <w:left w:w="0" w:type="dxa"/>
          <w:bottom w:w="0" w:type="dxa"/>
          <w:right w:w="0" w:type="dxa"/>
        </w:tblCellMar>
      </w:tblPr>
      <w:tr>
        <w:trPr>
          <w:trHeight w:val="153"/>
        </w:trPr>
        <w:tc>
          <w:tcPr>
            <w:tcW w:w="5580" w:type="dxa"/>
            <w:vAlign w:val="bottom"/>
          </w:tcPr>
          <w:p>
            <w:pPr>
              <w:spacing w:after="0"/>
              <w:rPr>
                <w:sz w:val="13"/>
                <w:szCs w:val="13"/>
                <w:color w:val="auto"/>
              </w:rPr>
            </w:pPr>
          </w:p>
        </w:tc>
        <w:tc>
          <w:tcPr>
            <w:tcW w:w="230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1"/>
                <w:szCs w:val="11"/>
                <w:b w:val="1"/>
                <w:bCs w:val="1"/>
                <w:color w:val="auto"/>
              </w:rPr>
              <w:t>Three Months Ended</w:t>
            </w:r>
          </w:p>
        </w:tc>
        <w:tc>
          <w:tcPr>
            <w:tcW w:w="80" w:type="dxa"/>
            <w:vAlign w:val="bottom"/>
          </w:tcPr>
          <w:p>
            <w:pPr>
              <w:spacing w:after="0"/>
              <w:rPr>
                <w:sz w:val="13"/>
                <w:szCs w:val="13"/>
                <w:color w:val="auto"/>
              </w:rPr>
            </w:pPr>
          </w:p>
        </w:tc>
        <w:tc>
          <w:tcPr>
            <w:tcW w:w="210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1"/>
                <w:szCs w:val="11"/>
                <w:b w:val="1"/>
                <w:bCs w:val="1"/>
                <w:color w:val="auto"/>
              </w:rPr>
              <w:t>Six Months Ended</w:t>
            </w:r>
          </w:p>
        </w:tc>
      </w:tr>
      <w:tr>
        <w:trPr>
          <w:trHeight w:val="233"/>
        </w:trPr>
        <w:tc>
          <w:tcPr>
            <w:tcW w:w="5580" w:type="dxa"/>
            <w:vAlign w:val="bottom"/>
          </w:tcPr>
          <w:p>
            <w:pPr>
              <w:spacing w:after="0"/>
              <w:rPr>
                <w:sz w:val="20"/>
                <w:szCs w:val="20"/>
                <w:color w:val="auto"/>
              </w:rPr>
            </w:pPr>
          </w:p>
        </w:tc>
        <w:tc>
          <w:tcPr>
            <w:tcW w:w="980" w:type="dxa"/>
            <w:vAlign w:val="bottom"/>
          </w:tcPr>
          <w:p>
            <w:pPr>
              <w:jc w:val="right"/>
              <w:ind w:right="100"/>
              <w:spacing w:after="0"/>
              <w:rPr>
                <w:sz w:val="20"/>
                <w:szCs w:val="20"/>
                <w:color w:val="auto"/>
              </w:rPr>
            </w:pPr>
            <w:r>
              <w:rPr>
                <w:rFonts w:ascii="Arial" w:cs="Arial" w:eastAsia="Arial" w:hAnsi="Arial"/>
                <w:sz w:val="11"/>
                <w:szCs w:val="11"/>
                <w:b w:val="1"/>
                <w:bCs w:val="1"/>
                <w:color w:val="auto"/>
              </w:rPr>
              <w:t>June 30, 2013</w:t>
            </w:r>
          </w:p>
        </w:tc>
        <w:tc>
          <w:tcPr>
            <w:tcW w:w="32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2012</w:t>
            </w:r>
          </w:p>
        </w:tc>
        <w:tc>
          <w:tcPr>
            <w:tcW w:w="1100" w:type="dxa"/>
            <w:vAlign w:val="bottom"/>
            <w:gridSpan w:val="2"/>
          </w:tcPr>
          <w:p>
            <w:pPr>
              <w:ind w:left="180"/>
              <w:spacing w:after="0"/>
              <w:rPr>
                <w:sz w:val="20"/>
                <w:szCs w:val="20"/>
                <w:color w:val="auto"/>
              </w:rPr>
            </w:pPr>
            <w:r>
              <w:rPr>
                <w:rFonts w:ascii="Arial" w:cs="Arial" w:eastAsia="Arial" w:hAnsi="Arial"/>
                <w:sz w:val="11"/>
                <w:szCs w:val="11"/>
                <w:b w:val="1"/>
                <w:bCs w:val="1"/>
                <w:color w:val="auto"/>
              </w:rPr>
              <w:t>June 30, 2013</w:t>
            </w:r>
          </w:p>
        </w:tc>
        <w:tc>
          <w:tcPr>
            <w:tcW w:w="1000" w:type="dxa"/>
            <w:vAlign w:val="bottom"/>
          </w:tcPr>
          <w:p>
            <w:pPr>
              <w:jc w:val="right"/>
              <w:ind w:right="98"/>
              <w:spacing w:after="0"/>
              <w:rPr>
                <w:sz w:val="20"/>
                <w:szCs w:val="20"/>
                <w:color w:val="auto"/>
              </w:rPr>
            </w:pPr>
            <w:r>
              <w:rPr>
                <w:rFonts w:ascii="Arial" w:cs="Arial" w:eastAsia="Arial" w:hAnsi="Arial"/>
                <w:sz w:val="11"/>
                <w:szCs w:val="11"/>
                <w:b w:val="1"/>
                <w:bCs w:val="1"/>
                <w:color w:val="auto"/>
              </w:rPr>
              <w:t>June 30, 2012</w:t>
            </w:r>
          </w:p>
        </w:tc>
      </w:tr>
      <w:tr>
        <w:trPr>
          <w:trHeight w:val="231"/>
        </w:trPr>
        <w:tc>
          <w:tcPr>
            <w:tcW w:w="5580" w:type="dxa"/>
            <w:vAlign w:val="bottom"/>
          </w:tcPr>
          <w:p>
            <w:pPr>
              <w:spacing w:after="0"/>
              <w:rPr>
                <w:sz w:val="20"/>
                <w:szCs w:val="20"/>
                <w:color w:val="auto"/>
              </w:rPr>
            </w:pPr>
            <w:r>
              <w:rPr>
                <w:rFonts w:ascii="Arial" w:cs="Arial" w:eastAsia="Arial" w:hAnsi="Arial"/>
                <w:sz w:val="13"/>
                <w:szCs w:val="13"/>
                <w:b w:val="1"/>
                <w:bCs w:val="1"/>
                <w:color w:val="auto"/>
              </w:rPr>
              <w:t>Joint venture sales in China</w:t>
            </w:r>
          </w:p>
        </w:tc>
        <w:tc>
          <w:tcPr>
            <w:tcW w:w="9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41"/>
        </w:trPr>
        <w:tc>
          <w:tcPr>
            <w:tcW w:w="5580" w:type="dxa"/>
            <w:vAlign w:val="bottom"/>
          </w:tcPr>
          <w:p>
            <w:pPr>
              <w:spacing w:after="0"/>
              <w:rPr>
                <w:sz w:val="20"/>
                <w:szCs w:val="20"/>
                <w:color w:val="auto"/>
              </w:rPr>
            </w:pPr>
            <w:r>
              <w:rPr>
                <w:rFonts w:ascii="Arial" w:cs="Arial" w:eastAsia="Arial" w:hAnsi="Arial"/>
                <w:sz w:val="13"/>
                <w:szCs w:val="13"/>
                <w:color w:val="auto"/>
              </w:rPr>
              <w:t>SGMS</w:t>
            </w:r>
          </w:p>
        </w:tc>
        <w:tc>
          <w:tcPr>
            <w:tcW w:w="980" w:type="dxa"/>
            <w:vAlign w:val="bottom"/>
          </w:tcPr>
          <w:p>
            <w:pPr>
              <w:jc w:val="right"/>
              <w:ind w:right="20"/>
              <w:spacing w:after="0"/>
              <w:rPr>
                <w:sz w:val="20"/>
                <w:szCs w:val="20"/>
                <w:color w:val="auto"/>
              </w:rPr>
            </w:pPr>
            <w:r>
              <w:rPr>
                <w:rFonts w:ascii="Arial" w:cs="Arial" w:eastAsia="Arial" w:hAnsi="Arial"/>
                <w:sz w:val="13"/>
                <w:szCs w:val="13"/>
                <w:color w:val="auto"/>
              </w:rPr>
              <w:t>361</w:t>
            </w:r>
          </w:p>
        </w:tc>
        <w:tc>
          <w:tcPr>
            <w:tcW w:w="320" w:type="dxa"/>
            <w:vAlign w:val="bottom"/>
          </w:tcPr>
          <w:p>
            <w:pPr>
              <w:jc w:val="right"/>
              <w:ind w:right="36"/>
              <w:spacing w:after="0"/>
              <w:rPr>
                <w:sz w:val="20"/>
                <w:szCs w:val="20"/>
                <w:color w:val="auto"/>
              </w:rPr>
            </w:pPr>
            <w:r>
              <w:rPr>
                <w:rFonts w:ascii="Arial" w:cs="Arial" w:eastAsia="Arial" w:hAnsi="Arial"/>
                <w:sz w:val="13"/>
                <w:szCs w:val="13"/>
                <w:color w:val="auto"/>
                <w:w w:val="92"/>
              </w:rPr>
              <w:t>337</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302</w:t>
            </w:r>
          </w:p>
        </w:tc>
        <w:tc>
          <w:tcPr>
            <w:tcW w:w="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640</w:t>
            </w:r>
          </w:p>
        </w:tc>
      </w:tr>
      <w:tr>
        <w:trPr>
          <w:trHeight w:val="241"/>
        </w:trPr>
        <w:tc>
          <w:tcPr>
            <w:tcW w:w="5580" w:type="dxa"/>
            <w:vAlign w:val="bottom"/>
          </w:tcPr>
          <w:p>
            <w:pPr>
              <w:spacing w:after="0"/>
              <w:rPr>
                <w:sz w:val="20"/>
                <w:szCs w:val="20"/>
                <w:color w:val="auto"/>
              </w:rPr>
            </w:pPr>
            <w:r>
              <w:rPr>
                <w:rFonts w:ascii="Arial" w:cs="Arial" w:eastAsia="Arial" w:hAnsi="Arial"/>
                <w:sz w:val="13"/>
                <w:szCs w:val="13"/>
                <w:color w:val="auto"/>
              </w:rPr>
              <w:t>SGMW and FAW-GM</w:t>
            </w:r>
          </w:p>
        </w:tc>
        <w:tc>
          <w:tcPr>
            <w:tcW w:w="980" w:type="dxa"/>
            <w:vAlign w:val="bottom"/>
          </w:tcPr>
          <w:p>
            <w:pPr>
              <w:jc w:val="right"/>
              <w:ind w:right="20"/>
              <w:spacing w:after="0"/>
              <w:rPr>
                <w:sz w:val="20"/>
                <w:szCs w:val="20"/>
                <w:color w:val="auto"/>
              </w:rPr>
            </w:pPr>
            <w:r>
              <w:rPr>
                <w:rFonts w:ascii="Arial" w:cs="Arial" w:eastAsia="Arial" w:hAnsi="Arial"/>
                <w:sz w:val="13"/>
                <w:szCs w:val="13"/>
                <w:color w:val="auto"/>
              </w:rPr>
              <w:t>389</w:t>
            </w:r>
          </w:p>
        </w:tc>
        <w:tc>
          <w:tcPr>
            <w:tcW w:w="320" w:type="dxa"/>
            <w:vAlign w:val="bottom"/>
          </w:tcPr>
          <w:p>
            <w:pPr>
              <w:jc w:val="right"/>
              <w:ind w:right="36"/>
              <w:spacing w:after="0"/>
              <w:rPr>
                <w:sz w:val="20"/>
                <w:szCs w:val="20"/>
                <w:color w:val="auto"/>
              </w:rPr>
            </w:pPr>
            <w:r>
              <w:rPr>
                <w:rFonts w:ascii="Arial" w:cs="Arial" w:eastAsia="Arial" w:hAnsi="Arial"/>
                <w:sz w:val="13"/>
                <w:szCs w:val="13"/>
                <w:color w:val="auto"/>
                <w:w w:val="92"/>
              </w:rPr>
              <w:t>407</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368</w:t>
            </w:r>
          </w:p>
        </w:tc>
        <w:tc>
          <w:tcPr>
            <w:tcW w:w="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3"/>
                <w:szCs w:val="13"/>
                <w:color w:val="auto"/>
              </w:rPr>
              <w:t>822</w:t>
            </w:r>
          </w:p>
        </w:tc>
        <w:tc>
          <w:tcPr>
            <w:tcW w:w="10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775</w:t>
            </w:r>
          </w:p>
        </w:tc>
      </w:tr>
      <w:tr>
        <w:trPr>
          <w:trHeight w:val="241"/>
        </w:trPr>
        <w:tc>
          <w:tcPr>
            <w:tcW w:w="5580" w:type="dxa"/>
            <w:vAlign w:val="bottom"/>
          </w:tcPr>
          <w:p>
            <w:pPr>
              <w:spacing w:after="0"/>
              <w:rPr>
                <w:sz w:val="20"/>
                <w:szCs w:val="20"/>
                <w:color w:val="auto"/>
              </w:rPr>
            </w:pPr>
            <w:r>
              <w:rPr>
                <w:rFonts w:ascii="Arial" w:cs="Arial" w:eastAsia="Arial" w:hAnsi="Arial"/>
                <w:sz w:val="13"/>
                <w:szCs w:val="13"/>
                <w:b w:val="1"/>
                <w:bCs w:val="1"/>
                <w:color w:val="auto"/>
              </w:rPr>
              <w:t>Joint venture sales in India</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1"/>
        </w:trPr>
        <w:tc>
          <w:tcPr>
            <w:tcW w:w="5580" w:type="dxa"/>
            <w:vAlign w:val="bottom"/>
          </w:tcPr>
          <w:p>
            <w:pPr>
              <w:spacing w:after="0"/>
              <w:rPr>
                <w:sz w:val="20"/>
                <w:szCs w:val="20"/>
                <w:color w:val="auto"/>
              </w:rPr>
            </w:pPr>
            <w:r>
              <w:rPr>
                <w:rFonts w:ascii="Arial" w:cs="Arial" w:eastAsia="Arial" w:hAnsi="Arial"/>
                <w:sz w:val="13"/>
                <w:szCs w:val="13"/>
                <w:color w:val="auto"/>
              </w:rPr>
              <w:t>HKJV</w:t>
            </w:r>
          </w:p>
        </w:tc>
        <w:tc>
          <w:tcPr>
            <w:tcW w:w="980" w:type="dxa"/>
            <w:vAlign w:val="bottom"/>
          </w:tcPr>
          <w:p>
            <w:pPr>
              <w:spacing w:after="0"/>
              <w:rPr>
                <w:sz w:val="20"/>
                <w:szCs w:val="20"/>
                <w:color w:val="auto"/>
              </w:rPr>
            </w:pPr>
          </w:p>
        </w:tc>
        <w:tc>
          <w:tcPr>
            <w:tcW w:w="32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49</w:t>
            </w:r>
          </w:p>
        </w:tc>
      </w:tr>
    </w:tbl>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4"/>
          </w:cols>
          <w:pgMar w:left="236" w:top="533" w:right="219" w:bottom="1440" w:gutter="0" w:footer="0" w:header="0"/>
        </w:sectPr>
      </w:pPr>
    </w:p>
    <w:bookmarkStart w:id="12" w:name="page13"/>
    <w:bookmarkEnd w:id="12"/>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264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20" w:type="dxa"/>
            <w:vAlign w:val="bottom"/>
            <w:tcBorders>
              <w:bottom w:val="single" w:sz="8" w:color="auto"/>
            </w:tcBorders>
            <w:gridSpan w:val="3"/>
          </w:tcPr>
          <w:p>
            <w:pPr>
              <w:ind w:left="800"/>
              <w:spacing w:after="0"/>
              <w:rPr>
                <w:sz w:val="20"/>
                <w:szCs w:val="20"/>
                <w:color w:val="auto"/>
              </w:rPr>
            </w:pPr>
            <w:r>
              <w:rPr>
                <w:rFonts w:ascii="Arial" w:cs="Arial" w:eastAsia="Arial" w:hAnsi="Arial"/>
                <w:sz w:val="13"/>
                <w:szCs w:val="13"/>
                <w:b w:val="1"/>
                <w:bCs w:val="1"/>
                <w:color w:val="auto"/>
              </w:rPr>
              <w:t>Six Months Ended</w:t>
            </w:r>
          </w:p>
        </w:tc>
      </w:tr>
      <w:tr>
        <w:trPr>
          <w:trHeight w:val="230"/>
        </w:trPr>
        <w:tc>
          <w:tcPr>
            <w:tcW w:w="606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3"/>
                <w:szCs w:val="13"/>
                <w:b w:val="1"/>
                <w:bCs w:val="1"/>
                <w:color w:val="auto"/>
              </w:rPr>
              <w:t>June 30, 2013</w:t>
            </w:r>
          </w:p>
        </w:tc>
        <w:tc>
          <w:tcPr>
            <w:tcW w:w="1360" w:type="dxa"/>
            <w:vAlign w:val="bottom"/>
            <w:gridSpan w:val="2"/>
          </w:tcPr>
          <w:p>
            <w:pPr>
              <w:ind w:left="240"/>
              <w:spacing w:after="0"/>
              <w:rPr>
                <w:sz w:val="20"/>
                <w:szCs w:val="20"/>
                <w:color w:val="auto"/>
              </w:rPr>
            </w:pPr>
            <w:r>
              <w:rPr>
                <w:rFonts w:ascii="Arial" w:cs="Arial" w:eastAsia="Arial" w:hAnsi="Arial"/>
                <w:sz w:val="13"/>
                <w:szCs w:val="13"/>
                <w:b w:val="1"/>
                <w:bCs w:val="1"/>
                <w:color w:val="auto"/>
              </w:rPr>
              <w:t>June 30, 2012</w:t>
            </w:r>
          </w:p>
        </w:tc>
        <w:tc>
          <w:tcPr>
            <w:tcW w:w="1360" w:type="dxa"/>
            <w:vAlign w:val="bottom"/>
            <w:gridSpan w:val="2"/>
          </w:tcPr>
          <w:p>
            <w:pPr>
              <w:ind w:left="240"/>
              <w:spacing w:after="0"/>
              <w:rPr>
                <w:sz w:val="20"/>
                <w:szCs w:val="20"/>
                <w:color w:val="auto"/>
              </w:rPr>
            </w:pPr>
            <w:r>
              <w:rPr>
                <w:rFonts w:ascii="Arial" w:cs="Arial" w:eastAsia="Arial" w:hAnsi="Arial"/>
                <w:sz w:val="13"/>
                <w:szCs w:val="13"/>
                <w:b w:val="1"/>
                <w:bCs w:val="1"/>
                <w:color w:val="auto"/>
              </w:rPr>
              <w:t>June 30, 2013</w:t>
            </w:r>
          </w:p>
        </w:tc>
        <w:tc>
          <w:tcPr>
            <w:tcW w:w="1260" w:type="dxa"/>
            <w:vAlign w:val="bottom"/>
          </w:tcPr>
          <w:p>
            <w:pPr>
              <w:ind w:left="260"/>
              <w:spacing w:after="0"/>
              <w:rPr>
                <w:sz w:val="20"/>
                <w:szCs w:val="20"/>
                <w:color w:val="auto"/>
              </w:rPr>
            </w:pPr>
            <w:r>
              <w:rPr>
                <w:rFonts w:ascii="Arial" w:cs="Arial" w:eastAsia="Arial" w:hAnsi="Arial"/>
                <w:sz w:val="13"/>
                <w:szCs w:val="13"/>
                <w:b w:val="1"/>
                <w:bCs w:val="1"/>
                <w:color w:val="auto"/>
              </w:rPr>
              <w:t>June 30, 2012</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Market Share(a)(b)</w:t>
            </w: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United States - Cars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14.7%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15.4%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14.3%</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14.8%</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United States - Trucks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23.8%</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23.4%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24.0%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23.1%</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United States - Crossovers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18.0%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18.5%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18.4%</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17.9%</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Total United States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18.0%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18.2%</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17.8%</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17.7%</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Total North America</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17.3%</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17.4%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17.2%</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17.0%</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Total Europe</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8.5%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7"/>
              </w:rPr>
              <w:t>8.8%</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7"/>
              </w:rPr>
              <w:t>8.4%</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8.5%</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Total Asia/Pacific, Middle East and Africa(c)</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9.3%</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7"/>
              </w:rPr>
              <w:t>9.2%</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7"/>
              </w:rPr>
              <w:t>9.4%</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9.3%</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Total South America</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17.1%</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18.1%</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17.2%</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18.2%</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Worldwide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11.5%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6"/>
              </w:rPr>
              <w:t>11.6%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6"/>
              </w:rPr>
              <w:t>11.5%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6"/>
              </w:rPr>
              <w:t>11.4%</w:t>
            </w:r>
          </w:p>
        </w:tc>
      </w:tr>
      <w:tr>
        <w:trPr>
          <w:trHeight w:val="48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U.S. Retail/Fleet Mix</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 Fleet Sales - Cars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28.2%</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31.0%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30.0%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32.1%</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 Fleet Sales - Trucks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28.4%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30.6%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25.9%</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28.0%</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 Fleet Sales - Crossovers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23.1%</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25.7%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22.0%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21.9%</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Vehicles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27.0%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6"/>
              </w:rPr>
              <w:t>29.6%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6"/>
              </w:rPr>
              <w:t>26.5%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6"/>
              </w:rPr>
              <w:t>28.2%</w:t>
            </w:r>
          </w:p>
        </w:tc>
      </w:tr>
      <w:tr>
        <w:trPr>
          <w:trHeight w:val="482"/>
        </w:trPr>
        <w:tc>
          <w:tcPr>
            <w:tcW w:w="6060" w:type="dxa"/>
            <w:vAlign w:val="bottom"/>
          </w:tcPr>
          <w:p>
            <w:pPr>
              <w:ind w:left="20"/>
              <w:spacing w:after="0"/>
              <w:rPr>
                <w:sz w:val="20"/>
                <w:szCs w:val="20"/>
                <w:color w:val="auto"/>
              </w:rPr>
            </w:pPr>
            <w:r>
              <w:rPr>
                <w:rFonts w:ascii="Arial" w:cs="Arial" w:eastAsia="Arial" w:hAnsi="Arial"/>
                <w:sz w:val="16"/>
                <w:szCs w:val="16"/>
                <w:color w:val="auto"/>
              </w:rPr>
              <w:t>North America Capacity Utilization</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102.1%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100.1%</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102.4%</w:t>
            </w:r>
          </w:p>
        </w:tc>
      </w:tr>
      <w:tr>
        <w:trPr>
          <w:trHeight w:val="217"/>
        </w:trPr>
        <w:tc>
          <w:tcPr>
            <w:tcW w:w="6060" w:type="dxa"/>
            <w:vAlign w:val="bottom"/>
          </w:tcPr>
          <w:p>
            <w:pPr>
              <w:spacing w:after="0"/>
              <w:rPr>
                <w:sz w:val="20"/>
                <w:szCs w:val="20"/>
                <w:color w:val="auto"/>
              </w:rPr>
            </w:pPr>
            <w:r>
              <w:rPr>
                <w:rFonts w:ascii="Arial" w:cs="Arial" w:eastAsia="Arial" w:hAnsi="Arial"/>
                <w:sz w:val="16"/>
                <w:szCs w:val="16"/>
                <w:color w:val="auto"/>
              </w:rPr>
              <w:t>________</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ind w:left="204" w:hanging="204"/>
        <w:spacing w:after="0"/>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 Share information is based on retail vehicles sales volume.</w:t>
      </w:r>
    </w:p>
    <w:p>
      <w:pPr>
        <w:spacing w:after="0" w:line="11" w:lineRule="exact"/>
        <w:rPr>
          <w:rFonts w:ascii="Arial" w:cs="Arial" w:eastAsia="Arial" w:hAnsi="Arial"/>
          <w:sz w:val="14"/>
          <w:szCs w:val="14"/>
          <w:color w:val="auto"/>
        </w:rPr>
      </w:pPr>
    </w:p>
    <w:p>
      <w:pPr>
        <w:ind w:left="284" w:right="140" w:hanging="284"/>
        <w:spacing w:after="0" w:line="271" w:lineRule="auto"/>
        <w:tabs>
          <w:tab w:leader="none" w:pos="199" w:val="left"/>
        </w:tabs>
        <w:numPr>
          <w:ilvl w:val="0"/>
          <w:numId w:val="8"/>
        </w:numPr>
        <w:rPr>
          <w:rFonts w:ascii="Arial" w:cs="Arial" w:eastAsia="Arial" w:hAnsi="Arial"/>
          <w:sz w:val="13"/>
          <w:szCs w:val="13"/>
          <w:color w:val="auto"/>
        </w:rPr>
      </w:pPr>
      <w:r>
        <w:rPr>
          <w:rFonts w:ascii="Arial" w:cs="Arial" w:eastAsia="Arial" w:hAnsi="Arial"/>
          <w:sz w:val="13"/>
          <w:szCs w:val="13"/>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ind w:left="204" w:hanging="204"/>
        <w:spacing w:after="0"/>
        <w:tabs>
          <w:tab w:leader="none" w:pos="204"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joint venture vehicle sales presented in the following table are included in GM's retail vehicle sales. Vehicle sales for HKJV are included in the three and six months ended June 30, 2013.</w:t>
      </w:r>
    </w:p>
    <w:p>
      <w:pPr>
        <w:spacing w:after="0" w:line="217" w:lineRule="exact"/>
        <w:rPr>
          <w:sz w:val="20"/>
          <w:szCs w:val="20"/>
          <w:color w:val="auto"/>
        </w:rPr>
      </w:pPr>
    </w:p>
    <w:tbl>
      <w:tblPr>
        <w:tblLayout w:type="fixed"/>
        <w:tblInd w:w="984" w:type="dxa"/>
        <w:tblCellMar>
          <w:top w:w="0" w:type="dxa"/>
          <w:left w:w="0" w:type="dxa"/>
          <w:bottom w:w="0" w:type="dxa"/>
          <w:right w:w="0" w:type="dxa"/>
        </w:tblCellMar>
      </w:tblPr>
      <w:tr>
        <w:trPr>
          <w:trHeight w:val="153"/>
        </w:trPr>
        <w:tc>
          <w:tcPr>
            <w:tcW w:w="5580" w:type="dxa"/>
            <w:vAlign w:val="bottom"/>
          </w:tcPr>
          <w:p>
            <w:pPr>
              <w:spacing w:after="0"/>
              <w:rPr>
                <w:sz w:val="13"/>
                <w:szCs w:val="13"/>
                <w:color w:val="auto"/>
              </w:rPr>
            </w:pPr>
          </w:p>
        </w:tc>
        <w:tc>
          <w:tcPr>
            <w:tcW w:w="230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1"/>
                <w:szCs w:val="11"/>
                <w:b w:val="1"/>
                <w:bCs w:val="1"/>
                <w:color w:val="auto"/>
              </w:rPr>
              <w:t>Three Months Ended</w:t>
            </w:r>
          </w:p>
        </w:tc>
        <w:tc>
          <w:tcPr>
            <w:tcW w:w="80" w:type="dxa"/>
            <w:vAlign w:val="bottom"/>
          </w:tcPr>
          <w:p>
            <w:pPr>
              <w:spacing w:after="0"/>
              <w:rPr>
                <w:sz w:val="13"/>
                <w:szCs w:val="13"/>
                <w:color w:val="auto"/>
              </w:rPr>
            </w:pPr>
          </w:p>
        </w:tc>
        <w:tc>
          <w:tcPr>
            <w:tcW w:w="210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1"/>
                <w:szCs w:val="11"/>
                <w:b w:val="1"/>
                <w:bCs w:val="1"/>
                <w:color w:val="auto"/>
              </w:rPr>
              <w:t>Six Months Ended</w:t>
            </w:r>
          </w:p>
        </w:tc>
      </w:tr>
      <w:tr>
        <w:trPr>
          <w:trHeight w:val="233"/>
        </w:trPr>
        <w:tc>
          <w:tcPr>
            <w:tcW w:w="5580" w:type="dxa"/>
            <w:vAlign w:val="bottom"/>
          </w:tcPr>
          <w:p>
            <w:pPr>
              <w:spacing w:after="0"/>
              <w:rPr>
                <w:sz w:val="20"/>
                <w:szCs w:val="20"/>
                <w:color w:val="auto"/>
              </w:rPr>
            </w:pPr>
          </w:p>
        </w:tc>
        <w:tc>
          <w:tcPr>
            <w:tcW w:w="980" w:type="dxa"/>
            <w:vAlign w:val="bottom"/>
          </w:tcPr>
          <w:p>
            <w:pPr>
              <w:jc w:val="right"/>
              <w:ind w:right="100"/>
              <w:spacing w:after="0"/>
              <w:rPr>
                <w:sz w:val="20"/>
                <w:szCs w:val="20"/>
                <w:color w:val="auto"/>
              </w:rPr>
            </w:pPr>
            <w:r>
              <w:rPr>
                <w:rFonts w:ascii="Arial" w:cs="Arial" w:eastAsia="Arial" w:hAnsi="Arial"/>
                <w:sz w:val="11"/>
                <w:szCs w:val="11"/>
                <w:b w:val="1"/>
                <w:bCs w:val="1"/>
                <w:color w:val="auto"/>
              </w:rPr>
              <w:t>June 30, 2013</w:t>
            </w:r>
          </w:p>
        </w:tc>
        <w:tc>
          <w:tcPr>
            <w:tcW w:w="32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2012</w:t>
            </w:r>
          </w:p>
        </w:tc>
        <w:tc>
          <w:tcPr>
            <w:tcW w:w="1100" w:type="dxa"/>
            <w:vAlign w:val="bottom"/>
            <w:gridSpan w:val="2"/>
          </w:tcPr>
          <w:p>
            <w:pPr>
              <w:ind w:left="180"/>
              <w:spacing w:after="0"/>
              <w:rPr>
                <w:sz w:val="20"/>
                <w:szCs w:val="20"/>
                <w:color w:val="auto"/>
              </w:rPr>
            </w:pPr>
            <w:r>
              <w:rPr>
                <w:rFonts w:ascii="Arial" w:cs="Arial" w:eastAsia="Arial" w:hAnsi="Arial"/>
                <w:sz w:val="11"/>
                <w:szCs w:val="11"/>
                <w:b w:val="1"/>
                <w:bCs w:val="1"/>
                <w:color w:val="auto"/>
              </w:rPr>
              <w:t>June 30, 2013</w:t>
            </w:r>
          </w:p>
        </w:tc>
        <w:tc>
          <w:tcPr>
            <w:tcW w:w="1000" w:type="dxa"/>
            <w:vAlign w:val="bottom"/>
          </w:tcPr>
          <w:p>
            <w:pPr>
              <w:jc w:val="right"/>
              <w:ind w:right="98"/>
              <w:spacing w:after="0"/>
              <w:rPr>
                <w:sz w:val="20"/>
                <w:szCs w:val="20"/>
                <w:color w:val="auto"/>
              </w:rPr>
            </w:pPr>
            <w:r>
              <w:rPr>
                <w:rFonts w:ascii="Arial" w:cs="Arial" w:eastAsia="Arial" w:hAnsi="Arial"/>
                <w:sz w:val="11"/>
                <w:szCs w:val="11"/>
                <w:b w:val="1"/>
                <w:bCs w:val="1"/>
                <w:color w:val="auto"/>
              </w:rPr>
              <w:t>June 30, 2012</w:t>
            </w:r>
          </w:p>
        </w:tc>
      </w:tr>
      <w:tr>
        <w:trPr>
          <w:trHeight w:val="231"/>
        </w:trPr>
        <w:tc>
          <w:tcPr>
            <w:tcW w:w="5580" w:type="dxa"/>
            <w:vAlign w:val="bottom"/>
          </w:tcPr>
          <w:p>
            <w:pPr>
              <w:spacing w:after="0"/>
              <w:rPr>
                <w:sz w:val="20"/>
                <w:szCs w:val="20"/>
                <w:color w:val="auto"/>
              </w:rPr>
            </w:pPr>
            <w:r>
              <w:rPr>
                <w:rFonts w:ascii="Arial" w:cs="Arial" w:eastAsia="Arial" w:hAnsi="Arial"/>
                <w:sz w:val="13"/>
                <w:szCs w:val="13"/>
                <w:b w:val="1"/>
                <w:bCs w:val="1"/>
                <w:color w:val="auto"/>
              </w:rPr>
              <w:t>Joint venture sales in China</w:t>
            </w:r>
          </w:p>
        </w:tc>
        <w:tc>
          <w:tcPr>
            <w:tcW w:w="9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41"/>
        </w:trPr>
        <w:tc>
          <w:tcPr>
            <w:tcW w:w="5580" w:type="dxa"/>
            <w:vAlign w:val="bottom"/>
          </w:tcPr>
          <w:p>
            <w:pPr>
              <w:spacing w:after="0"/>
              <w:rPr>
                <w:sz w:val="20"/>
                <w:szCs w:val="20"/>
                <w:color w:val="auto"/>
              </w:rPr>
            </w:pPr>
            <w:r>
              <w:rPr>
                <w:rFonts w:ascii="Arial" w:cs="Arial" w:eastAsia="Arial" w:hAnsi="Arial"/>
                <w:sz w:val="13"/>
                <w:szCs w:val="13"/>
                <w:color w:val="auto"/>
              </w:rPr>
              <w:t>SGMS</w:t>
            </w:r>
          </w:p>
        </w:tc>
        <w:tc>
          <w:tcPr>
            <w:tcW w:w="980" w:type="dxa"/>
            <w:vAlign w:val="bottom"/>
          </w:tcPr>
          <w:p>
            <w:pPr>
              <w:jc w:val="right"/>
              <w:ind w:right="20"/>
              <w:spacing w:after="0"/>
              <w:rPr>
                <w:sz w:val="20"/>
                <w:szCs w:val="20"/>
                <w:color w:val="auto"/>
              </w:rPr>
            </w:pPr>
            <w:r>
              <w:rPr>
                <w:rFonts w:ascii="Arial" w:cs="Arial" w:eastAsia="Arial" w:hAnsi="Arial"/>
                <w:sz w:val="13"/>
                <w:szCs w:val="13"/>
                <w:color w:val="auto"/>
              </w:rPr>
              <w:t>361</w:t>
            </w:r>
          </w:p>
        </w:tc>
        <w:tc>
          <w:tcPr>
            <w:tcW w:w="320" w:type="dxa"/>
            <w:vAlign w:val="bottom"/>
          </w:tcPr>
          <w:p>
            <w:pPr>
              <w:jc w:val="right"/>
              <w:ind w:right="36"/>
              <w:spacing w:after="0"/>
              <w:rPr>
                <w:sz w:val="20"/>
                <w:szCs w:val="20"/>
                <w:color w:val="auto"/>
              </w:rPr>
            </w:pPr>
            <w:r>
              <w:rPr>
                <w:rFonts w:ascii="Arial" w:cs="Arial" w:eastAsia="Arial" w:hAnsi="Arial"/>
                <w:sz w:val="13"/>
                <w:szCs w:val="13"/>
                <w:color w:val="auto"/>
                <w:w w:val="92"/>
              </w:rPr>
              <w:t>337</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302</w:t>
            </w:r>
          </w:p>
        </w:tc>
        <w:tc>
          <w:tcPr>
            <w:tcW w:w="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640</w:t>
            </w:r>
          </w:p>
        </w:tc>
      </w:tr>
      <w:tr>
        <w:trPr>
          <w:trHeight w:val="241"/>
        </w:trPr>
        <w:tc>
          <w:tcPr>
            <w:tcW w:w="5580" w:type="dxa"/>
            <w:vAlign w:val="bottom"/>
          </w:tcPr>
          <w:p>
            <w:pPr>
              <w:spacing w:after="0"/>
              <w:rPr>
                <w:sz w:val="20"/>
                <w:szCs w:val="20"/>
                <w:color w:val="auto"/>
              </w:rPr>
            </w:pPr>
            <w:r>
              <w:rPr>
                <w:rFonts w:ascii="Arial" w:cs="Arial" w:eastAsia="Arial" w:hAnsi="Arial"/>
                <w:sz w:val="13"/>
                <w:szCs w:val="13"/>
                <w:color w:val="auto"/>
              </w:rPr>
              <w:t>SGMW and FAW-GM</w:t>
            </w:r>
          </w:p>
        </w:tc>
        <w:tc>
          <w:tcPr>
            <w:tcW w:w="980" w:type="dxa"/>
            <w:vAlign w:val="bottom"/>
          </w:tcPr>
          <w:p>
            <w:pPr>
              <w:jc w:val="right"/>
              <w:ind w:right="20"/>
              <w:spacing w:after="0"/>
              <w:rPr>
                <w:sz w:val="20"/>
                <w:szCs w:val="20"/>
                <w:color w:val="auto"/>
              </w:rPr>
            </w:pPr>
            <w:r>
              <w:rPr>
                <w:rFonts w:ascii="Arial" w:cs="Arial" w:eastAsia="Arial" w:hAnsi="Arial"/>
                <w:sz w:val="13"/>
                <w:szCs w:val="13"/>
                <w:color w:val="auto"/>
              </w:rPr>
              <w:t>389</w:t>
            </w:r>
          </w:p>
        </w:tc>
        <w:tc>
          <w:tcPr>
            <w:tcW w:w="320" w:type="dxa"/>
            <w:vAlign w:val="bottom"/>
          </w:tcPr>
          <w:p>
            <w:pPr>
              <w:jc w:val="right"/>
              <w:ind w:right="36"/>
              <w:spacing w:after="0"/>
              <w:rPr>
                <w:sz w:val="20"/>
                <w:szCs w:val="20"/>
                <w:color w:val="auto"/>
              </w:rPr>
            </w:pPr>
            <w:r>
              <w:rPr>
                <w:rFonts w:ascii="Arial" w:cs="Arial" w:eastAsia="Arial" w:hAnsi="Arial"/>
                <w:sz w:val="13"/>
                <w:szCs w:val="13"/>
                <w:color w:val="auto"/>
                <w:w w:val="92"/>
              </w:rPr>
              <w:t>407</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368</w:t>
            </w:r>
          </w:p>
        </w:tc>
        <w:tc>
          <w:tcPr>
            <w:tcW w:w="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3"/>
                <w:szCs w:val="13"/>
                <w:color w:val="auto"/>
              </w:rPr>
              <w:t>822</w:t>
            </w:r>
          </w:p>
        </w:tc>
        <w:tc>
          <w:tcPr>
            <w:tcW w:w="10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775</w:t>
            </w:r>
          </w:p>
        </w:tc>
      </w:tr>
      <w:tr>
        <w:trPr>
          <w:trHeight w:val="241"/>
        </w:trPr>
        <w:tc>
          <w:tcPr>
            <w:tcW w:w="5580" w:type="dxa"/>
            <w:vAlign w:val="bottom"/>
          </w:tcPr>
          <w:p>
            <w:pPr>
              <w:spacing w:after="0"/>
              <w:rPr>
                <w:sz w:val="20"/>
                <w:szCs w:val="20"/>
                <w:color w:val="auto"/>
              </w:rPr>
            </w:pPr>
            <w:r>
              <w:rPr>
                <w:rFonts w:ascii="Arial" w:cs="Arial" w:eastAsia="Arial" w:hAnsi="Arial"/>
                <w:sz w:val="13"/>
                <w:szCs w:val="13"/>
                <w:b w:val="1"/>
                <w:bCs w:val="1"/>
                <w:color w:val="auto"/>
              </w:rPr>
              <w:t>Joint venture sales in India</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1"/>
        </w:trPr>
        <w:tc>
          <w:tcPr>
            <w:tcW w:w="5580" w:type="dxa"/>
            <w:vAlign w:val="bottom"/>
          </w:tcPr>
          <w:p>
            <w:pPr>
              <w:spacing w:after="0"/>
              <w:rPr>
                <w:sz w:val="20"/>
                <w:szCs w:val="20"/>
                <w:color w:val="auto"/>
              </w:rPr>
            </w:pPr>
            <w:r>
              <w:rPr>
                <w:rFonts w:ascii="Arial" w:cs="Arial" w:eastAsia="Arial" w:hAnsi="Arial"/>
                <w:sz w:val="13"/>
                <w:szCs w:val="13"/>
                <w:color w:val="auto"/>
              </w:rPr>
              <w:t>HKJV</w:t>
            </w:r>
          </w:p>
        </w:tc>
        <w:tc>
          <w:tcPr>
            <w:tcW w:w="980" w:type="dxa"/>
            <w:vAlign w:val="bottom"/>
          </w:tcPr>
          <w:p>
            <w:pPr>
              <w:spacing w:after="0"/>
              <w:rPr>
                <w:sz w:val="20"/>
                <w:szCs w:val="20"/>
                <w:color w:val="auto"/>
              </w:rPr>
            </w:pPr>
          </w:p>
        </w:tc>
        <w:tc>
          <w:tcPr>
            <w:tcW w:w="32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auto"/>
              </w:rPr>
              <w:t>49</w:t>
            </w:r>
          </w:p>
        </w:tc>
      </w:tr>
    </w:tbl>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4"/>
          </w:cols>
          <w:pgMar w:left="236" w:top="726" w:right="219" w:bottom="1440" w:gutter="0" w:footer="0" w:header="0"/>
        </w:sectPr>
      </w:pPr>
    </w:p>
    <w:bookmarkStart w:id="13" w:name="page14"/>
    <w:bookmarkEnd w:id="13"/>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Condensed Consolidated Income Statements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(In millions, except per share amounts)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2013</w:t>
            </w:r>
          </w:p>
        </w:tc>
        <w:tc>
          <w:tcPr>
            <w:tcW w:w="106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2012</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June 30, 2013</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June 30, 2012</w:t>
            </w:r>
          </w:p>
        </w:tc>
        <w:tc>
          <w:tcPr>
            <w:tcW w:w="0" w:type="dxa"/>
            <w:vAlign w:val="bottom"/>
          </w:tcPr>
          <w:p>
            <w:pPr>
              <w:spacing w:after="0"/>
              <w:rPr>
                <w:sz w:val="1"/>
                <w:szCs w:val="1"/>
                <w:color w:val="auto"/>
              </w:rPr>
            </w:pPr>
          </w:p>
        </w:tc>
      </w:tr>
      <w:tr>
        <w:trPr>
          <w:trHeight w:val="217"/>
        </w:trPr>
        <w:tc>
          <w:tcPr>
            <w:tcW w:w="7420" w:type="dxa"/>
            <w:vAlign w:val="bottom"/>
          </w:tcPr>
          <w:p>
            <w:pPr>
              <w:spacing w:after="0"/>
              <w:rPr>
                <w:sz w:val="20"/>
                <w:szCs w:val="20"/>
                <w:color w:val="auto"/>
              </w:rPr>
            </w:pPr>
            <w:r>
              <w:rPr>
                <w:rFonts w:ascii="Arial" w:cs="Arial" w:eastAsia="Arial" w:hAnsi="Arial"/>
                <w:sz w:val="16"/>
                <w:szCs w:val="16"/>
                <w:b w:val="1"/>
                <w:bCs w:val="1"/>
                <w:color w:val="auto"/>
              </w:rPr>
              <w:t>Net sales and revenue</w:t>
            </w: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38,240</w:t>
            </w:r>
          </w:p>
        </w:tc>
        <w:tc>
          <w:tcPr>
            <w:tcW w:w="12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37,127</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74,584</w:t>
            </w:r>
          </w:p>
        </w:tc>
        <w:tc>
          <w:tcPr>
            <w:tcW w:w="10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74,455</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GM Financial</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39,075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37,614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75,959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75,373</w:t>
            </w:r>
          </w:p>
        </w:tc>
        <w:tc>
          <w:tcPr>
            <w:tcW w:w="0" w:type="dxa"/>
            <w:vAlign w:val="bottom"/>
          </w:tcPr>
          <w:p>
            <w:pPr>
              <w:spacing w:after="0"/>
              <w:rPr>
                <w:sz w:val="1"/>
                <w:szCs w:val="1"/>
                <w:color w:val="auto"/>
              </w:rPr>
            </w:pPr>
          </w:p>
        </w:tc>
      </w:tr>
      <w:tr>
        <w:trPr>
          <w:trHeight w:val="24"/>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Automotive cost of sales</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33,824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32,678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66,441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65,588</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GM Financial operating and other expenses</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Automotive selling, general and administrative expense</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2,925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2,847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5,877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5,835</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Goodwill impairment charges</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ind w:left="140"/>
              <w:spacing w:after="0"/>
              <w:rPr>
                <w:sz w:val="20"/>
                <w:szCs w:val="20"/>
                <w:color w:val="auto"/>
              </w:rPr>
            </w:pPr>
            <w:r>
              <w:rPr>
                <w:rFonts w:ascii="Arial" w:cs="Arial" w:eastAsia="Arial" w:hAnsi="Arial"/>
                <w:sz w:val="16"/>
                <w:szCs w:val="16"/>
                <w:color w:val="auto"/>
              </w:rPr>
              <w:t>Total costs and expenses</w:t>
            </w:r>
          </w:p>
        </w:tc>
        <w:tc>
          <w:tcPr>
            <w:tcW w:w="2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37,324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35,793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73,249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72,556</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ind w:left="30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1,821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2,710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Automotive interest expense</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Interest income and other non-operating income, net</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6"/>
                <w:szCs w:val="16"/>
                <w:color w:val="auto"/>
              </w:rPr>
              <w:t>Income before income taxes and equity income</w:t>
            </w:r>
          </w:p>
        </w:tc>
        <w:tc>
          <w:tcPr>
            <w:tcW w:w="2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1,701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1,842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2,985</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Equity income, net of tax</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4"/>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1,901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2,573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3,251</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420" w:type="dxa"/>
            <w:vAlign w:val="bottom"/>
          </w:tcPr>
          <w:p>
            <w:pPr>
              <w:spacing w:after="0"/>
              <w:rPr>
                <w:sz w:val="20"/>
                <w:szCs w:val="20"/>
                <w:color w:val="auto"/>
              </w:rPr>
            </w:pPr>
            <w:r>
              <w:rPr>
                <w:rFonts w:ascii="Arial" w:cs="Arial" w:eastAsia="Arial" w:hAnsi="Arial"/>
                <w:sz w:val="16"/>
                <w:szCs w:val="16"/>
                <w:b w:val="1"/>
                <w:bCs w:val="1"/>
                <w:color w:val="auto"/>
              </w:rPr>
              <w:t>Net income attributable to stockholders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2,491</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b w:val="1"/>
                <w:bCs w:val="1"/>
                <w:color w:val="auto"/>
              </w:rPr>
              <w:t>Basic</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b w:val="1"/>
                <w:bCs w:val="1"/>
                <w:color w:val="auto"/>
              </w:rPr>
              <w:t>Diluted</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2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60" w:top="726" w:right="219" w:bottom="1440" w:gutter="0" w:footer="0" w:header="0"/>
        </w:sectPr>
      </w:pPr>
    </w:p>
    <w:bookmarkStart w:id="14" w:name="page15"/>
    <w:bookmarkEnd w:id="14"/>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jc w:val="both"/>
        <w:ind w:left="4" w:right="140" w:firstLine="145"/>
        <w:spacing w:after="0" w:line="268" w:lineRule="auto"/>
        <w:rPr>
          <w:sz w:val="20"/>
          <w:szCs w:val="20"/>
          <w:color w:val="auto"/>
        </w:rPr>
      </w:pPr>
      <w:r>
        <w:rPr>
          <w:rFonts w:ascii="Arial" w:cs="Arial" w:eastAsia="Arial" w:hAnsi="Arial"/>
          <w:sz w:val="14"/>
          <w:szCs w:val="14"/>
          <w:color w:val="auto"/>
        </w:rPr>
        <w:t>In the three and six months ended June 30, 2012 GM was required to use the two-class method for calculating earnings per share as the applicable market value of its common stock was below $33.00 per common share. In the three and six months ended June 30, 2013 GM was required to use the if-converted method for calculating earnings per share as the applicable market value of its common stock was within the price range of $33.00 to $39.60 per common share.</w:t>
      </w:r>
    </w:p>
    <w:p>
      <w:pPr>
        <w:spacing w:after="0" w:line="160"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basic and diluted earnings per share (in millions, except per share amounts):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2013</w:t>
            </w:r>
          </w:p>
        </w:tc>
        <w:tc>
          <w:tcPr>
            <w:tcW w:w="1060" w:type="dxa"/>
            <w:vAlign w:val="bottom"/>
            <w:gridSpan w:val="3"/>
          </w:tcPr>
          <w:p>
            <w:pPr>
              <w:ind w:left="100"/>
              <w:spacing w:after="0"/>
              <w:rPr>
                <w:sz w:val="20"/>
                <w:szCs w:val="20"/>
                <w:color w:val="auto"/>
              </w:rPr>
            </w:pPr>
            <w:r>
              <w:rPr>
                <w:rFonts w:ascii="Arial" w:cs="Arial" w:eastAsia="Arial" w:hAnsi="Arial"/>
                <w:sz w:val="13"/>
                <w:szCs w:val="13"/>
                <w:b w:val="1"/>
                <w:bCs w:val="1"/>
                <w:color w:val="auto"/>
              </w:rPr>
              <w:t>June 30, 2012</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June 30, 2013</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June 30, 2012</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20"/>
                <w:szCs w:val="20"/>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2,589</w:t>
            </w:r>
          </w:p>
        </w:tc>
        <w:tc>
          <w:tcPr>
            <w:tcW w:w="10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Less: cumulative dividends on preferred stock(a)</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Less: undistributed earnings allocated to Series B Preferred Stock participating security</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2,491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common shares outstanding - basic</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20"/>
                <w:szCs w:val="20"/>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20"/>
                <w:szCs w:val="20"/>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2,589</w:t>
            </w:r>
          </w:p>
        </w:tc>
        <w:tc>
          <w:tcPr>
            <w:tcW w:w="10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Add: preferred dividends to holders of Series B Preferred Stock</w:t>
            </w: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Less: cumulative dividends on preferred stock(a)</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Less: undistributed earnings allocated to Series B Preferred Stock participating security</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1,496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shares outstanding - diluted</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Dilutive effect of warrants</w:t>
            </w: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Dilutive effect of conversion of Series B Preferred Stock</w:t>
            </w: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0"/>
              <w:spacing w:after="0"/>
              <w:rPr>
                <w:sz w:val="20"/>
                <w:szCs w:val="20"/>
                <w:color w:val="auto"/>
              </w:rPr>
            </w:pPr>
            <w:r>
              <w:rPr>
                <w:rFonts w:ascii="Arial" w:cs="Arial" w:eastAsia="Arial" w:hAnsi="Arial"/>
                <w:sz w:val="16"/>
                <w:szCs w:val="16"/>
                <w:color w:val="auto"/>
              </w:rPr>
              <w:t>Dilutive effect of restricted stock units</w:t>
            </w: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4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17"/>
                <w:szCs w:val="17"/>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84" w:hanging="284"/>
        <w:spacing w:after="0"/>
        <w:tabs>
          <w:tab w:leader="none" w:pos="284"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earned but undistributed dividends of $26 million on GM's Series A Preferred Stock and $20 million on GM's Series B Preferred Stock in the three and six months ended June 30, 2013 and 2012.</w:t>
      </w:r>
    </w:p>
    <w:p>
      <w:pPr>
        <w:spacing w:after="0" w:line="200" w:lineRule="exact"/>
        <w:rPr>
          <w:sz w:val="20"/>
          <w:szCs w:val="20"/>
          <w:color w:val="auto"/>
        </w:rPr>
      </w:pPr>
    </w:p>
    <w:p>
      <w:pPr>
        <w:spacing w:after="0" w:line="35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4"/>
          </w:cols>
          <w:pgMar w:left="236" w:top="726" w:right="219" w:bottom="1440" w:gutter="0" w:footer="0" w:header="0"/>
        </w:sectPr>
      </w:pPr>
    </w:p>
    <w:bookmarkStart w:id="15" w:name="page16"/>
    <w:bookmarkEnd w:id="15"/>
    <w:p>
      <w:pPr>
        <w:jc w:val="center"/>
        <w:ind w:left="4200"/>
        <w:spacing w:after="0"/>
        <w:rPr>
          <w:sz w:val="20"/>
          <w:szCs w:val="20"/>
          <w:color w:val="auto"/>
        </w:rPr>
      </w:pPr>
      <w:r>
        <w:rPr>
          <w:rFonts w:ascii="Arial" w:cs="Arial" w:eastAsia="Arial" w:hAnsi="Arial"/>
          <w:sz w:val="14"/>
          <w:szCs w:val="14"/>
          <w:b w:val="1"/>
          <w:bCs w:val="1"/>
          <w:color w:val="auto"/>
        </w:rPr>
        <w:t>General Motors Company and Subsidiaries</w:t>
      </w:r>
    </w:p>
    <w:p>
      <w:pPr>
        <w:spacing w:after="0" w:line="48" w:lineRule="exact"/>
        <w:rPr>
          <w:sz w:val="20"/>
          <w:szCs w:val="20"/>
          <w:color w:val="auto"/>
        </w:rPr>
      </w:pPr>
    </w:p>
    <w:p>
      <w:pPr>
        <w:jc w:val="center"/>
        <w:ind w:left="42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21" w:lineRule="exact"/>
        <w:rPr>
          <w:sz w:val="20"/>
          <w:szCs w:val="20"/>
          <w:color w:val="auto"/>
        </w:rPr>
      </w:pPr>
    </w:p>
    <w:p>
      <w:pPr>
        <w:jc w:val="center"/>
        <w:ind w:left="4200"/>
        <w:spacing w:after="0"/>
        <w:rPr>
          <w:sz w:val="20"/>
          <w:szCs w:val="20"/>
          <w:color w:val="auto"/>
        </w:rPr>
      </w:pPr>
      <w:r>
        <w:rPr>
          <w:rFonts w:ascii="Arial" w:cs="Arial" w:eastAsia="Arial" w:hAnsi="Arial"/>
          <w:sz w:val="16"/>
          <w:szCs w:val="16"/>
          <w:i w:val="1"/>
          <w:iCs w:val="1"/>
          <w:color w:val="auto"/>
        </w:rPr>
        <w:t>(In millions, except share amounts)</w:t>
      </w:r>
    </w:p>
    <w:p>
      <w:pPr>
        <w:spacing w:after="0" w:line="9" w:lineRule="exact"/>
        <w:rPr>
          <w:sz w:val="20"/>
          <w:szCs w:val="20"/>
          <w:color w:val="auto"/>
        </w:rPr>
      </w:pPr>
    </w:p>
    <w:p>
      <w:pPr>
        <w:jc w:val="center"/>
        <w:ind w:left="4200"/>
        <w:spacing w:after="0"/>
        <w:rPr>
          <w:sz w:val="20"/>
          <w:szCs w:val="20"/>
          <w:color w:val="auto"/>
        </w:rPr>
      </w:pPr>
      <w:r>
        <w:rPr>
          <w:rFonts w:ascii="Arial" w:cs="Arial" w:eastAsia="Arial" w:hAnsi="Arial"/>
          <w:sz w:val="16"/>
          <w:szCs w:val="16"/>
          <w:i w:val="1"/>
          <w:iCs w:val="1"/>
          <w:color w:val="auto"/>
        </w:rPr>
        <w:t>(Unaudited)</w:t>
      </w:r>
    </w:p>
    <w:p>
      <w:pPr>
        <w:spacing w:after="0" w:line="379" w:lineRule="exact"/>
        <w:rPr>
          <w:sz w:val="20"/>
          <w:szCs w:val="20"/>
          <w:color w:val="auto"/>
        </w:rPr>
      </w:pPr>
    </w:p>
    <w:p>
      <w:pPr>
        <w:jc w:val="center"/>
        <w:ind w:left="680"/>
        <w:spacing w:after="0"/>
        <w:rPr>
          <w:sz w:val="20"/>
          <w:szCs w:val="20"/>
          <w:color w:val="auto"/>
        </w:rPr>
      </w:pPr>
      <w:r>
        <w:rPr>
          <w:rFonts w:ascii="Arial" w:cs="Arial" w:eastAsia="Arial" w:hAnsi="Arial"/>
          <w:sz w:val="11"/>
          <w:szCs w:val="11"/>
          <w:b w:val="1"/>
          <w:bCs w:val="1"/>
          <w:color w:val="auto"/>
        </w:rPr>
        <w:t>ASSETS</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Current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Cash and cash equivalents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Marketable securities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Restricted cash and marketable securities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Accounts and notes receivable (net of allowance of $305 and $311)</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1"/>
          <w:szCs w:val="11"/>
          <w:color w:val="auto"/>
        </w:rPr>
        <w:t>GM Financial receivables, net (including receivables transferred to SPEs of $8,726 and $3,444)</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Inventories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Equipment on operating leases, net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Deferred income taxes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Other current assets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Total current assets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Non-current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Restricted cash and marketable securities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GM Financial receivables, net (including receivables transferred to SPEs of $10,283 and $6,458)</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Equity in net assets of nonconsolidated affiliates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Property, net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Goodwill</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Intangible assets, net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GM Financial equipment on operating leases, net (including assets transferred to SPEs of $663 and $540)</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Deferred income taxes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Other assets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Total non-current assets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Total Assets</w:t>
      </w:r>
    </w:p>
    <w:p>
      <w:pPr>
        <w:spacing w:after="0" w:line="115" w:lineRule="exact"/>
        <w:rPr>
          <w:sz w:val="20"/>
          <w:szCs w:val="20"/>
          <w:color w:val="auto"/>
        </w:rPr>
      </w:pPr>
    </w:p>
    <w:p>
      <w:pPr>
        <w:jc w:val="center"/>
        <w:ind w:left="680"/>
        <w:spacing w:after="0"/>
        <w:rPr>
          <w:sz w:val="20"/>
          <w:szCs w:val="20"/>
          <w:color w:val="auto"/>
        </w:rPr>
      </w:pPr>
      <w:r>
        <w:rPr>
          <w:rFonts w:ascii="Arial" w:cs="Arial" w:eastAsia="Arial" w:hAnsi="Arial"/>
          <w:sz w:val="11"/>
          <w:szCs w:val="11"/>
          <w:b w:val="1"/>
          <w:bCs w:val="1"/>
          <w:color w:val="auto"/>
        </w:rPr>
        <w:t>LIABILITIES AND EQUITY</w:t>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Accounts payable (principally trade)</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Short-term debt and current portion of long-term debt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Automotive (including certain debt at VIEs of $244 and $228)</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GM Financial (including certain debt at VIEs of $7,865 and $3,770)</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Accrued liabilities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Total current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Long-term debt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Automotive (including certain debt at VIEs of $23 and $122)</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GM Financial (including certain debt at VIEs of $9,206 and $5,608)</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Postretirement benefits other than pensions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Pensions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Other liabilities and deferred income taxes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Total non-current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Total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Commitments and contingencies</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Equity</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1"/>
          <w:szCs w:val="11"/>
          <w:color w:val="auto"/>
        </w:rPr>
        <w:t>Preferred stock, $0.01 par value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Series A</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Series B</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1"/>
          <w:szCs w:val="11"/>
          <w:color w:val="auto"/>
        </w:rPr>
        <w:t>Common stock, $0.01 par value</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1"/>
          <w:szCs w:val="11"/>
          <w:color w:val="auto"/>
        </w:rPr>
        <w:t>Additional paid-in capital</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1"/>
          <w:szCs w:val="11"/>
          <w:color w:val="auto"/>
        </w:rPr>
        <w:t>Retained earnings</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1"/>
          <w:szCs w:val="11"/>
          <w:color w:val="auto"/>
        </w:rPr>
        <w:t>Accumulated other comprehensive loss</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1"/>
          <w:szCs w:val="11"/>
          <w:color w:val="auto"/>
        </w:rPr>
        <w:t>Total stockholders’ equity</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1"/>
          <w:szCs w:val="11"/>
          <w:color w:val="auto"/>
        </w:rPr>
        <w:t>Noncontrolling interests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Total Equity</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260" w:type="dxa"/>
            <w:vAlign w:val="bottom"/>
          </w:tcPr>
          <w:p>
            <w:pPr>
              <w:spacing w:after="0"/>
              <w:rPr>
                <w:sz w:val="10"/>
                <w:szCs w:val="10"/>
                <w:color w:val="auto"/>
              </w:rPr>
            </w:pPr>
          </w:p>
        </w:tc>
        <w:tc>
          <w:tcPr>
            <w:tcW w:w="1340" w:type="dxa"/>
            <w:vAlign w:val="bottom"/>
            <w:gridSpan w:val="2"/>
          </w:tcPr>
          <w:p>
            <w:pPr>
              <w:ind w:left="200"/>
              <w:spacing w:after="0"/>
              <w:rPr>
                <w:sz w:val="20"/>
                <w:szCs w:val="20"/>
                <w:color w:val="auto"/>
              </w:rPr>
            </w:pPr>
            <w:r>
              <w:rPr>
                <w:rFonts w:ascii="Arial" w:cs="Arial" w:eastAsia="Arial" w:hAnsi="Arial"/>
                <w:sz w:val="10"/>
                <w:szCs w:val="10"/>
                <w:b w:val="1"/>
                <w:bCs w:val="1"/>
                <w:color w:val="auto"/>
              </w:rPr>
              <w:t>June 30, 2013</w:t>
            </w:r>
          </w:p>
        </w:tc>
        <w:tc>
          <w:tcPr>
            <w:tcW w:w="220" w:type="dxa"/>
            <w:vAlign w:val="bottom"/>
          </w:tcPr>
          <w:p>
            <w:pPr>
              <w:spacing w:after="0"/>
              <w:rPr>
                <w:sz w:val="10"/>
                <w:szCs w:val="10"/>
                <w:color w:val="auto"/>
              </w:rPr>
            </w:pPr>
          </w:p>
        </w:tc>
        <w:tc>
          <w:tcPr>
            <w:tcW w:w="1260" w:type="dxa"/>
            <w:vAlign w:val="bottom"/>
          </w:tcPr>
          <w:p>
            <w:pPr>
              <w:jc w:val="right"/>
              <w:ind w:right="304"/>
              <w:spacing w:after="0"/>
              <w:rPr>
                <w:sz w:val="20"/>
                <w:szCs w:val="20"/>
                <w:color w:val="auto"/>
              </w:rPr>
            </w:pPr>
            <w:r>
              <w:rPr>
                <w:rFonts w:ascii="Arial" w:cs="Arial" w:eastAsia="Arial" w:hAnsi="Arial"/>
                <w:sz w:val="10"/>
                <w:szCs w:val="10"/>
                <w:b w:val="1"/>
                <w:bCs w:val="1"/>
                <w:color w:val="auto"/>
                <w:w w:val="97"/>
              </w:rPr>
              <w:t>December 31, 2012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00"/>
        </w:trPr>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19,697</w:t>
            </w:r>
          </w:p>
        </w:tc>
        <w:tc>
          <w:tcPr>
            <w:tcW w:w="100" w:type="dxa"/>
            <w:vAlign w:val="bottom"/>
          </w:tcPr>
          <w:p>
            <w:pPr>
              <w:spacing w:after="0"/>
              <w:rPr>
                <w:sz w:val="24"/>
                <w:szCs w:val="24"/>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18,422</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6,258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8,988</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1,067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686</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11,119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10,395</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10,865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4,044</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14,777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14,714</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2,492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1,782</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9,771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9,429</w:t>
            </w:r>
          </w:p>
        </w:tc>
      </w:tr>
      <w:tr>
        <w:trPr>
          <w:trHeight w:val="250"/>
        </w:trPr>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1,699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1,536</w:t>
            </w:r>
          </w:p>
        </w:tc>
      </w:tr>
      <w:tr>
        <w:trPr>
          <w:trHeight w:val="213"/>
        </w:trPr>
        <w:tc>
          <w:tcPr>
            <w:tcW w:w="260" w:type="dxa"/>
            <w:vAlign w:val="bottom"/>
          </w:tcPr>
          <w:p>
            <w:pPr>
              <w:spacing w:after="0"/>
              <w:rPr>
                <w:sz w:val="18"/>
                <w:szCs w:val="18"/>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77,745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69,996</w:t>
            </w:r>
          </w:p>
        </w:tc>
      </w:tr>
      <w:tr>
        <w:trPr>
          <w:trHeight w:val="482"/>
        </w:trPr>
        <w:tc>
          <w:tcPr>
            <w:tcW w:w="260" w:type="dxa"/>
            <w:vAlign w:val="bottom"/>
          </w:tcPr>
          <w:p>
            <w:pPr>
              <w:spacing w:after="0"/>
              <w:rPr>
                <w:sz w:val="24"/>
                <w:szCs w:val="24"/>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726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682</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11,453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6,954</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7,463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6,883</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25,351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24,196</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1,993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1,973</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6,598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6,809</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2,575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1,649</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26,608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27,922</w:t>
            </w:r>
          </w:p>
        </w:tc>
      </w:tr>
      <w:tr>
        <w:trPr>
          <w:trHeight w:val="250"/>
        </w:trPr>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2,598</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2,358</w:t>
            </w:r>
          </w:p>
        </w:tc>
      </w:tr>
      <w:tr>
        <w:trPr>
          <w:trHeight w:val="221"/>
        </w:trPr>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85,365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79,426</w:t>
            </w:r>
          </w:p>
        </w:tc>
      </w:tr>
      <w:tr>
        <w:trPr>
          <w:trHeight w:val="209"/>
        </w:trPr>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163,110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149,422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92"/>
        </w:trPr>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26,820</w:t>
            </w:r>
          </w:p>
        </w:tc>
        <w:tc>
          <w:tcPr>
            <w:tcW w:w="100" w:type="dxa"/>
            <w:vAlign w:val="bottom"/>
          </w:tcPr>
          <w:p>
            <w:pPr>
              <w:spacing w:after="0"/>
              <w:rPr>
                <w:sz w:val="24"/>
                <w:szCs w:val="24"/>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25,166</w:t>
            </w:r>
          </w:p>
        </w:tc>
      </w:tr>
      <w:tr>
        <w:trPr>
          <w:trHeight w:val="482"/>
        </w:trPr>
        <w:tc>
          <w:tcPr>
            <w:tcW w:w="260" w:type="dxa"/>
            <w:vAlign w:val="bottom"/>
          </w:tcPr>
          <w:p>
            <w:pPr>
              <w:spacing w:after="0"/>
              <w:rPr>
                <w:sz w:val="24"/>
                <w:szCs w:val="24"/>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699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1,748</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9,262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3,770</w:t>
            </w:r>
          </w:p>
        </w:tc>
      </w:tr>
      <w:tr>
        <w:trPr>
          <w:trHeight w:val="250"/>
        </w:trPr>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23,240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23,308</w:t>
            </w:r>
          </w:p>
        </w:tc>
      </w:tr>
      <w:tr>
        <w:trPr>
          <w:trHeight w:val="213"/>
        </w:trPr>
        <w:tc>
          <w:tcPr>
            <w:tcW w:w="260" w:type="dxa"/>
            <w:vAlign w:val="bottom"/>
          </w:tcPr>
          <w:p>
            <w:pPr>
              <w:spacing w:after="0"/>
              <w:rPr>
                <w:sz w:val="18"/>
                <w:szCs w:val="18"/>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60,021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53,992</w:t>
            </w:r>
          </w:p>
        </w:tc>
      </w:tr>
      <w:tr>
        <w:trPr>
          <w:trHeight w:val="724"/>
        </w:trPr>
        <w:tc>
          <w:tcPr>
            <w:tcW w:w="260" w:type="dxa"/>
            <w:vAlign w:val="bottom"/>
          </w:tcPr>
          <w:p>
            <w:pPr>
              <w:spacing w:after="0"/>
              <w:rPr>
                <w:sz w:val="24"/>
                <w:szCs w:val="24"/>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3,263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3,424</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13,524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7,108</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7,165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7,309</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26,661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27,420</w:t>
            </w:r>
          </w:p>
        </w:tc>
      </w:tr>
      <w:tr>
        <w:trPr>
          <w:trHeight w:val="250"/>
        </w:trPr>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13,472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13,169</w:t>
            </w:r>
          </w:p>
        </w:tc>
      </w:tr>
      <w:tr>
        <w:trPr>
          <w:trHeight w:val="221"/>
        </w:trPr>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64,085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58,430</w:t>
            </w:r>
          </w:p>
        </w:tc>
      </w:tr>
      <w:tr>
        <w:trPr>
          <w:trHeight w:val="213"/>
        </w:trPr>
        <w:tc>
          <w:tcPr>
            <w:tcW w:w="260" w:type="dxa"/>
            <w:vAlign w:val="bottom"/>
          </w:tcPr>
          <w:p>
            <w:pPr>
              <w:spacing w:after="0"/>
              <w:rPr>
                <w:sz w:val="18"/>
                <w:szCs w:val="18"/>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124,106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112,422</w:t>
            </w:r>
          </w:p>
        </w:tc>
      </w:tr>
      <w:tr>
        <w:trPr>
          <w:trHeight w:val="965"/>
        </w:trPr>
        <w:tc>
          <w:tcPr>
            <w:tcW w:w="260" w:type="dxa"/>
            <w:vAlign w:val="bottom"/>
          </w:tcPr>
          <w:p>
            <w:pPr>
              <w:spacing w:after="0"/>
              <w:rPr>
                <w:sz w:val="24"/>
                <w:szCs w:val="24"/>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5,536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5,536</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4,855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4,855</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14</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23,818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23,834</w:t>
            </w:r>
          </w:p>
        </w:tc>
      </w:tr>
      <w:tr>
        <w:trPr>
          <w:trHeight w:val="241"/>
        </w:trPr>
        <w:tc>
          <w:tcPr>
            <w:tcW w:w="260" w:type="dxa"/>
            <w:vAlign w:val="bottom"/>
          </w:tcPr>
          <w:p>
            <w:pPr>
              <w:spacing w:after="0"/>
              <w:rPr>
                <w:sz w:val="20"/>
                <w:szCs w:val="20"/>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12,191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10,057</w:t>
            </w:r>
          </w:p>
        </w:tc>
      </w:tr>
      <w:tr>
        <w:trPr>
          <w:trHeight w:val="250"/>
        </w:trPr>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(8,040)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(8,052)</w:t>
            </w:r>
          </w:p>
        </w:tc>
      </w:tr>
      <w:tr>
        <w:trPr>
          <w:trHeight w:val="213"/>
        </w:trPr>
        <w:tc>
          <w:tcPr>
            <w:tcW w:w="260" w:type="dxa"/>
            <w:vAlign w:val="bottom"/>
          </w:tcPr>
          <w:p>
            <w:pPr>
              <w:spacing w:after="0"/>
              <w:rPr>
                <w:sz w:val="18"/>
                <w:szCs w:val="18"/>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38,374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36,244</w:t>
            </w:r>
          </w:p>
        </w:tc>
      </w:tr>
      <w:tr>
        <w:trPr>
          <w:trHeight w:val="250"/>
        </w:trPr>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630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756</w:t>
            </w:r>
          </w:p>
        </w:tc>
      </w:tr>
      <w:tr>
        <w:trPr>
          <w:trHeight w:val="221"/>
        </w:trPr>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39,004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37,000</w:t>
            </w:r>
          </w:p>
        </w:tc>
      </w:tr>
      <w:tr>
        <w:trPr>
          <w:trHeight w:val="209"/>
        </w:trPr>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163,110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149,422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60" w:top="726" w:right="219" w:bottom="799" w:gutter="0" w:footer="0" w:header="0"/>
        </w:sectPr>
      </w:pP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60" w:top="726" w:right="219" w:bottom="799" w:gutter="0" w:footer="0" w:header="0"/>
          <w:type w:val="continuous"/>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2019-12-07T20:28:29Z</dcterms:created>
  <dcterms:modified xsi:type="dcterms:W3CDTF">2019-12-07T20:28:29Z</dcterms:modified>
</cp:coreProperties>
</file>