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771525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44" w:lineRule="exact"/>
        <w:rPr>
          <w:sz w:val="24"/>
          <w:szCs w:val="24"/>
          <w:color w:val="auto"/>
        </w:rPr>
      </w:pPr>
    </w:p>
    <w:p>
      <w:pPr>
        <w:ind w:left="660" w:right="2180" w:hanging="635"/>
        <w:spacing w:after="0" w:line="239"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144" w:lineRule="exact"/>
        <w:rPr>
          <w:sz w:val="24"/>
          <w:szCs w:val="24"/>
          <w:color w:val="auto"/>
        </w:rPr>
      </w:pPr>
    </w:p>
    <w:p>
      <w:pPr>
        <w:ind w:left="660" w:right="2160" w:hanging="635"/>
        <w:spacing w:after="0" w:line="239"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2" w:lineRule="exact"/>
        <w:rPr>
          <w:sz w:val="24"/>
          <w:szCs w:val="24"/>
          <w:color w:val="auto"/>
        </w:rPr>
      </w:pPr>
    </w:p>
    <w:p>
      <w:pPr>
        <w:ind w:left="460"/>
        <w:spacing w:after="0"/>
        <w:tabs>
          <w:tab w:leader="none" w:pos="3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121920</wp:posOffset>
            </wp:positionV>
            <wp:extent cx="469265" cy="44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265" cy="443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GENERAL MOTORS COMPANY</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18" w:lineRule="exact"/>
        <w:rPr>
          <w:sz w:val="24"/>
          <w:szCs w:val="24"/>
          <w:color w:val="auto"/>
        </w:rPr>
      </w:pPr>
    </w:p>
    <w:tbl>
      <w:tblPr>
        <w:tblLayout w:type="fixed"/>
        <w:tblInd w:w="1700" w:type="dxa"/>
        <w:tblCellMar>
          <w:top w:w="0" w:type="dxa"/>
          <w:left w:w="0" w:type="dxa"/>
          <w:bottom w:w="0" w:type="dxa"/>
          <w:right w:w="0" w:type="dxa"/>
        </w:tblCellMar>
      </w:tblPr>
      <w:tr>
        <w:trPr>
          <w:trHeight w:val="238"/>
        </w:trPr>
        <w:tc>
          <w:tcPr>
            <w:tcW w:w="508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27-0756180</w:t>
            </w:r>
          </w:p>
        </w:tc>
      </w:tr>
      <w:tr>
        <w:trPr>
          <w:trHeight w:val="215"/>
        </w:trPr>
        <w:tc>
          <w:tcPr>
            <w:tcW w:w="5080" w:type="dxa"/>
            <w:vAlign w:val="bottom"/>
          </w:tcPr>
          <w:p>
            <w:pPr>
              <w:jc w:val="center"/>
              <w:ind w:right="157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w w:val="98"/>
              </w:rPr>
              <w:t>(I.R.S. Employer</w:t>
            </w:r>
          </w:p>
        </w:tc>
      </w:tr>
      <w:tr>
        <w:trPr>
          <w:trHeight w:val="236"/>
        </w:trPr>
        <w:tc>
          <w:tcPr>
            <w:tcW w:w="5080" w:type="dxa"/>
            <w:vAlign w:val="bottom"/>
          </w:tcPr>
          <w:p>
            <w:pPr>
              <w:jc w:val="center"/>
              <w:ind w:right="15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322"/>
        </w:trPr>
        <w:tc>
          <w:tcPr>
            <w:tcW w:w="50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300 Renaissance Center, Detroit, Michigan</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48265 -3000</w:t>
            </w:r>
          </w:p>
        </w:tc>
      </w:tr>
      <w:tr>
        <w:trPr>
          <w:trHeight w:val="276"/>
        </w:trPr>
        <w:tc>
          <w:tcPr>
            <w:tcW w:w="5080" w:type="dxa"/>
            <w:vAlign w:val="bottom"/>
          </w:tcPr>
          <w:p>
            <w:pPr>
              <w:jc w:val="center"/>
              <w:ind w:right="15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309"/>
        </w:trPr>
        <w:tc>
          <w:tcPr>
            <w:tcW w:w="50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(313) 667-1500</w:t>
            </w:r>
          </w:p>
        </w:tc>
        <w:tc>
          <w:tcPr>
            <w:tcW w:w="194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140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2420" w:type="dxa"/>
            <w:vAlign w:val="bottom"/>
            <w:gridSpan w:val="2"/>
          </w:tcPr>
          <w:p>
            <w:pPr>
              <w:jc w:val="center"/>
              <w:ind w:right="1180"/>
              <w:spacing w:after="0"/>
              <w:rPr>
                <w:sz w:val="20"/>
                <w:szCs w:val="20"/>
                <w:color w:val="auto"/>
              </w:rPr>
            </w:pPr>
            <w:r>
              <w:rPr>
                <w:rFonts w:ascii="Times New Roman" w:cs="Times New Roman" w:eastAsia="Times New Roman" w:hAnsi="Times New Roman"/>
                <w:sz w:val="17"/>
                <w:szCs w:val="17"/>
                <w:color w:val="auto"/>
              </w:rPr>
              <w:t>Title of each class</w:t>
            </w:r>
          </w:p>
        </w:tc>
        <w:tc>
          <w:tcPr>
            <w:tcW w:w="2480" w:type="dxa"/>
            <w:vAlign w:val="bottom"/>
            <w:gridSpan w:val="3"/>
          </w:tcPr>
          <w:p>
            <w:pPr>
              <w:jc w:val="center"/>
              <w:ind w:left="94"/>
              <w:spacing w:after="0"/>
              <w:rPr>
                <w:sz w:val="20"/>
                <w:szCs w:val="20"/>
                <w:color w:val="auto"/>
              </w:rPr>
            </w:pPr>
            <w:r>
              <w:rPr>
                <w:rFonts w:ascii="Times New Roman" w:cs="Times New Roman" w:eastAsia="Times New Roman" w:hAnsi="Times New Roman"/>
                <w:sz w:val="17"/>
                <w:szCs w:val="17"/>
                <w:color w:val="auto"/>
              </w:rPr>
              <w:t>Trading Symbol(s)</w:t>
            </w:r>
          </w:p>
        </w:tc>
        <w:tc>
          <w:tcPr>
            <w:tcW w:w="3520" w:type="dxa"/>
            <w:vAlign w:val="bottom"/>
            <w:gridSpan w:val="2"/>
          </w:tcPr>
          <w:p>
            <w:pPr>
              <w:jc w:val="center"/>
              <w:ind w:left="394"/>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7"/>
        </w:trPr>
        <w:tc>
          <w:tcPr>
            <w:tcW w:w="2920" w:type="dxa"/>
            <w:vAlign w:val="bottom"/>
            <w:gridSpan w:val="3"/>
          </w:tcPr>
          <w:p>
            <w:pPr>
              <w:jc w:val="center"/>
              <w:ind w:right="68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680" w:type="dxa"/>
            <w:vAlign w:val="bottom"/>
          </w:tcPr>
          <w:p>
            <w:pPr>
              <w:spacing w:after="0"/>
              <w:rPr>
                <w:sz w:val="21"/>
                <w:szCs w:val="21"/>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GM</w:t>
            </w:r>
          </w:p>
        </w:tc>
        <w:tc>
          <w:tcPr>
            <w:tcW w:w="480" w:type="dxa"/>
            <w:vAlign w:val="bottom"/>
          </w:tcPr>
          <w:p>
            <w:pPr>
              <w:spacing w:after="0"/>
              <w:rPr>
                <w:sz w:val="21"/>
                <w:szCs w:val="21"/>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40" w:lineRule="exact"/>
        <w:rPr>
          <w:sz w:val="24"/>
          <w:szCs w:val="24"/>
          <w:color w:val="auto"/>
        </w:rPr>
      </w:pPr>
    </w:p>
    <w:p>
      <w:pPr>
        <w:jc w:val="both"/>
        <w:ind w:firstLine="81"/>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9" w:lineRule="exact"/>
        <w:rPr>
          <w:sz w:val="24"/>
          <w:szCs w:val="24"/>
          <w:color w:val="auto"/>
        </w:rPr>
      </w:pPr>
    </w:p>
    <w:p>
      <w:pPr>
        <w:jc w:val="both"/>
        <w:ind w:firstLine="81"/>
        <w:spacing w:after="0" w:line="25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26" w:lineRule="exact"/>
        <w:rPr>
          <w:sz w:val="24"/>
          <w:szCs w:val="24"/>
          <w:color w:val="auto"/>
        </w:rPr>
      </w:pPr>
    </w:p>
    <w:p>
      <w:pPr>
        <w:jc w:val="both"/>
        <w:ind w:firstLine="81"/>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p>
      <w:pPr>
        <w:ind w:left="80"/>
        <w:spacing w:after="0" w:line="196"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7"/>
          <w:szCs w:val="17"/>
          <w:color w:val="auto"/>
        </w:rPr>
        <w:t>☐</w:t>
      </w:r>
    </w:p>
    <w:p>
      <w:pPr>
        <w:spacing w:after="0" w:line="154" w:lineRule="exact"/>
        <w:rPr>
          <w:sz w:val="24"/>
          <w:szCs w:val="24"/>
          <w:color w:val="auto"/>
        </w:rPr>
      </w:pPr>
    </w:p>
    <w:p>
      <w:pPr>
        <w:jc w:val="both"/>
        <w:ind w:firstLine="81"/>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4" w:lineRule="exact"/>
        <w:rPr>
          <w:sz w:val="24"/>
          <w:szCs w:val="24"/>
          <w:color w:val="auto"/>
        </w:rPr>
      </w:pPr>
    </w:p>
    <w:p>
      <w:pPr>
        <w:ind w:left="80" w:right="2220"/>
        <w:spacing w:after="0" w:line="29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October 11, 2024 there were 1,099,595,840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739775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130175</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2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20" w:type="dxa"/>
            <w:vAlign w:val="bottom"/>
            <w:vMerge w:val="restart"/>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720" w:type="dxa"/>
            <w:vAlign w:val="bottom"/>
            <w:vMerge w:val="continue"/>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Income Statements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Equity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2.</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3.</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Marketable and Other Securities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4.</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GM Financial Receivables and Transactions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5.</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6.</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Equipment on Operating Leases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7.</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8.</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Variable Interest Entities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9.</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Debt</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10.</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11.</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Product Warranty and Related Liabilities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12.</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13.</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14.</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Income Taxes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15.</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Restructuring and Other Initiatives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16.</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Stockholders' Equity and Noncontrolling Interests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17.</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18.</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 Incentive Plans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19.</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Segment Reporting</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8720" w:type="dxa"/>
            <w:vAlign w:val="bottom"/>
            <w:tcBorders>
              <w:top w:val="single" w:sz="8" w:color="CCEEFF"/>
            </w:tcBorders>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1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8720" w:type="dxa"/>
            <w:vAlign w:val="bottom"/>
            <w:shd w:val="clear" w:color="auto" w:fill="CCEEFF"/>
          </w:tcPr>
          <w:p>
            <w:pPr>
              <w:spacing w:after="0"/>
              <w:rPr>
                <w:sz w:val="16"/>
                <w:szCs w:val="16"/>
                <w:color w:val="auto"/>
              </w:rPr>
            </w:pP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tcPr>
          <w:p>
            <w:pPr>
              <w:spacing w:after="0"/>
              <w:rPr>
                <w:sz w:val="16"/>
                <w:szCs w:val="16"/>
                <w:color w:val="auto"/>
              </w:rPr>
            </w:pP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3"/>
        </w:trPr>
        <w:tc>
          <w:tcPr>
            <w:tcW w:w="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82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5"/>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4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14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60" w:type="dxa"/>
            <w:vAlign w:val="bottom"/>
          </w:tcPr>
          <w:p>
            <w:pPr>
              <w:spacing w:after="0"/>
              <w:rPr>
                <w:sz w:val="15"/>
                <w:szCs w:val="15"/>
                <w:color w:val="auto"/>
              </w:rPr>
            </w:pP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September 30, 2023</w:t>
            </w:r>
          </w:p>
        </w:tc>
      </w:tr>
      <w:tr>
        <w:trPr>
          <w:trHeight w:val="199"/>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and revenue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118,398</w:t>
            </w:r>
          </w:p>
        </w:tc>
      </w:tr>
      <w:tr>
        <w:trPr>
          <w:trHeight w:val="212"/>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10,465</w:t>
            </w:r>
          </w:p>
        </w:tc>
      </w:tr>
      <w:tr>
        <w:trPr>
          <w:trHeight w:val="21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sales and revenue (Note 2)</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48,757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139,740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128,863</w:t>
            </w:r>
          </w:p>
        </w:tc>
      </w:tr>
      <w:tr>
        <w:trPr>
          <w:trHeight w:val="19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7"/>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cost of sales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104,721</w:t>
            </w:r>
          </w:p>
        </w:tc>
      </w:tr>
      <w:tr>
        <w:trPr>
          <w:trHeight w:val="212"/>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8,313</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selling, general and administrative expense</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w:t>
            </w:r>
          </w:p>
        </w:tc>
      </w:tr>
      <w:tr>
        <w:trPr>
          <w:trHeight w:val="206"/>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45,105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128,478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120,483</w:t>
            </w:r>
          </w:p>
        </w:tc>
      </w:tr>
      <w:tr>
        <w:trPr>
          <w:trHeight w:val="211"/>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income (loss)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8,380</w:t>
            </w:r>
          </w:p>
        </w:tc>
      </w:tr>
      <w:tr>
        <w:trPr>
          <w:trHeight w:val="212"/>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1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and other non-operating income, net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w:t>
            </w:r>
          </w:p>
        </w:tc>
      </w:tr>
      <w:tr>
        <w:trPr>
          <w:trHeight w:val="212"/>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income (loss) (Note 7)</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1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9,267</w:t>
            </w:r>
          </w:p>
        </w:tc>
      </w:tr>
      <w:tr>
        <w:trPr>
          <w:trHeight w:val="212"/>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(Note 14)</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w:t>
            </w:r>
          </w:p>
        </w:tc>
      </w:tr>
      <w:tr>
        <w:trPr>
          <w:trHeight w:val="21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7,846</w:t>
            </w:r>
          </w:p>
        </w:tc>
      </w:tr>
      <w:tr>
        <w:trPr>
          <w:trHeight w:val="212"/>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3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7,946</w:t>
            </w: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(Note 17)</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2"/>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r>
      <w:tr>
        <w:trPr>
          <w:trHeight w:val="212"/>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Dividends declared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r>
    </w:tbl>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20" w:type="dxa"/>
            <w:vAlign w:val="bottom"/>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64"/>
        </w:trPr>
        <w:tc>
          <w:tcPr>
            <w:tcW w:w="5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w w:val="97"/>
              </w:rPr>
              <w:t>September 30, 2023</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w w:val="99"/>
              </w:rPr>
              <w:t>September 30, 2023</w:t>
            </w:r>
          </w:p>
        </w:tc>
      </w:tr>
      <w:tr>
        <w:trPr>
          <w:trHeight w:val="213"/>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3,008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2,994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8,837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7,846</w:t>
            </w:r>
          </w:p>
        </w:tc>
      </w:tr>
      <w:tr>
        <w:trPr>
          <w:trHeight w:val="213"/>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 (Note 16)</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 and other</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2"/>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Defined benefit plans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6"/>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40" w:type="dxa"/>
            <w:vAlign w:val="bottom"/>
          </w:tcPr>
          <w:p>
            <w:pPr>
              <w:spacing w:after="0"/>
              <w:rPr>
                <w:sz w:val="17"/>
                <w:szCs w:val="17"/>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8,590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7,820</w:t>
            </w:r>
          </w:p>
        </w:tc>
      </w:tr>
      <w:tr>
        <w:trPr>
          <w:trHeight w:val="21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Comprehensive loss (income) attributable to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1"/>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stockholders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3,376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3,099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8,749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8,009</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7820" w:type="dxa"/>
            <w:vAlign w:val="bottom"/>
            <w:vMerge w:val="restart"/>
          </w:tcPr>
          <w:p>
            <w:pPr>
              <w:ind w:left="36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debt securities (Note 3)</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and notes receivable, net of allowance of $300 and $298</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12,378</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receivables, net of allowance of $962 and $906 (Note 4; Note 8)</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(Note 5)</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16,461</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 (Note 3; Note 8)</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7,238</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101,618</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GM Financial receivables, net of allowance of $1,415 and $1,438 (Note 4; Note 8)</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net assets of nonconsolidated affiliates (Note 7)</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50,321</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on operating leases, net (Note 6; Note 8)</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30,582</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(Note 3; Note 8)</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7,686</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173,870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171,446</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273,064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8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(principally trade)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28,114</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debt and current portion of long-term debt (Note 9)</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Automotive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GM Financial (Note 8)</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27,364</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94,445</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(Note 9)</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Automotive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15,985</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GM Financial (Note 8)</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66,788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Postretirement benefits other than pensions (Note 12)</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Pensions (Note 12)</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16,515</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119,664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110,312</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204,757</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 - Cruise stock incentive awards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(Note 16)</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55,391</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(10,247)</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64,286</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68,189</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289,289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273,064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9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7,846</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impairment of Equipment on operating leases,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impairment charges on Property,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5,041</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remeasurement and transaction (gains) losses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Undistributed earnings of nonconsolidated affiliates,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contributions and OPEB payments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OPEB income,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deferred taxes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17,273</w:t>
            </w: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Expenditures for property</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(7,264)</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acquisitions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liquidations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6,675</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finance receivables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(27,180)</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collections and recoveries on finance receivables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21,135</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leased vehicles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(10,247)</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termination of leased vehicles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9,860</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(12,100)</w:t>
            </w: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short-term debt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 (original maturities greater than three months)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37,357</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on debt (original maturities greater than three months)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(33,269)</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6"/>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7,030</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21,948</w:t>
            </w: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26,715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28,978</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4"/>
        </w:trPr>
        <w:tc>
          <w:tcPr>
            <w:tcW w:w="78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Activity</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property additions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7,018</w:t>
            </w: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Stockholders’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00" w:type="dxa"/>
            <w:vAlign w:val="bottom"/>
          </w:tcPr>
          <w:p>
            <w:pPr>
              <w:spacing w:after="0"/>
              <w:rPr>
                <w:sz w:val="12"/>
                <w:szCs w:val="12"/>
                <w:color w:val="auto"/>
              </w:rPr>
            </w:pPr>
          </w:p>
        </w:tc>
        <w:tc>
          <w:tcPr>
            <w:tcW w:w="1340" w:type="dxa"/>
            <w:vAlign w:val="bottom"/>
          </w:tcPr>
          <w:p>
            <w:pPr>
              <w:jc w:val="center"/>
              <w:ind w:right="8"/>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146"/>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4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Cruise Stock Incentive</w:t>
            </w: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100" w:type="dxa"/>
            <w:vAlign w:val="bottom"/>
          </w:tcPr>
          <w:p>
            <w:pPr>
              <w:spacing w:after="0"/>
              <w:rPr>
                <w:sz w:val="11"/>
                <w:szCs w:val="11"/>
                <w:color w:val="auto"/>
              </w:rPr>
            </w:pPr>
          </w:p>
        </w:tc>
        <w:tc>
          <w:tcPr>
            <w:tcW w:w="1340" w:type="dxa"/>
            <w:vAlign w:val="bottom"/>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13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(Temporary Equity)</w:t>
            </w:r>
          </w:p>
        </w:tc>
        <w:tc>
          <w:tcPr>
            <w:tcW w:w="0" w:type="dxa"/>
            <w:vAlign w:val="bottom"/>
          </w:tcPr>
          <w:p>
            <w:pPr>
              <w:spacing w:after="0"/>
              <w:rPr>
                <w:sz w:val="1"/>
                <w:szCs w:val="1"/>
                <w:color w:val="auto"/>
              </w:rPr>
            </w:pPr>
          </w:p>
        </w:tc>
      </w:tr>
      <w:tr>
        <w:trPr>
          <w:trHeight w:val="201"/>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71,927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9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26,323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51,318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4,084</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73,961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26,078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53,517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75,685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21"/>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21"/>
        </w:trPr>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19,358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57,688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(10,459)</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70,426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9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59,807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71,900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ectPr>
          <w:pgSz w:w="11900" w:h="16838" w:orient="portrait"/>
          <w:cols w:equalWidth="0" w:num="1">
            <w:col w:w="11220"/>
          </w:cols>
          <w:pgMar w:left="320" w:top="121" w:right="35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240665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5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General Motors Company (sometimes referred to in this Quarterly Report on Form 10-Q as we, our, us, ourselves, the Company, General Motors or GM) designs, builds and sells trucks, crossovers, cars and automobile parts and provides software-enabled services and subscriptions worldwide. Additionally, we are investing in an autonomous vehicle (AV) business. We also provide automotive financing services through General Motors Financial Company, Inc. (GM Financial). We analyze the results of our operations through the following segments: GM North America (GMNA), GM International (GMI), Cruise and GM Financial. Cruise is our global segment responsible for the development and commercialization of AV technology. Corporate includes certain centrally recorded income and costs such as interest, income taxes, corporate expenditures and certain revenues and expenses that are not part of a reportable segment.</w:t>
      </w:r>
    </w:p>
    <w:p>
      <w:pPr>
        <w:spacing w:after="0" w:line="21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generally accepted accounting principles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2023 Form 10-K. Except for per share amounts or as otherwise specified, amounts presented within tables are stated in millions. Certain columns and rows may not add due to rounding.</w:t>
      </w:r>
    </w:p>
    <w:p>
      <w:pPr>
        <w:spacing w:after="0" w:line="21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Throughout this report, we refer to General Motors Company and its consolidated subsidiaries in a simplified manner and on a collective basis, using words like "we," "our," "us" and "the Company." This drafting style is suggested by the SEC and is not meant to indicate that General Motors Company, the publicly traded parent company, or any particular subsidiary of the parent company, owns or operates any particular asset, business or property. The operations and businesses described in this report are owned and operated by distinct subsidiaries of General Motors Company.</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We consolidate entities that we control due to ownership of a majority voting interest and we consolidate variable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amounts presented for GM Financial are adjusted to reflect the impact on GM Financial's deferred tax positions and provision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taxes resulting from the inclusion of GM Financial in our consolidated tax returns and to eliminate the effect of transactions between GM Financial and the other members of the consolidated group. Accordingly, the amounts presented will differ from those presented by GM Financial on a stand-alone basis.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10"/>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4"/>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96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43,098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43,097</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118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41,157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44,735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44,735</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4,021</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44,735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48,757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10"/>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4"/>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96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38,823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38,818</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118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36,106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40,503</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40,498</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40,503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10"/>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4"/>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96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114,131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123,276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123,275</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117,981</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9,897</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128,007</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128,008</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5,602</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11,761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11,732</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117,981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128,007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11,761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139,740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GM</w:t>
            </w:r>
          </w:p>
        </w:tc>
        <w:tc>
          <w:tcPr>
            <w:tcW w:w="1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9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102,868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113,805</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106,214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118,403</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118,398</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10,482</w:t>
            </w:r>
          </w:p>
        </w:tc>
        <w:tc>
          <w:tcPr>
            <w:tcW w:w="1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10,465</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118,403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10,482</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128,863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goods or providing services. Adjustments to sales incentives for previously recognized sales increased revenue by an insignificant amount in the three months ended September 30, 2024 and 2023.</w:t>
      </w:r>
    </w:p>
    <w:p>
      <w:pPr>
        <w:spacing w:after="0" w:line="18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Contract liabilities in our Automotive segments primarily consist of vehicle connectivity, customer rewards programs, maintenance, extended warranty and other contracts of $6.1 billion and $5.0 billion at September 30, 2024 and December 31, 2023, which are included in Accrued liabilities and Other liabilities. We recognized revenue of $456 million and $1.4 billion related to contract liabilities in the three and nine months ended September 30, 2024 and $284 million and $1.1 billion in the three and nine months ended September 30, 2023. We expect to recognize revenue of $585 million in the three months ending December 31, 2024 and $1.9 billion, $1.5 billion and $2.1 billion in the years ending December 31, 2025, 2026 and thereafter related to contract liabilities at September 30, 2024.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and Other Securities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fair value of cash equivalents and marketable debt securities, which approximates cost:</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3"/>
                <w:szCs w:val="13"/>
                <w:color w:val="auto"/>
              </w:rPr>
            </w:pPr>
          </w:p>
        </w:tc>
        <w:tc>
          <w:tcPr>
            <w:tcW w:w="14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and other</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and asset-backed</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 marketable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8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cash</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 included above with contractual maturities(a)</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with contractual maturities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Excludes mortgage and asset-backed securities of $636 million at September 30, 2024 as these securities are not due at a single maturity date.</w:t>
      </w:r>
    </w:p>
    <w:p>
      <w:pPr>
        <w:spacing w:after="0" w:line="23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Proceeds from the sale of available-for-sale debt securities sold prior to maturity were $580 million and $454 million in the three months ended September 30, 2024 and 2023 and $1.6 billion and $1.5 billion in the nine months ended September 30, 2024 and 2023. Net unrealized gains on available-for-sale debt securities were $159 million and insignificant in the three months ended September 30, 2024 and 2023 and $160 million and insignificant in the nine months ended September 30, 2024 and 2023. Cumulative unrealized losses on available-for-sale debt securities were insignificant and $160 million at September 30, 2024 and December 31, 2023.</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5"/>
        </w:trPr>
        <w:tc>
          <w:tcPr>
            <w:tcW w:w="450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23,744</w:t>
            </w: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5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50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2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080" w:type="dxa"/>
            <w:vAlign w:val="bottom"/>
            <w:vMerge w:val="restart"/>
          </w:tcPr>
          <w:p>
            <w:pPr>
              <w:jc w:val="right"/>
              <w:ind w:right="383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9"/>
        </w:trPr>
        <w:tc>
          <w:tcPr>
            <w:tcW w:w="450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5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GM Financial Receivables and Transactions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8"/>
        </w:trPr>
        <w:tc>
          <w:tcPr>
            <w:tcW w:w="4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74,384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92,759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72,729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86,463</w:t>
            </w:r>
          </w:p>
        </w:tc>
      </w:tr>
      <w:tr>
        <w:trPr>
          <w:trHeight w:val="228"/>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8"/>
              </w:rPr>
              <w:t>(2,323)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(2,377)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8"/>
              </w:rPr>
              <w:t>(2,308)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(2,344)</w:t>
            </w:r>
          </w:p>
        </w:tc>
      </w:tr>
      <w:tr>
        <w:trPr>
          <w:trHeight w:val="24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72,060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90,382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70,421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84,119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42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Fair value of GM Financial receivables utilizing Level 2</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33"/>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18,321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13,698</w:t>
            </w:r>
          </w:p>
        </w:tc>
      </w:tr>
      <w:tr>
        <w:trPr>
          <w:trHeight w:val="183"/>
        </w:trPr>
        <w:tc>
          <w:tcPr>
            <w:tcW w:w="42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Fair value of GM Financial receivables utilizing Level 3</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4"/>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73,614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70,911</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60" w:lineRule="auto"/>
        <w:tabs>
          <w:tab w:leader="none" w:pos="3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finance receivables include dealer financing of $17.8 billion and $13.3 billion, and other financing of $531 million and $476 million at September 30, 2024 and December 31, 2023. Commercial finance receivables are presented net of dealer cash management balances of $3.2 billion and $2.6 billion at September 30, 2024 and December 31, 2023. Under the cash management program, subject to certain conditions, a dealer may choose to reduce the amount of interest on its floorplan line by making principal payments to GM Financial in advance.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4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8"/>
        </w:trPr>
        <w:tc>
          <w:tcPr>
            <w:tcW w:w="45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28"/>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2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2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2"/>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allowance for loan losses as a percentage of finance receivables was 2.6% and 2.7% at September 30, 2024 and December 31, 2023.</w:t>
      </w:r>
    </w:p>
    <w:p>
      <w:pPr>
        <w:spacing w:after="0" w:line="246"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Retail Finance Receivables </w:t>
      </w:r>
      <w:r>
        <w:rPr>
          <w:rFonts w:ascii="Times New Roman" w:cs="Times New Roman" w:eastAsia="Times New Roman" w:hAnsi="Times New Roman"/>
          <w:sz w:val="18"/>
          <w:szCs w:val="18"/>
          <w:color w:val="auto"/>
        </w:rPr>
        <w:t>GM Financial's retail finance receivable portfolio includes loans made to consumers and businesses to finance the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vehicles for personal and commercial use. The following tables are consolidated summaries of the retail finance receivables by FICO score or its equivalent, determined at origination, for each vintage of the retail finance receivables portfolio at September 30, 2024 and December 31, 2023: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5"/>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75.7 %</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2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14,553</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8,793</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74,384</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1"/>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75.5 %</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2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2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72,729</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4"/>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6"/>
        </w:trPr>
        <w:tc>
          <w:tcPr>
            <w:tcW w:w="3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$900 million and $809 million at September 30, 2024 and December 31, 2023. The following tables are consolidated summaries of the delinquency status of the outstanding amortized cost of retail finance receivables for each vintage of the portfolio at September 30, 2024 and December 31, 2023, as well as summary totals for September 30, 2023: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7"/>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5"/>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5"/>
        </w:trPr>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5"/>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8,328</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71,977</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69,735</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97.3 %</w:t>
            </w: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155"/>
        </w:trPr>
        <w:tc>
          <w:tcPr>
            <w:tcW w:w="21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9"/>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than 30 days delinquent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1,911</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3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155"/>
        </w:trPr>
        <w:tc>
          <w:tcPr>
            <w:tcW w:w="21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2160" w:type="dxa"/>
            <w:vAlign w:val="bottom"/>
          </w:tcPr>
          <w:p>
            <w:pPr>
              <w:ind w:left="180"/>
              <w:spacing w:after="0" w:line="175" w:lineRule="exact"/>
              <w:rPr>
                <w:sz w:val="20"/>
                <w:szCs w:val="20"/>
                <w:color w:val="auto"/>
              </w:rPr>
            </w:pPr>
            <w:r>
              <w:rPr>
                <w:rFonts w:ascii="Times New Roman" w:cs="Times New Roman" w:eastAsia="Times New Roman" w:hAnsi="Times New Roman"/>
                <w:sz w:val="18"/>
                <w:szCs w:val="18"/>
                <w:color w:val="auto"/>
              </w:rPr>
              <w:t>than 30 days delinquent or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9"/>
        </w:trPr>
        <w:tc>
          <w:tcPr>
            <w:tcW w:w="2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 repossession</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36"/>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8,793</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74,384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71,704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5"/>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29,816</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19,602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12,098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599</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70,472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96.9 %</w:t>
            </w: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1"/>
              </w:rPr>
              <w:t>470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1,637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1"/>
              </w:rPr>
              <w:t>168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42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559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155"/>
        </w:trPr>
        <w:tc>
          <w:tcPr>
            <w:tcW w:w="23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9"/>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days delinquent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1"/>
              </w:rPr>
              <w:t>637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2,196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3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155"/>
        </w:trPr>
        <w:tc>
          <w:tcPr>
            <w:tcW w:w="23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3"/>
        </w:trPr>
        <w:tc>
          <w:tcPr>
            <w:tcW w:w="2160" w:type="dxa"/>
            <w:vAlign w:val="bottom"/>
          </w:tcPr>
          <w:p>
            <w:pPr>
              <w:ind w:left="180"/>
              <w:spacing w:after="0" w:line="183" w:lineRule="exact"/>
              <w:rPr>
                <w:sz w:val="20"/>
                <w:szCs w:val="20"/>
                <w:color w:val="auto"/>
              </w:rPr>
            </w:pPr>
            <w:r>
              <w:rPr>
                <w:rFonts w:ascii="Times New Roman" w:cs="Times New Roman" w:eastAsia="Times New Roman" w:hAnsi="Times New Roman"/>
                <w:sz w:val="18"/>
                <w:szCs w:val="18"/>
                <w:color w:val="auto"/>
              </w:rPr>
              <w:t>30 days delinquent or in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3"/>
        </w:trPr>
        <w:tc>
          <w:tcPr>
            <w:tcW w:w="2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repossession</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1"/>
              </w:rPr>
              <w:t>657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108</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33"/>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20,259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12,670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707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72,729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Finance Receivables </w:t>
      </w:r>
      <w:r>
        <w:rPr>
          <w:rFonts w:ascii="Times New Roman" w:cs="Times New Roman" w:eastAsia="Times New Roman" w:hAnsi="Times New Roman"/>
          <w:sz w:val="18"/>
          <w:szCs w:val="18"/>
          <w:color w:val="auto"/>
        </w:rPr>
        <w:t>GM Financial's commercial finance receivables consist of dealer financing, primarily for dealer inventory purchases,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financing, which includes loans to commercial vehicle upfitters. For dealer financing, proprietary models are used to assign a risk rating to each dealer. GM Financial performs periodic credit reviews of each dealership and adjusts the dealership's risk rating, if necessary. The credit risk associated with other financing is limited due to the structure of the business relationships.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GM Financial's dealer risk model and risk rating categories are as follows:</w:t>
      </w:r>
    </w:p>
    <w:p>
      <w:pPr>
        <w:sectPr>
          <w:pgSz w:w="11900" w:h="16838" w:orient="portrait"/>
          <w:cols w:equalWidth="0" w:num="1">
            <w:col w:w="11240"/>
          </w:cols>
          <w:pgMar w:left="320" w:top="121"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Rating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III</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19050</wp:posOffset>
            </wp:positionV>
            <wp:extent cx="7132955" cy="153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accounts with strong to acceptable financial metrics with at least satisfactory capacity to meet financial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20955</wp:posOffset>
            </wp:positionV>
            <wp:extent cx="7132955" cy="264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spacing w:after="0" w:line="13" w:lineRule="exact"/>
        <w:rPr>
          <w:sz w:val="20"/>
          <w:szCs w:val="20"/>
          <w:color w:val="auto"/>
        </w:rPr>
      </w:pPr>
    </w:p>
    <w:p>
      <w:pPr>
        <w:ind w:left="160" w:right="560" w:hanging="160"/>
        <w:spacing w:after="0" w:line="233"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have the distinct possibility of creating a loss if deficiencies are not corrected.</w:t>
      </w:r>
    </w:p>
    <w:p>
      <w:pPr>
        <w:spacing w:after="0" w:line="9" w:lineRule="exact"/>
        <w:rPr>
          <w:sz w:val="20"/>
          <w:szCs w:val="20"/>
          <w:color w:val="auto"/>
        </w:rPr>
      </w:pPr>
    </w:p>
    <w:p>
      <w:pPr>
        <w:ind w:left="160" w:right="780" w:hanging="160"/>
        <w:spacing w:after="0" w:line="236"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121" w:right="339" w:bottom="1440" w:gutter="0" w:footer="0" w:header="0"/>
          <w:type w:val="continuous"/>
        </w:sectPr>
      </w:pPr>
    </w:p>
    <w:p>
      <w:pPr>
        <w:spacing w:after="0" w:line="11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Dealers with III and IV risk ratings are subject to additional monitoring and restrictions on funding, including suspension of lines of credit and liquidation of assets. The following tables summarize the dealer credit risk profile by dealer risk rating at September 30, 2024 and December 31,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3"/>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Dealer Risk Rating</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20" w:type="dxa"/>
            <w:vAlign w:val="bottom"/>
            <w:vMerge w:val="continue"/>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1"/>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16,965</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6"/>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16,337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17,844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0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36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(a)  Floorplan advances comprise 99.4% of the total revolving balance. Dealer term loans are presented by year of origination.</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Dealer Risk Rating</w:t>
            </w: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1"/>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12,879</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6"/>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Floorplan advances comprise 99.7% of the total revolving balance. Dealer term loans are presented by year of origination.</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were no commercial finance receivables on nonaccrual status at September 30, 2024 and December 31, 2023.</w:t>
      </w:r>
    </w:p>
    <w:p>
      <w:pPr>
        <w:spacing w:after="0" w:line="246"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GM Financial </w:t>
      </w:r>
      <w:r>
        <w:rPr>
          <w:rFonts w:ascii="Times New Roman" w:cs="Times New Roman" w:eastAsia="Times New Roman" w:hAnsi="Times New Roman"/>
          <w:sz w:val="18"/>
          <w:szCs w:val="18"/>
          <w:color w:val="auto"/>
        </w:rPr>
        <w:t>The following tables show transactions between our Automotive segments, Cruise and GM Financial. These amounts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presented in GM Financial's condensed consolidated balance sheets and statements of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Sheets(a)</w:t>
            </w:r>
          </w:p>
        </w:tc>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due from GM consolidated dealers</w:t>
            </w:r>
          </w:p>
        </w:tc>
        <w:tc>
          <w:tcPr>
            <w:tcW w:w="2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due from Cruise</w:t>
            </w:r>
          </w:p>
        </w:tc>
        <w:tc>
          <w:tcPr>
            <w:tcW w:w="2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Subvention receivable from GM(b)</w:t>
            </w:r>
          </w:p>
        </w:tc>
        <w:tc>
          <w:tcPr>
            <w:tcW w:w="2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 funding payable to GM</w:t>
            </w:r>
          </w:p>
        </w:tc>
        <w:tc>
          <w:tcPr>
            <w:tcW w:w="2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3"/>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64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960" w:type="dxa"/>
            <w:vAlign w:val="bottom"/>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8"/>
        </w:trPr>
        <w:tc>
          <w:tcPr>
            <w:tcW w:w="48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15"/>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28"/>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subvention earned on finance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vehicle subvention earned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balance sheet amounts are eliminated upon consolidation.</w:t>
      </w:r>
    </w:p>
    <w:p>
      <w:pPr>
        <w:spacing w:after="0" w:line="14" w:lineRule="exact"/>
        <w:rPr>
          <w:rFonts w:ascii="Times New Roman" w:cs="Times New Roman" w:eastAsia="Times New Roman" w:hAnsi="Times New Roman"/>
          <w:sz w:val="16"/>
          <w:szCs w:val="16"/>
          <w:color w:val="auto"/>
        </w:rPr>
      </w:pPr>
    </w:p>
    <w:p>
      <w:pPr>
        <w:ind w:left="340" w:hanging="333"/>
        <w:spacing w:after="0" w:line="255"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Automotive segments made cash payments to GM Financial for subvention of $1.2 billion and $629 million in the three months ended September 30, 2024 and 2023 and $2.9 billion and $2.3 billion in the nine months ended September 30, 2024 and 2023.</w:t>
      </w:r>
    </w:p>
    <w:p>
      <w:pPr>
        <w:spacing w:after="0" w:line="218"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$450 million and $1.4 billion on its common stock in the three and nine months ended September 30,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9,039</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Inventories are reflected net of allowances totaling $2.0 billion and $2.2 billion, of which $1.5 billion and $1.9 billion are electric vehicle (EV)-related, to remeasure inventory on-hand to net realizable value at September 30, 2024 and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Equipment on Operating Leases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Equipment on operating leases consists of leases to retail customers of GM Financial.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37,549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37,921</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8"/>
              </w:rPr>
              <w:t>(6,593)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8"/>
              </w:rPr>
              <w:t>(7,338)</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30,956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30,582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estimated residual value of our leased assets at the end of the lease term was $23.0 billion and $22.7 billion at September 30, 2024 and December 31, 2023.</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Depreciation expense related to Equipment on operating leases, net was $1.2 billion in the three months ended September 30, 2024 and 2023 and $3.6 billion and $3.7 billion in the nine months ended September 30, 2024 and 2023.</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lease payments due to GM Financial on leases to retail customers: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8"/>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receipts under operating leases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w:t>
            </w:r>
          </w:p>
        </w:tc>
      </w:tr>
      <w:tr>
        <w:trPr>
          <w:trHeight w:val="901"/>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6"/>
        </w:trPr>
        <w:tc>
          <w:tcPr>
            <w:tcW w:w="3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Equity in Net Assets of Nonconsolidated Affiliates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 or Automotive and other cost of sales.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joint ventures equity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Ultium Cells Holdings LLC equity income (loss)(a)</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joint ventures equity income (loss)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2"/>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income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earnings related to Ultium Cells Holdings LLC, an equally owned joint venture with LG Energy Solution (LGES), are presented in Automotive and other cost of sales as this entity is integral to the operations of our business by providing battery cells for our EVs.</w:t>
      </w:r>
    </w:p>
    <w:p>
      <w:pPr>
        <w:spacing w:after="0" w:line="19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have been no significant ownership changes in our Automotive China joint ventures (Automotive China JVs) or Ultium Cells Holdings LLC since December 31,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Operating Data of Automotive China JVs</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21,817</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China JVs' 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r>
    </w:tbl>
    <w:p>
      <w:pPr>
        <w:spacing w:after="0" w:line="31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Dividends declared but not paid from our nonconsolidated affiliates were $664 million and an insignificant amount at September 30, 2024 and December 31, 2023. Dividends received from our nonconsolidated affiliates were insignificant and $190 million in the three and nine months ended September 30, 2024 and $101 million and $514 million in the three and nine months ended September 30, 2023. Undistributed earnings from our nonconsolidated affiliates were $2.0 billion and $1.7 billion at September 30, 2024 and December 31,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Variable Interest Entities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Automotive Financing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GM Financial</w:t>
      </w:r>
    </w:p>
    <w:p>
      <w:pPr>
        <w:spacing w:after="0" w:line="11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 finance receivables, lease-related assets and cash held by them are legally owned by them and are not available to GM Financial's creditors or creditors of GM Financial's other subsidiaries.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related to GM Financial's consolidated VIEs: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 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receivables –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23,535</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15,794</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short-term debt and current portion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22,088</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23,210</w:t>
            </w: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Automotive</w:t>
      </w:r>
    </w:p>
    <w:p>
      <w:pPr>
        <w:spacing w:after="0" w:line="11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Nonconsolidated VIEs principally include automotive related operating entities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were approximately $3.8 billion and $2.4 billion and liabilities were insignificant related to our nonconsolidated VIEs at September 30, 2024 and December 31, 2023. Our maximum exposure to loss as a result of our involvement with these VIEs was approximately $6.1 billion and $3.5 billion, inclusive of approximately $2.2 billion and $0.8 billion in committed capital contributions to our battery cell manufacturing joint ventures, at September 30, 2024 and December 31, 2023. Our maximum exposure to loss, and required capital contributions, could vary depending on our battery cell manufacturing joint ventures' requirements and access to capital. We currently lack the power through voting or similar rights to direct the activities of these entities that most significantly affect their economic performance.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Automotive </w:t>
      </w:r>
      <w:r>
        <w:rPr>
          <w:rFonts w:ascii="Times New Roman" w:cs="Times New Roman" w:eastAsia="Times New Roman" w:hAnsi="Times New Roman"/>
          <w:sz w:val="18"/>
          <w:szCs w:val="18"/>
          <w:color w:val="auto"/>
        </w:rPr>
        <w:t>The following table presents debt in our automotive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292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8"/>
        </w:trPr>
        <w:tc>
          <w:tcPr>
            <w:tcW w:w="5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debt(a)</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15,911</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447</w:t>
            </w:r>
          </w:p>
        </w:tc>
      </w:tr>
      <w:tr>
        <w:trPr>
          <w:trHeight w:val="222"/>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automotive debt(b)</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16,448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16,490</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1 inputs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15,457</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1,033</w:t>
            </w:r>
          </w:p>
        </w:tc>
      </w:tr>
      <w:tr>
        <w:trPr>
          <w:trHeight w:val="269"/>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facility agreements(c)</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16,446</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short-term debt(d)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long-term debt(d)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senior notes.</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discount and debt issuance costs of $481 million and $527 million at September 30, 2024 and December 31, 2023.</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our 364-day, $2.0 billion facility allocated for exclusive use by GM Financial.</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coupon rates on debt denominated in various foreign currencies and interest free loans.</w:t>
      </w:r>
    </w:p>
    <w:p>
      <w:pPr>
        <w:spacing w:after="0" w:line="23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2024, we renewed our 364-day, $2.0 billion revolving credit facility allocated for the exclusive use of GM Financial, which now matures March 27, 2025. Interest rates on obligations under the renewed credit facility are based on Term Secured Overnight Financing Rate (SOFR).</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2024, we terminated our unsecured 364-day delayed draw term loan credit agreement that permitted the Company to borrow up to $3.0 billion executed in November 2023, resulting in an insignificant loss.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The following table presents debt of GM Financial: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284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44,971</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59,651</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102,262</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3 inputs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r>
    </w:tbl>
    <w:p>
      <w:pPr>
        <w:spacing w:after="0" w:line="3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Secured debt consists of revolving credit facilities and securitization notes payable. Most of the secured debt was issued by VIEs and is repayable only from proceeds related to the underlying pledged assets. Refer to Note 8 to our condensed consolidated financial statements for additional information on GM Financial's involvement with VIEs. In the nine months ended September 30, 2024, GM Financial renewed revolving credit facilities with total borrowing capacity of $24.2 billion and issued $18.0 billion in aggregate principal amount of securitization notes payable with an initial weighted-average interest rate of 5.5% and maturity dates ranging from 2024 to 2037.</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Unsecured debt consists of senior notes, credit facilities and other unsecured debt. In the nine months ended September 30, 2024, GM Financial issued $12.4 billion in aggregate principal amount of senior notes with an initial weighted-average interest rate of 5.4% and maturity dates ranging from 2027 to 2034.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the gross fair value amounts of GM Financial's derivative financial instruments and the associated notional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5"/>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5"/>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swaps(b)</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 financial instruments(c)</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162,605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163,446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1" w:lineRule="auto"/>
        <w:tabs>
          <w:tab w:leader="none" w:pos="3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gains/losses included in our condensed consolidated income statements and statements of comprehensive income for the three and nine months ended September 30, 2024 and 2023 were insignificant, unless otherwise noted. Amounts accrued for interest payments in a net receivable position are included in Other assets. Amounts accrued for interest payments in a net payable position are included in Other liabilities.</w:t>
      </w:r>
    </w:p>
    <w:p>
      <w:pPr>
        <w:jc w:val="both"/>
        <w:ind w:left="340" w:hanging="333"/>
        <w:spacing w:after="0" w:line="252"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foreign currency cash flow hedges recognized in Accumulated other comprehensive loss in the condensed consolidated statements of comprehensive income includes gains of $246 million and losses of $154 million for the three months ended September 30, 2024 and 2023, and an insignificant gain and loss for the nine months ended September 30, 2024 and 2023. The effect of foreign currency cash flow hedges reclassified from Accumulated other comprehensive loss in the condensed consolidated statements of comprehensive income into income includes gains of $291 million and losses of $226 million for the three months ended September 30, 2024 and 2023, and an insignificant gain and losses of $129 million for the nine months ended September 30, 2024 and 2023.</w:t>
      </w:r>
    </w:p>
    <w:p>
      <w:pPr>
        <w:spacing w:after="0" w:line="1" w:lineRule="exact"/>
        <w:rPr>
          <w:rFonts w:ascii="Times New Roman" w:cs="Times New Roman" w:eastAsia="Times New Roman" w:hAnsi="Times New Roman"/>
          <w:sz w:val="16"/>
          <w:szCs w:val="16"/>
          <w:color w:val="auto"/>
        </w:rPr>
      </w:pPr>
    </w:p>
    <w:p>
      <w:pPr>
        <w:ind w:left="340" w:hanging="333"/>
        <w:spacing w:after="0" w:line="268" w:lineRule="auto"/>
        <w:tabs>
          <w:tab w:leader="none" w:pos="3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GM Financial held $225 million and $457 million of collateral from counterparties available for netting against GM Financial's asset positions and posted $819 million and $1.2 billion of collateral to counterparties available for netting against GM Financial's liability positions at September 30, 2024 and December 31, 2023.</w:t>
      </w:r>
    </w:p>
    <w:p>
      <w:pPr>
        <w:spacing w:after="0" w:line="208"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8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amounts were recorded in the condensed consolidated balance sheets related to items designated and qualifying as hedged items in fair value hedging relationships: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304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121"/>
        </w:trPr>
        <w:tc>
          <w:tcPr>
            <w:tcW w:w="304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61"/>
              <w:spacing w:after="0" w:line="121" w:lineRule="exact"/>
              <w:rPr>
                <w:sz w:val="20"/>
                <w:szCs w:val="20"/>
                <w:color w:val="auto"/>
              </w:rPr>
            </w:pPr>
            <w:r>
              <w:rPr>
                <w:rFonts w:ascii="Times New Roman" w:cs="Times New Roman" w:eastAsia="Times New Roman" w:hAnsi="Times New Roman"/>
                <w:sz w:val="13"/>
                <w:szCs w:val="13"/>
                <w:b w:val="1"/>
                <w:bCs w:val="1"/>
                <w:color w:val="auto"/>
                <w:w w:val="95"/>
              </w:rPr>
              <w:t>Cumulative Amount of Fair Value</w:t>
            </w:r>
          </w:p>
        </w:tc>
        <w:tc>
          <w:tcPr>
            <w:tcW w:w="10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right"/>
              <w:ind w:right="101"/>
              <w:spacing w:after="0" w:line="121" w:lineRule="exact"/>
              <w:rPr>
                <w:sz w:val="20"/>
                <w:szCs w:val="20"/>
                <w:color w:val="auto"/>
              </w:rPr>
            </w:pPr>
            <w:r>
              <w:rPr>
                <w:rFonts w:ascii="Times New Roman" w:cs="Times New Roman" w:eastAsia="Times New Roman" w:hAnsi="Times New Roman"/>
                <w:sz w:val="13"/>
                <w:szCs w:val="13"/>
                <w:b w:val="1"/>
                <w:bCs w:val="1"/>
                <w:color w:val="auto"/>
                <w:w w:val="96"/>
              </w:rPr>
              <w:t>Cumulative Amount of Fair Value</w:t>
            </w:r>
          </w:p>
        </w:tc>
      </w:tr>
      <w:tr>
        <w:trPr>
          <w:trHeight w:val="175"/>
        </w:trPr>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5"/>
                <w:szCs w:val="15"/>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Hedging Adjustments(a)</w:t>
            </w: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5"/>
                <w:szCs w:val="15"/>
                <w:color w:val="auto"/>
              </w:rPr>
            </w:pPr>
          </w:p>
        </w:tc>
        <w:tc>
          <w:tcPr>
            <w:tcW w:w="2040" w:type="dxa"/>
            <w:vAlign w:val="bottom"/>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Hedging Adjustments(a)</w:t>
            </w:r>
          </w:p>
        </w:tc>
      </w:tr>
      <w:tr>
        <w:trPr>
          <w:trHeight w:val="228"/>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unsecured debt</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1,037</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1,029</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72" w:lineRule="auto"/>
        <w:tabs>
          <w:tab w:leader="none" w:pos="3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$752 million and $872 million of unamortized losses remaining on hedged items for which hedge accounting has been discontinued at September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Product Warranty and Related Liabilities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gridSpan w:val="5"/>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4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8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1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and Related Liabilities</w:t>
            </w: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beginning of period</w:t>
            </w:r>
          </w:p>
        </w:tc>
        <w:tc>
          <w:tcPr>
            <w:tcW w:w="4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0" w:type="dxa"/>
            <w:vAlign w:val="bottom"/>
          </w:tcPr>
          <w:p>
            <w:pPr>
              <w:spacing w:after="0"/>
              <w:rPr>
                <w:sz w:val="1"/>
                <w:szCs w:val="1"/>
                <w:color w:val="auto"/>
              </w:rPr>
            </w:pP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recall campaigns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product warranty</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(3,044)</w:t>
            </w: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9"/>
              </w:rPr>
              <w:t>(22)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end of period</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Supplier recoveries balance at end of period(a)</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net of supplier recoveries at end of period</w:t>
            </w:r>
          </w:p>
        </w:tc>
        <w:tc>
          <w:tcPr>
            <w:tcW w:w="460" w:type="dxa"/>
            <w:vAlign w:val="bottom"/>
            <w:tcBorders>
              <w:bottom w:val="single" w:sz="8" w:color="auto"/>
            </w:tcBorders>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8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(a)  The current portion of supplier recoveries is recorded in Accounts and notes receivable, net of allowance and the non-current portion is recorded in Other assets.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gridSpan w:val="5"/>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gridSpan w:val="4"/>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8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1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Expense, Net of Recoveries</w:t>
            </w: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w:t>
            </w:r>
          </w:p>
        </w:tc>
        <w:tc>
          <w:tcPr>
            <w:tcW w:w="4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5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recoveries accrued in period</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and other</w:t>
            </w: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expense, net of supplier recoveries</w:t>
            </w: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922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three and nine months ended September 30, 2024, we recorded insignificant charges to supplier recoveries and in the nine months ended September 30, 2023, we recorded $792 million in charges to supplier recoveries related to a settlement for Chevrolet Bolt recall costs. For estimates related to reasonably possible losses in excess of amounts accrued for recall campaigns, refer to Note 13 to our condensed consolidated financial statements for additional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Pensions and Other Postretirement Benefits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10"/>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0" w:type="dxa"/>
            <w:vAlign w:val="bottom"/>
          </w:tcPr>
          <w:p>
            <w:pPr>
              <w:spacing w:after="0"/>
              <w:rPr>
                <w:sz w:val="19"/>
                <w:szCs w:val="19"/>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60" w:type="dxa"/>
            <w:vAlign w:val="bottom"/>
          </w:tcPr>
          <w:p>
            <w:pPr>
              <w:spacing w:after="0"/>
              <w:rPr>
                <w:sz w:val="19"/>
                <w:szCs w:val="19"/>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4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20" w:type="dxa"/>
            <w:vAlign w:val="bottom"/>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4"/>
                <w:szCs w:val="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10"/>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0" w:type="dxa"/>
            <w:vAlign w:val="bottom"/>
          </w:tcPr>
          <w:p>
            <w:pPr>
              <w:spacing w:after="0"/>
              <w:rPr>
                <w:sz w:val="19"/>
                <w:szCs w:val="19"/>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60" w:type="dxa"/>
            <w:vAlign w:val="bottom"/>
          </w:tcPr>
          <w:p>
            <w:pPr>
              <w:spacing w:after="0"/>
              <w:rPr>
                <w:sz w:val="19"/>
                <w:szCs w:val="19"/>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4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2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4"/>
                <w:szCs w:val="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177</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2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177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166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non-service cost components of net periodic pension and other postretirement benefits (OPEB) income presented in Interest income and other non-operating income, net are insignificant in the three months ended September 30, 2024 and 2023 and $149 million and $258 million in the nine months ended September 30, 2024 and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Litigation-Related Liability and Tax Administrative Matters </w:t>
      </w:r>
      <w:r>
        <w:rPr>
          <w:rFonts w:ascii="Times New Roman" w:cs="Times New Roman" w:eastAsia="Times New Roman" w:hAnsi="Times New Roman"/>
          <w:sz w:val="18"/>
          <w:szCs w:val="18"/>
          <w:color w:val="auto"/>
        </w:rPr>
        <w:t>In the normal course of our business, we are named from time to time as a defendant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September 30, 2024 and December 31, 2023, we had accruals of $1.3 billion and $1.2 billion for such legal actions in Accrued liabilities and Other liabilities. In many matters, it is inherently difficult to determine whether a loss is probable or reasonably possible or to estimate the size or range of the potential loss. Some matters may involve compensatory, punitive or other treble damage claims, environmental remediation programs or sanctions that, if granted, could require us to pay damages or make other expenditures in amounts that cannot be reasonably estimated.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spacing w:after="0" w:line="210"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Korea Subcontract Workers Litigation </w:t>
      </w:r>
      <w:r>
        <w:rPr>
          <w:rFonts w:ascii="Times New Roman" w:cs="Times New Roman" w:eastAsia="Times New Roman" w:hAnsi="Times New Roman"/>
          <w:sz w:val="18"/>
          <w:szCs w:val="18"/>
          <w:color w:val="auto"/>
        </w:rPr>
        <w:t>GM Korea Company (GM Korea) is party to litigation with current and former subcontract workers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allegations that they 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and September 2020 orders. Since June 2020, the Seoul High Court (an intermediate-level appellate court) ruled against GM Korea in eight subcontract worker claims. While GM Korea's appeals were pending in the Supreme Court of the Republic of Korea (Korea Supreme Court), GM Korea hired certain of its subcontract workers as full-time employees. During the third quarter of 2024, the Korea Supreme Court issued its decisions with respect to the appeal. While the Korea Supreme Court ruled against GM Korea on most of the appeals, the Korea Supreme Court ruled in favor of GM Korea with regard to certain subcontract workers. At September 30, 2024, our accrual covering certain asserted claims and claims that we believe are probable of assertion and for which liability is probable was approximately $182 million. We estimate the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reasonably possible loss in excess of amounts accrued for other current subcontract workers who may assert similar claims to be insignificant at September 30, 2024. We are currently unable to estimate any reasonably possible material loss or range of loss that may result from additional claims that may be asserted by former subcontract workers.</w:t>
      </w:r>
    </w:p>
    <w:p>
      <w:pPr>
        <w:spacing w:after="0" w:line="20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Litigation-Related Liability and Tax Administrative Matters </w:t>
      </w:r>
      <w:r>
        <w:rPr>
          <w:rFonts w:ascii="Times New Roman" w:cs="Times New Roman" w:eastAsia="Times New Roman" w:hAnsi="Times New Roman"/>
          <w:sz w:val="18"/>
          <w:szCs w:val="18"/>
          <w:color w:val="auto"/>
        </w:rPr>
        <w:t>Various other legal actions, including class actions, governmental investigations,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claims and proceedings are pending 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spacing w:after="0" w:line="21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There are several putative class actions pending against GM in the U.S. and Canada alleging that various vehicles sold, including model year 2011–2016 Duramax Diesel Chevrolet Silverado and GMC Sierra vehicles, violate federal, state and foreign emission standards. In July 2023, the two putative class actions pending in the U.S. were dismissed with prejudice and judgment entered in favor of GM. In August 2024, the Sixth Circuit reversed the dismissal in one of the cases, and we are seeking a rehearing of that decision. The Sixth Circuit has not yet decided plaintiffs' appeal of the other case.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spacing w:after="0" w:line="212"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There are several putative class actions and two certified class actions pending against GM in the U.S. alleging that various 2011–2014 model year vehicles are defective because they excessively consume oil. While many of these proceedings have been dismissed or have been settled for insignificant amounts, several remain outstanding. In October 2022, we received an adverse jury verdict in a certified class action proceeding involving three states. We do not believe that the verdict is supported by the evidence and plan to appeal. We are currently unable to estimate any reasonably possible material loss or range of loss that may result from the putative class action proceedings and have previously accrued an immaterial amount related to one of the certified class action proceedings.</w:t>
      </w:r>
    </w:p>
    <w:p>
      <w:pPr>
        <w:spacing w:after="0" w:line="212"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There is one putative class action and one certified class action pending against GM in the U.S. alleging that various 2015–2022 model year vehicles are defective because they are equipped with faulty 8-speed transmissions. In March 2023, the judge overseeing the class action concerning 2015–2019 model year vehicles certified 26 state subclasses. In August 2024, the Sixth Circuit affirmed this class certification order. We are seeking a rehearing of the Sixth Circuit's ruling. The putative class action concerning 2020–2022 model year vehicles is pending in front of a different judge that has not yet addressed class certification. We have similar cases pending in Canada concerning these vehicles. We are currently unable to estimate any reasonably possible or probable material loss or range of loss that may result from these proceedings in excess of amounts accrued.</w:t>
      </w:r>
    </w:p>
    <w:p>
      <w:pPr>
        <w:spacing w:after="0" w:line="212"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There is a class action pending against GM in the U.S., and a putative class action in Canada, alleging that 2011–2016 model year Duramax Diesel Chevrolet Silverado and GMC Sierra vehicles are equipped with defective fuel pumps that are prone to failure. In March 2023, the U.S. court certified seven state subclasses. We reached an agreement to settle this matter on terms consistent with our accrual and the settlement agreement is pending final court approval.</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Indirect tax-related matters are being evaluated globally pertaining to value added taxes, customs, duties, sales tax, property taxes and other non-income tax exposures. Certain administrative proceedings are indirect tax-related and may require that we deposit funds in escrow or provide an alternative form of security. For indirect tax-related matters, we estimate our reasonably possible loss in excess of amounts accrued to be up to approximately $1.8 billion at September 30, 2024.</w:t>
      </w:r>
    </w:p>
    <w:p>
      <w:pPr>
        <w:spacing w:after="0" w:line="2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Takata Matters </w:t>
      </w:r>
      <w:r>
        <w:rPr>
          <w:rFonts w:ascii="Times New Roman" w:cs="Times New Roman" w:eastAsia="Times New Roman" w:hAnsi="Times New Roman"/>
          <w:sz w:val="18"/>
          <w:szCs w:val="18"/>
          <w:color w:val="auto"/>
        </w:rPr>
        <w:t>In November 2020, the National Highway Traffic Safety Administration (NHTSA) directed that we replace the Takata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(Takata) airbag inflators in our GMT900 vehicles, which are full-size pickup trucks and sport utility vehicles (SUVs), and we decided not to contest NHTSA's decision. While we have already begun the process of executing the</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recall, given the number of vehicles in this population, the recall will take several years to be completed. Accordingly, in the year ended December 31, 2020, we recorded a warranty accrual of $1.1 billion for the expected costs of complying with the recall remedy. At September 30, 2024, our remaining accrual for these matters was $565 million, and we believe the currently accrued amount remains reasonable.</w:t>
      </w:r>
    </w:p>
    <w:p>
      <w:pPr>
        <w:spacing w:after="0" w:line="204"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186"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7"/>
          <w:szCs w:val="17"/>
          <w:color w:val="auto"/>
        </w:rPr>
        <w:t>There are several putative class actions that have been filed against GM, including in the U.S. and Canada, arising out of allegations that airbag inflators manufactured by Takata are defective. In March 2023, a U.S. court overseeing one of the putative class actions issued a final judgment in favor of GM on all claims in eight states at issue in that proceeding. In August 2023, the U.S. court granted class certification as to a Louisiana claim, but denied certification as to seven other states. At this stage of these proceedings, we are unable to provide an estimate of the amounts or range of reasonably possible material loss.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ARC Matters </w:t>
      </w:r>
      <w:r>
        <w:rPr>
          <w:rFonts w:ascii="Times New Roman" w:cs="Times New Roman" w:eastAsia="Times New Roman" w:hAnsi="Times New Roman"/>
          <w:sz w:val="18"/>
          <w:szCs w:val="18"/>
          <w:color w:val="auto"/>
        </w:rPr>
        <w:t>In May 2023, we initiated a voluntary recall covering nearly one million 2014–2017 model year Buick Enclave, Chevrolet Traverse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GMC Acadia SUVs equipped with driver front airbag inflators manufactured by ARC Automotive, Inc. (ARC), and accrued an insignificant amount for the expected costs of the recall. As part of its ongoing investigation into ARC airbag inflators, on September 5, 2023, NHTSA issued an Initial Decision that approximately 52 million frontal driver and passenger airbag inflators manufactured by ARC and Delphi Automotive Systems LLC over a roughly 20-year period contain a safety-related defect and must be recalled. On July 31, 2024, NHTSA issued a Supplemental Initial Decision reaffirming its September 2023 Initial Decision and reopening the administrative record to additional public comments. The Initial Decision and the Supplemental Initial Decision are primarily based on the occurrence of seven field ruptures involving ARC-manufactured frontal airbag inflators. We are continuing to investigate the cause of the ruptures in GM vehicles in connection with our existing recalls. The administrative record for NHTSA’s investigation closed on October 11, 2024, and we are waiting for NHTSA to issue its final decision. As indicated in GM's filed comments in the record, we do not believe that further GM vehicle recalls are necessary or appropriate at this time. However, depending on the outcome of the dispute between NHTSA and ARC, and the possibility of additional recalls, the cost of which may not be fully recoverable, it is reasonably possible that the costs associated with these matters in excess of amounts accrued could be material, but we are unable to provide an estimate of the amounts or range of reasonably possible material loss at this time.</w:t>
      </w:r>
    </w:p>
    <w:p>
      <w:pPr>
        <w:spacing w:after="0" w:line="2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U.S., Canada and Israel, arising out of allegations that airbag inflators manufactured by ARC are defective. At this stage of these proceedings, we are unable to provide an estimate of the amounts or range of reasonably possible material loss.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Chevrolet Bolt Recall </w:t>
      </w:r>
      <w:r>
        <w:rPr>
          <w:rFonts w:ascii="Times New Roman" w:cs="Times New Roman" w:eastAsia="Times New Roman" w:hAnsi="Times New Roman"/>
          <w:sz w:val="18"/>
          <w:szCs w:val="18"/>
          <w:color w:val="auto"/>
        </w:rPr>
        <w:t>In July 2021, we initiated a voluntary recall for certain 2017–2019 model year Chevrolet Bolt EVs due to the risk that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defects present in the same battery cell could cause a high voltage battery fire in certain of these vehicles. After further investigation into the manufacturing processes at our battery supplier, LGES, and disassembling battery packs, we determined that the risk of battery cell defects was not confined to the initial recall population. As a result, in August 2021, we expanded the recall to include all 2017–2022 model year Chevrolet Bolt EV and Chevrolet Bolt Electric Utility Vehicles (EUVs). LG Electronics, Inc. and LGES (collectively, LG), have agreed to reimburse GM for certain costs and expenses associated with the recall. The commercial negotiations with LG also resolved other commercial matters associated with our Ultium Cells Holdings LLC joint venture with LGES. Accordingly, as of December 31, 2023, we had accrued a total of $2.6 billion and recognized receivables totaling $1.6 billion in connection with these matters. At September 30, 2024, our remaining accrual for these matters was $0.3 billion. These charges reflect our current best estimate for the cost of the recall remedy, which includes non-traditional recall remedies provided by GM to enhance customer satisfaction. The actual costs of the recall could be materially higher or lower.</w:t>
      </w:r>
    </w:p>
    <w:p>
      <w:pPr>
        <w:spacing w:after="0" w:line="21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addition, putative class actions have been filed against GM in the U.S. and Canada alleging that the batteries contained in the Bolt EVs and EUVs included in the recall population are defective. GM has agreed to settle the U.S. class actions for an immaterial amount and the settlement agreement is pending final court approval.</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Opel/Vauxhall Sale </w:t>
      </w:r>
      <w:r>
        <w:rPr>
          <w:rFonts w:ascii="Times New Roman" w:cs="Times New Roman" w:eastAsia="Times New Roman" w:hAnsi="Times New Roman"/>
          <w:sz w:val="18"/>
          <w:szCs w:val="18"/>
          <w:color w:val="auto"/>
        </w:rPr>
        <w:t>In 2017, we sold the Opel and Vauxhall businesses and certain other assets in Europe (the Opel/Vauxhall Business) to PSA Group,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Stellantis N.V. (Stellantis), under a Master Agreement (the Agreement). We also sold the European financing subsidiaries and branches to Banque PSA Finance S.A. and BNP Paribas Personal Finance S.A. Although the sale reduced our new vehicle presence in Europe, we may still be impacted by actions taken by regulators related to vehicles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Currently, various consumer lawsuits have been filed against the Seller and Stellantis in Germany, the United Kingdom (UK), Austria and the Netherlands alleging that Opel and Vauxhall vehicles sold by the Seller violated applicable emissions standards. In addition, we indemnified Stellantis for an immaterial amount for certain recalls that Stellantis has conducted or will conduct, including recalls in certain geographic locations that Stellantis intends to conduct related to Takata inflators in legacy Opel vehicles. We may in the future be required to further indemnify Stellantis relating to its Takata recalls, but we believe such further indemnification to be remote at this time.</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European Commission and UK Competition and Markets Authority Matter </w:t>
      </w:r>
      <w:r>
        <w:rPr>
          <w:rFonts w:ascii="Times New Roman" w:cs="Times New Roman" w:eastAsia="Times New Roman" w:hAnsi="Times New Roman"/>
          <w:sz w:val="18"/>
          <w:szCs w:val="18"/>
          <w:color w:val="auto"/>
        </w:rPr>
        <w:t>In March 2022, the European Commission and UK Competition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Authority (CMA) conducted inspections at the premises of, and sent out formal requests for information to, several companies and associations active in the automotive sector. The investigations concern conduct related to coordination regarding the collection, treatment and recovery of end-of-life cars and vans, which are considered waste. GM was not the subject of the inspections but has since received requests for information related to activities conducted by Opel, a former subsidiary business we sold to Stellantis in 2017. GM has replied to the European Commission’s and CMA’s requests for information. The inspections and requests for information are preliminary investigatory steps and do not prejudge the outcome of the investigations, and as of September 30, 2024, we had accrued an immaterial amount related to this matter. If an infringement is established as to Opel’s conduct, there are a range of possible outcomes, including fines, which could be material.</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Privacy and Consumer Protection Matters </w:t>
      </w:r>
      <w:r>
        <w:rPr>
          <w:rFonts w:ascii="Times New Roman" w:cs="Times New Roman" w:eastAsia="Times New Roman" w:hAnsi="Times New Roman"/>
          <w:sz w:val="18"/>
          <w:szCs w:val="18"/>
          <w:color w:val="auto"/>
        </w:rPr>
        <w:t>There are putative class actions pending against GM in federal courts in the U.S. alleging violations of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federal privacy and consumer protection laws related to the collection and use of certain consumer data obtained through our former OnStar Smart Driver product. In June 2024, those class actions were consolidated into a multi-district litigation proceeding in the Northern District of Georgia. In addition, a number of federal and state agencies and attorneys general have opened investigations or made inquiries of us relating to these alleged consumer protection and privacy issues. The Company is fully cooperating with these agencies and attorneys general. At this stage, we are not able to estimate any reasonably possible or probable material loss or range of loss that may result from these actions.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Product Liability </w:t>
      </w:r>
      <w:r>
        <w:rPr>
          <w:rFonts w:ascii="Times New Roman" w:cs="Times New Roman" w:eastAsia="Times New Roman" w:hAnsi="Times New Roman"/>
          <w:sz w:val="18"/>
          <w:szCs w:val="18"/>
          <w:color w:val="auto"/>
        </w:rPr>
        <w:t>We recorded liabilities of $603 million and $615 million in Accrued liabilities and Other liabilities at September 30, 2024 and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2023,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We enter into indemnification agreements for liability claims involving products manufactured primarily by certain joint ventures.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guarantees terminate in years ranging from 2025 to 2029,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$3.9 billion and $3.5 billion for these guarantees at September 30, 2024 and December 31, 2023, the majority of which relates to the indemnification agreements.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at this time and the fair value of the guarantees at issuance was insignificant. Refer to the Opel/Vauxhall Sale section of this note for additional information on our indemnification obligations to Stellantis under the Agreement.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Supplier Finance Programs </w:t>
      </w:r>
      <w:r>
        <w:rPr>
          <w:rFonts w:ascii="Times New Roman" w:cs="Times New Roman" w:eastAsia="Times New Roman" w:hAnsi="Times New Roman"/>
          <w:sz w:val="18"/>
          <w:szCs w:val="18"/>
          <w:color w:val="auto"/>
        </w:rPr>
        <w:t>Third-party finance providers offer certain suppliers the option for payment in advance of their invoice due date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were $1.7 billion and $1.3 billion at September 30, 2024 and December 31, 2023, which are recorded in Accounts payable (principally trade).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5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and nine months ended September 30, 2024, Income tax expense of $709 million and $2.2 billion was primarily due to tax expense attributable to entities included in our effective tax rate calculation.</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and nine months ended September 30, 2023, Income tax expense of $470 million and $1.4 billion was lower than the statutory tax rate primarily due to jurisdictional mix of earnings and tax expense attributable to entities included in our effective tax rate calculation.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Restructuring and Other Initiatives</w:t>
      </w:r>
    </w:p>
    <w:p>
      <w:pPr>
        <w:spacing w:after="0" w:line="25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12"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reserves and charges related to restructuring and other initiatives, including postemployment benefit reserves and charges: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86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three and nine months ended September 30, 2024, restructuring and other initiatives included strategic activities in GMNA related to Buick dealerships. We recorded charges of $150 million and $321 million in the three and nine months ended September 30, 2024, which are included in the table above, and incurred $376 million in net cash outflows resulting from these dealer restructurings in the nine months ended September 30, 2024. Cumulatively, we have incurred charges of approximately $1.4 billion and net cash outflows of $1.2 billion related to this initiative. The remaining $231 million is expected to be paid by the end of 2025.</w:t>
      </w:r>
    </w:p>
    <w:p>
      <w:pPr>
        <w:spacing w:after="0" w:line="21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April 2024, we announced restructuring actions in GMI related to the closure of manufacturing operations in Colombia and Ecuador. In the three and nine months ended September 30, 2024, we recorded an insignificant amount and $166 million before noncontrolling interest primarily related to employee separations and supplier related charges of $91 million, which are included in the table above, and non-cash restructuring charges of $73 million primarily related to accelerated depreciation and amortization, which is not reflected in the table above. As of September 30, 2024, we have incurred $35 million of cash outflows resulting from these restructuring activities. We expect the remaining cash outflows related to these activities of $56 million to be substantially completed by the end of 2024.</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three months ended September 30, 2024, we recorded restructuring charges of $190 million, primarily in GMNA, related to employee separations. As of September 30, 2024, we have incurred $74 million of cash outflows resulting from these restructuring actions. We expect the remaining cash outflows related to these activities of $116 million to be substantially completed by the end of 2025.</w:t>
      </w:r>
    </w:p>
    <w:p>
      <w:pPr>
        <w:spacing w:after="0" w:line="20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October 2023, Cruise voluntarily paused all of its driverless, supervised and manual AV operations in the U.S. while it examined its processes, systems and tools. In conjunction with these actions, Cruise recorded charges before noncontrolling interest of $529 million in the year ended December 31, 2023, which included non-cash restructuring charges of $250 million. In June 2024, Cruise indefinitely delayed the Cruise Origin and recognized primarily non-cash charges before noncontrolling interest of $631 million. The non-cash restructuring charges are not reflected in the table above. Cumulatively, we have incurred $218 million of cash outflows resulting from these restructuring activities. We expect the remaining cash outflows related to these activities of approximately $112 million to be completed by the end of 2025.</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Stockholders' Equity and Noncontrolling Interests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have 2.0 billion shares of preferred stock and 5.0 billion shares of common stock authorized for issuance. We had no shares of preferred stock issued and outstanding at September 30, 2024 and December 31, 2023. We had 1.1 billion and 1.2 billion shares of common stock issued and outstanding at September 30, 2024 and December 31, 2023.</w:t>
      </w:r>
    </w:p>
    <w:p>
      <w:pPr>
        <w:spacing w:after="0" w:line="20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Holders of our common stock are entitled to dividends at the sole discretion of our Board of Directors. Our total dividends paid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were $133 million and $407 million for the three and nine months ended September 30, 2024 and $123 million and $373 million for the three and nine months ended September 30, 2023.</w:t>
      </w:r>
    </w:p>
    <w:p>
      <w:pPr>
        <w:spacing w:after="0" w:line="200"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In November 2023, our Board of Directors increased the capacity under the share repurchase program by $10.0 billion to an aggregate of $11.4 billion and approved an accelerated share repurchase (ASR) program to repurchase an aggregate amount of $10.0 billion of our common stock. In December 2023, pursuant to the agreements entered into in connection with the ASR (collectively, the ASR Agreements), we advanced $10.0 billion and received approximately 215 million shares of our common stock with a value of $6.8 billion, which were immediately retired. In March 2024, upon the first settlement of the transactions contemplated under the ASR Agreements, we received approximately 4 million additional shares, which were immediately retired. The final number of shares ultimately to be purchased will be based on the average of the daily volume-weighted average prices of our common stock during the term of the ASR Agreements, less a discount and subject to adjustments pursuant to the terms and conditions of the ASR Agreements. Upon final settlement, we may receive additional shares of common stock, or, under certain circumstances, we may be required to deliver shares of common stock or to make a cash payment, at our election. The final settlement of the transactions contemplated under the ASR Agreements in connection with the ASR program is expected to occur in the three months ending December 31, 2024.</w:t>
      </w:r>
    </w:p>
    <w:p>
      <w:pPr>
        <w:spacing w:after="0" w:line="2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June 2024, our Board of Directors approved a new share repurchase authorization to repurchase up to an additional $6.0 billion of our outstanding common stock.</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nine months ended September 30, 2024, in addition to shares received under the ASR program, we purchased approximately 53 million shares of our outstanding common stock for $2.4 billion, including an insignificant amount related to purchases initiated in September 2024 that settled in October 2024. In the nine months ended September 30, 2023, we purchased 30 million shares of our outstanding common stock for $1.1 billion.</w:t>
      </w:r>
    </w:p>
    <w:p>
      <w:pPr>
        <w:spacing w:after="0" w:line="200"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Common Shares </w:t>
      </w:r>
      <w:r>
        <w:rPr>
          <w:rFonts w:ascii="Times New Roman" w:cs="Times New Roman" w:eastAsia="Times New Roman" w:hAnsi="Times New Roman"/>
          <w:sz w:val="18"/>
          <w:szCs w:val="18"/>
          <w:color w:val="auto"/>
        </w:rPr>
        <w:t>During the three and nine months ended September 30, 2024, GM Cruise Holdings LLC (Cruise Holdings) issued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insignificant amount of Class B Common Shares to net settle vested awards under Cruise's 2018 Employee Incentive Plan and to fund the payment of statutory tax withholding obligations resulting from the settlement or exercise of vested awards. The Class B Common Shares are classified as noncontrolling interests in our condensed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significant components of Accumulated other comprehensive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4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480" w:type="dxa"/>
            <w:vAlign w:val="bottom"/>
            <w:gridSpan w:val="3"/>
          </w:tcPr>
          <w:p>
            <w:pPr>
              <w:spacing w:after="0"/>
              <w:rPr>
                <w:sz w:val="2"/>
                <w:szCs w:val="2"/>
                <w:color w:val="auto"/>
              </w:rPr>
            </w:pPr>
          </w:p>
        </w:tc>
        <w:tc>
          <w:tcPr>
            <w:tcW w:w="1460" w:type="dxa"/>
            <w:vAlign w:val="bottom"/>
            <w:gridSpan w:val="3"/>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440" w:type="dxa"/>
            <w:vAlign w:val="bottom"/>
          </w:tcPr>
          <w:p>
            <w:pPr>
              <w:spacing w:after="0"/>
              <w:rPr>
                <w:sz w:val="16"/>
                <w:szCs w:val="16"/>
                <w:color w:val="auto"/>
              </w:rPr>
            </w:pP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6"/>
                <w:szCs w:val="16"/>
                <w:color w:val="auto"/>
              </w:rPr>
            </w:pPr>
          </w:p>
        </w:tc>
        <w:tc>
          <w:tcPr>
            <w:tcW w:w="14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1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175"/>
        </w:trPr>
        <w:tc>
          <w:tcPr>
            <w:tcW w:w="54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and noncontrolling interests, net of</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and tax(a)(b)(c)</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4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0" w:type="dxa"/>
            <w:vAlign w:val="bottom"/>
          </w:tcPr>
          <w:p>
            <w:pPr>
              <w:spacing w:after="0"/>
              <w:rPr>
                <w:sz w:val="1"/>
                <w:szCs w:val="1"/>
                <w:color w:val="auto"/>
              </w:rPr>
            </w:pPr>
          </w:p>
        </w:tc>
      </w:tr>
      <w:tr>
        <w:trPr>
          <w:trHeight w:val="175"/>
        </w:trPr>
        <w:tc>
          <w:tcPr>
            <w:tcW w:w="54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before reclassification adjustment, net</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tax(a)(c)</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net of tax(c)</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2"/>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tax(c)</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period(d)</w:t>
            </w: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noncontrolling interests were insignificant in the three and nine months ended September 30, 2024 and 2023.</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reclassification adjustment was insignificant in the three and nine months ended September 30, 2024 and 2023.</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was insignificant in the three and nine months ended September 30, 2024 and 2023.</w:t>
      </w:r>
    </w:p>
    <w:p>
      <w:pPr>
        <w:spacing w:after="0" w:line="7" w:lineRule="exact"/>
        <w:rPr>
          <w:rFonts w:ascii="Times New Roman" w:cs="Times New Roman" w:eastAsia="Times New Roman" w:hAnsi="Times New Roman"/>
          <w:sz w:val="16"/>
          <w:szCs w:val="16"/>
          <w:color w:val="auto"/>
        </w:rPr>
      </w:pPr>
    </w:p>
    <w:p>
      <w:pPr>
        <w:ind w:left="340" w:hanging="333"/>
        <w:spacing w:after="0" w:line="268"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unamortized actuarial loss on our defined benefit plans. Refer to Note 2. Significant Accounting Policies of our 2023 Form 10-K for additional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cumulative dividends on subsidiary preferred stock(a)</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107"/>
        </w:trPr>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w:t>
            </w:r>
          </w:p>
        </w:tc>
      </w:tr>
      <w:tr>
        <w:trPr>
          <w:trHeight w:val="107"/>
        </w:trPr>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awards under stock incentive plans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Potentially dilutive securities(b)</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an insignificant amount in participating securities income from a subsidiary for the nine months ended September 30, 2024.</w:t>
      </w:r>
    </w:p>
    <w:p>
      <w:pPr>
        <w:spacing w:after="0" w:line="7" w:lineRule="exact"/>
        <w:rPr>
          <w:rFonts w:ascii="Times New Roman" w:cs="Times New Roman" w:eastAsia="Times New Roman" w:hAnsi="Times New Roman"/>
          <w:sz w:val="16"/>
          <w:szCs w:val="16"/>
          <w:color w:val="auto"/>
        </w:rPr>
      </w:pPr>
    </w:p>
    <w:p>
      <w:pPr>
        <w:jc w:val="both"/>
        <w:ind w:left="340" w:hanging="333"/>
        <w:spacing w:after="0" w:line="265"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attributable to outstanding stock options, Performance Stock Units and Restricted Stock Units (RSUs) at September 30, 2024 and outstanding stock options and RSUs at September 30, 2023, were excluded from the computation of diluted earnings per share (EPS) because the securities would have had an antidilutive effect.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Stock Incentive Plans</w:t>
      </w:r>
    </w:p>
    <w:p>
      <w:pPr>
        <w:spacing w:after="0" w:line="250" w:lineRule="exact"/>
        <w:rPr>
          <w:sz w:val="20"/>
          <w:szCs w:val="20"/>
          <w:color w:val="auto"/>
        </w:rPr>
      </w:pPr>
    </w:p>
    <w:p>
      <w:pPr>
        <w:jc w:val="both"/>
        <w:ind w:firstLine="161"/>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Cruise Stock Incentive Awards </w:t>
      </w:r>
      <w:r>
        <w:rPr>
          <w:rFonts w:ascii="Times New Roman" w:cs="Times New Roman" w:eastAsia="Times New Roman" w:hAnsi="Times New Roman"/>
          <w:sz w:val="17"/>
          <w:szCs w:val="17"/>
          <w:color w:val="auto"/>
        </w:rPr>
        <w:t>In the nine months ended September 30, 2024 and 2023, we conducted recurring tender offers and paid $214 million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$206 million in cash to purchase tendered Cruise Class B Common Shares. The final tender offer was completed in April 2024, after which, substantially all remaining outstanding unvested Cruise RSUs were exchanged by participants for unvested cash payment rights. The remaining outstanding Cruise RSUs are insignificant and are now presented in permanent equity. Total compensation expense related to Cruise Holdings' share-based awards was insignificant in the three and nine months ended September 30, 2024 and $199 million and $476 million in the three and nine months ended September 30,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p>
      <w:pPr>
        <w:spacing w:after="0" w:line="25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We analyze the results of our business through the following reportable segments: GMNA, GMI, Cruise and GM Financial. The chief operating decision-maker evaluates the operating results and performance of our automotive segments and Cruise through earnings before interest and income taxes (EBIT)-adjusted, which is presented net of noncontrolling interests. The chief operating decision-maker evaluates GM Financial through earnings before income taxes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those vehicles attract customers to dealer showrooms and help maintain sales volumes for other, more profitable vehicles and contribute towards our commitment to an all-electric future and meeting required fuel efficiency standards. As a result of these and other factors, we do not manage our business on an individual brand or vehicle basis.</w:t>
      </w:r>
    </w:p>
    <w:p>
      <w:pPr>
        <w:spacing w:after="0" w:line="21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Cruise is our global segment responsible for the development and commercialization of AV technology, and includes AV-related engineering and other costs. We provide automotive financing services through our GM Financial segment.</w:t>
      </w:r>
    </w:p>
    <w:p>
      <w:pPr>
        <w:spacing w:after="0" w:line="213"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Our automotive interest income and interest expense, legacy costs from the Opel/Vauxhall Business (primarily pension costs), corporate expenditures and certain revenues and expenses that are not part of a reportable segment are recorded centrally in Corporate. Corporate assets primarily consist of cash and cash equivalents, marketable debt securities and intersegment balances. All intersegment balances and transactions have been eliminated in consolidation.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300"/>
              <w:spacing w:after="0"/>
              <w:rPr>
                <w:sz w:val="20"/>
                <w:szCs w:val="20"/>
                <w:color w:val="auto"/>
              </w:rPr>
            </w:pPr>
            <w:r>
              <w:rPr>
                <w:rFonts w:ascii="Times New Roman" w:cs="Times New Roman" w:eastAsia="Times New Roman" w:hAnsi="Times New Roman"/>
                <w:sz w:val="13"/>
                <w:szCs w:val="13"/>
                <w:b w:val="1"/>
                <w:bCs w:val="1"/>
                <w:color w:val="auto"/>
              </w:rPr>
              <w:t>At and For the Three Months Ended September 30, 2024</w:t>
            </w: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41,157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44,735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4,031</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48,757</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w w:val="98"/>
              </w:rPr>
              <w:t>Earnings (loss) before interest and taxes-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3,819</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4,115</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3,717</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3,008</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07"/>
        </w:trPr>
        <w:tc>
          <w:tcPr>
            <w:tcW w:w="21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3,056</w:t>
            </w:r>
          </w:p>
        </w:tc>
        <w:tc>
          <w:tcPr>
            <w:tcW w:w="0" w:type="dxa"/>
            <w:vAlign w:val="bottom"/>
          </w:tcPr>
          <w:p>
            <w:pPr>
              <w:spacing w:after="0"/>
              <w:rPr>
                <w:sz w:val="1"/>
                <w:szCs w:val="1"/>
                <w:color w:val="auto"/>
              </w:rPr>
            </w:pPr>
          </w:p>
        </w:tc>
      </w:tr>
      <w:tr>
        <w:trPr>
          <w:trHeight w:val="181"/>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21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Equity in net assets of nonconsolidated</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11,039</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2,682</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4,745</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169,036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45,160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8"/>
              </w:rPr>
              <w:t>(86,689)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153,275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135,918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289,289</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2,873</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(loss)(b)</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280" w:hanging="273"/>
        <w:spacing w:after="0"/>
        <w:tabs>
          <w:tab w:leader="none" w:pos="2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charges for strategic activities related to restructuring actions and Buick dealerships in GMNA, charges related to manufacturing operations wind down in GMI and headquarters relocation in Corporate.</w:t>
      </w:r>
    </w:p>
    <w:p>
      <w:pPr>
        <w:spacing w:after="0" w:line="22" w:lineRule="exact"/>
        <w:rPr>
          <w:rFonts w:ascii="Times New Roman" w:cs="Times New Roman" w:eastAsia="Times New Roman" w:hAnsi="Times New Roman"/>
          <w:sz w:val="11"/>
          <w:szCs w:val="11"/>
          <w:color w:val="auto"/>
        </w:rPr>
      </w:pPr>
    </w:p>
    <w:p>
      <w:pPr>
        <w:ind w:left="340" w:hanging="333"/>
        <w:spacing w:after="0" w:line="238" w:lineRule="auto"/>
        <w:tabs>
          <w:tab w:leader="none" w:pos="289"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7 to our condensed consolidated financial statements for additional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300"/>
              <w:spacing w:after="0"/>
              <w:rPr>
                <w:sz w:val="20"/>
                <w:szCs w:val="20"/>
                <w:color w:val="auto"/>
              </w:rPr>
            </w:pPr>
            <w:r>
              <w:rPr>
                <w:rFonts w:ascii="Times New Roman" w:cs="Times New Roman" w:eastAsia="Times New Roman" w:hAnsi="Times New Roman"/>
                <w:sz w:val="13"/>
                <w:szCs w:val="13"/>
                <w:b w:val="1"/>
                <w:bCs w:val="1"/>
                <w:color w:val="auto"/>
              </w:rPr>
              <w:t>At and For the Three Months Ended September 30, 2023</w:t>
            </w: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36,106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40,503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3,641</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44,131</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w w:val="98"/>
              </w:rPr>
              <w:t>Earnings (loss) before interest and taxes-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3,561</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3,564</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3,464</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2,994</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07"/>
        </w:trPr>
        <w:tc>
          <w:tcPr>
            <w:tcW w:w="21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3,064</w:t>
            </w:r>
          </w:p>
        </w:tc>
        <w:tc>
          <w:tcPr>
            <w:tcW w:w="0" w:type="dxa"/>
            <w:vAlign w:val="bottom"/>
          </w:tcPr>
          <w:p>
            <w:pPr>
              <w:spacing w:after="0"/>
              <w:rPr>
                <w:sz w:val="1"/>
                <w:szCs w:val="1"/>
                <w:color w:val="auto"/>
              </w:rPr>
            </w:pPr>
          </w:p>
        </w:tc>
      </w:tr>
      <w:tr>
        <w:trPr>
          <w:trHeight w:val="181"/>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21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3"/>
                <w:szCs w:val="13"/>
                <w:color w:val="auto"/>
              </w:rPr>
              <w:t>Equity in net assets of nonconsolidated</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10,549</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2,832</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1,352</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4,907</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155,556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47,964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98"/>
              </w:rPr>
              <w:t>(77,461)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150,504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128,962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281,705</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1,749</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2,992</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(loss)(b)</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12" w:lineRule="exact"/>
        <w:rPr>
          <w:sz w:val="20"/>
          <w:szCs w:val="20"/>
          <w:color w:val="auto"/>
        </w:rPr>
      </w:pPr>
    </w:p>
    <w:p>
      <w:pPr>
        <w:ind w:left="280" w:hanging="273"/>
        <w:spacing w:after="0"/>
        <w:tabs>
          <w:tab w:leader="none" w:pos="2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strategic activities related to Buick dealerships and charges related to the voluntary separation program (VSP) in GMNA.</w:t>
      </w:r>
    </w:p>
    <w:p>
      <w:pPr>
        <w:ind w:left="340" w:hanging="333"/>
        <w:spacing w:after="0" w:line="238" w:lineRule="auto"/>
        <w:tabs>
          <w:tab w:leader="none" w:pos="289"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7 to our condensed consolidated financial statements for additional information.</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320"/>
              <w:spacing w:after="0"/>
              <w:rPr>
                <w:sz w:val="20"/>
                <w:szCs w:val="20"/>
                <w:color w:val="auto"/>
              </w:rPr>
            </w:pPr>
            <w:r>
              <w:rPr>
                <w:rFonts w:ascii="Times New Roman" w:cs="Times New Roman" w:eastAsia="Times New Roman" w:hAnsi="Times New Roman"/>
                <w:sz w:val="13"/>
                <w:szCs w:val="13"/>
                <w:b w:val="1"/>
                <w:bCs w:val="1"/>
                <w:color w:val="auto"/>
              </w:rPr>
              <w:t>At and For the Nine Months Ended September 30, 2024</w:t>
            </w:r>
          </w:p>
        </w:tc>
        <w:tc>
          <w:tcPr>
            <w:tcW w:w="7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21"/>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82"/>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117,981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128,007</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11,761</w:t>
            </w: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139,740</w:t>
            </w: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w w:val="98"/>
              </w:rPr>
              <w:t>Earnings (loss) before interest and taxes-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11,486</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2,246</w:t>
            </w:r>
          </w:p>
        </w:tc>
        <w:tc>
          <w:tcPr>
            <w:tcW w:w="1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12,424</w:t>
            </w: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w:t>
            </w: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w:t>
            </w: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11,076</w:t>
            </w:r>
          </w:p>
        </w:tc>
      </w:tr>
      <w:tr>
        <w:trPr>
          <w:trHeight w:val="16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(2,238)</w:t>
            </w: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8,837</w:t>
            </w: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07"/>
        </w:trPr>
        <w:tc>
          <w:tcPr>
            <w:tcW w:w="21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r>
      <w:tr>
        <w:trPr>
          <w:trHeight w:val="186"/>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8,969</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8,551</w:t>
            </w: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income (loss)(b)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38" w:lineRule="auto"/>
        <w:tabs>
          <w:tab w:leader="none" w:pos="316"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strategic activities related to restructuring actions and Buick dealerships in GMNA, charges related to manufacturing operations wind down in GMI, headquarters relocation in Corporate and charges related to Cruise restructuring.</w:t>
      </w:r>
    </w:p>
    <w:p>
      <w:pPr>
        <w:ind w:left="340" w:hanging="333"/>
        <w:spacing w:after="0" w:line="238" w:lineRule="auto"/>
        <w:tabs>
          <w:tab w:leader="none" w:pos="289"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7 to our condensed consolidated financial statements for additional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320"/>
              <w:spacing w:after="0"/>
              <w:rPr>
                <w:sz w:val="20"/>
                <w:szCs w:val="20"/>
                <w:color w:val="auto"/>
              </w:rPr>
            </w:pPr>
            <w:r>
              <w:rPr>
                <w:rFonts w:ascii="Times New Roman" w:cs="Times New Roman" w:eastAsia="Times New Roman" w:hAnsi="Times New Roman"/>
                <w:sz w:val="13"/>
                <w:szCs w:val="13"/>
                <w:b w:val="1"/>
                <w:bCs w:val="1"/>
                <w:color w:val="auto"/>
              </w:rPr>
              <w:t>At and For the Nine Months Ended September 30, 2023</w:t>
            </w: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Eliminations/Reclassifications</w:t>
            </w:r>
          </w:p>
        </w:tc>
        <w:tc>
          <w:tcPr>
            <w:tcW w:w="18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106,214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118,403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10,482</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center"/>
              <w:ind w:left="597"/>
              <w:spacing w:after="0"/>
              <w:rPr>
                <w:sz w:val="20"/>
                <w:szCs w:val="20"/>
                <w:color w:val="auto"/>
              </w:rPr>
            </w:pPr>
            <w:r>
              <w:rPr>
                <w:rFonts w:ascii="Times New Roman" w:cs="Times New Roman" w:eastAsia="Times New Roman" w:hAnsi="Times New Roman"/>
                <w:sz w:val="13"/>
                <w:szCs w:val="13"/>
                <w:color w:val="auto"/>
                <w:w w:val="92"/>
              </w:rPr>
              <w:t>(98)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128,863</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w w:val="98"/>
              </w:rPr>
              <w:t>Earnings (loss) before interest and taxes-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10,240</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2,278</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center"/>
              <w:ind w:left="597"/>
              <w:spacing w:after="0"/>
              <w:rPr>
                <w:sz w:val="20"/>
                <w:szCs w:val="20"/>
                <w:color w:val="auto"/>
              </w:rPr>
            </w:pPr>
            <w:r>
              <w:rPr>
                <w:rFonts w:ascii="Times New Roman" w:cs="Times New Roman" w:eastAsia="Times New Roman" w:hAnsi="Times New Roman"/>
                <w:sz w:val="13"/>
                <w:szCs w:val="13"/>
                <w:color w:val="auto"/>
                <w:w w:val="92"/>
              </w:rPr>
              <w:t>(13)</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10,601</w:t>
            </w:r>
          </w:p>
        </w:tc>
        <w:tc>
          <w:tcPr>
            <w:tcW w:w="0" w:type="dxa"/>
            <w:vAlign w:val="bottom"/>
          </w:tcPr>
          <w:p>
            <w:pPr>
              <w:spacing w:after="0"/>
              <w:rPr>
                <w:sz w:val="1"/>
                <w:szCs w:val="1"/>
                <w:color w:val="auto"/>
              </w:rPr>
            </w:pPr>
          </w:p>
        </w:tc>
      </w:tr>
      <w:tr>
        <w:trPr>
          <w:trHeight w:val="18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center"/>
              <w:ind w:left="4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income (loss)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9,267</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(1,421)</w:t>
            </w:r>
          </w:p>
        </w:tc>
        <w:tc>
          <w:tcPr>
            <w:tcW w:w="0" w:type="dxa"/>
            <w:vAlign w:val="bottom"/>
          </w:tcPr>
          <w:p>
            <w:pPr>
              <w:spacing w:after="0"/>
              <w:rPr>
                <w:sz w:val="1"/>
                <w:szCs w:val="1"/>
                <w:color w:val="auto"/>
              </w:rPr>
            </w:pPr>
          </w:p>
        </w:tc>
      </w:tr>
      <w:tr>
        <w:trPr>
          <w:trHeight w:val="17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7,846</w:t>
            </w:r>
          </w:p>
        </w:tc>
        <w:tc>
          <w:tcPr>
            <w:tcW w:w="0" w:type="dxa"/>
            <w:vAlign w:val="bottom"/>
          </w:tcPr>
          <w:p>
            <w:pPr>
              <w:spacing w:after="0"/>
              <w:rPr>
                <w:sz w:val="1"/>
                <w:szCs w:val="1"/>
                <w:color w:val="auto"/>
              </w:rPr>
            </w:pPr>
          </w:p>
        </w:tc>
      </w:tr>
      <w:tr>
        <w:trPr>
          <w:trHeight w:val="121"/>
        </w:trPr>
        <w:tc>
          <w:tcPr>
            <w:tcW w:w="2140" w:type="dxa"/>
            <w:vAlign w:val="bottom"/>
          </w:tcPr>
          <w:p>
            <w:pPr>
              <w:ind w:left="20"/>
              <w:spacing w:after="0" w:line="121" w:lineRule="exact"/>
              <w:rPr>
                <w:sz w:val="20"/>
                <w:szCs w:val="20"/>
                <w:color w:val="auto"/>
              </w:rPr>
            </w:pPr>
            <w:r>
              <w:rPr>
                <w:rFonts w:ascii="Times New Roman" w:cs="Times New Roman" w:eastAsia="Times New Roman" w:hAnsi="Times New Roman"/>
                <w:sz w:val="13"/>
                <w:szCs w:val="13"/>
                <w:color w:val="auto"/>
              </w:rPr>
              <w:t>Net loss (income) attributable to</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107"/>
        </w:trPr>
        <w:tc>
          <w:tcPr>
            <w:tcW w:w="214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1"/>
                <w:szCs w:val="11"/>
                <w:color w:val="auto"/>
              </w:rPr>
              <w:t>Net income (loss) attributable to</w:t>
            </w: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8,026</w:t>
            </w:r>
          </w:p>
        </w:tc>
        <w:tc>
          <w:tcPr>
            <w:tcW w:w="0" w:type="dxa"/>
            <w:vAlign w:val="bottom"/>
          </w:tcPr>
          <w:p>
            <w:pPr>
              <w:spacing w:after="0"/>
              <w:rPr>
                <w:sz w:val="1"/>
                <w:szCs w:val="1"/>
                <w:color w:val="auto"/>
              </w:rPr>
            </w:pPr>
          </w:p>
        </w:tc>
      </w:tr>
      <w:tr>
        <w:trPr>
          <w:trHeight w:val="181"/>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stockholders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center"/>
              <w:ind w:left="4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8,738</w:t>
            </w:r>
          </w:p>
        </w:tc>
        <w:tc>
          <w:tcPr>
            <w:tcW w:w="0" w:type="dxa"/>
            <w:vAlign w:val="bottom"/>
          </w:tcPr>
          <w:p>
            <w:pPr>
              <w:spacing w:after="0"/>
              <w:rPr>
                <w:sz w:val="1"/>
                <w:szCs w:val="1"/>
                <w:color w:val="auto"/>
              </w:rPr>
            </w:pPr>
          </w:p>
        </w:tc>
      </w:tr>
      <w:tr>
        <w:trPr>
          <w:trHeight w:val="169"/>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center"/>
              <w:ind w:left="4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income (loss)(b)</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center"/>
              <w:ind w:left="477"/>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12" w:lineRule="exact"/>
        <w:rPr>
          <w:sz w:val="20"/>
          <w:szCs w:val="20"/>
          <w:color w:val="auto"/>
        </w:rPr>
      </w:pPr>
    </w:p>
    <w:p>
      <w:pPr>
        <w:ind w:left="280" w:hanging="273"/>
        <w:spacing w:after="0"/>
        <w:tabs>
          <w:tab w:leader="none" w:pos="2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strategic activities related to Buick dealerships and charges related to the VSP in GMNA and the partial resolution of Korean subcontractor matters in GMI.</w:t>
      </w:r>
    </w:p>
    <w:p>
      <w:pPr>
        <w:ind w:left="280" w:hanging="273"/>
        <w:spacing w:after="0"/>
        <w:tabs>
          <w:tab w:leader="none" w:pos="28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Equity earnings related to Ultium Cells Holdings LLC are presented in Automotive and other cost of sales as this entity is integral to the operations of our business by providing battery cells for our EVs. Refer to Note 7</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to our condensed consolidated financial statements for additional information.</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This Management's Discussion and Analysis of Financial Condition and Results of Operations (MD&amp;A) should be read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conjunction with the accompanying condensed consolidated financial statements and the notes thereto, and the audited consolidated financial statements and notes thereto included in our 2023 Form 10-K.</w:t>
      </w:r>
    </w:p>
    <w:p>
      <w:pPr>
        <w:spacing w:after="0" w:line="20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Part 1, Item 1A. Risk Factors of our 2023 Form 10-K for a discussion of these risks and uncertainties. Except for per share amounts or as otherwise specified, dollar amounts presented within tables are stated in millions. Certain columns and rows may not add due to rounding.</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Our vision for the future is a world with zero crashes, zero emissions and zero congestion. We will adapt to customer preferences while executing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growth-focused strategy to invest in EVs, hybrids, AVs, software-enabled services and other new business opportunities. To support strong margins and cash flow during this transition, we are strengthening our market position in profitable internal combustion engine (ICE) vehicles, such as trucks and SUVs. We plan to execute our strategy with a steadfast commitment to good corporate citizenship through more sustainable operations and a leading health and safety culture.</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Our financial performance continues to be driven by the strength of our vehicle portfolio including high margin full-size pickup trucks and SUVs, strong consumer demand for our products and the execution of our core business strategy. We remain focused on reducing fixed costs and maintaining pricing discipline. We are monitoring industry pricing pressures, changing interest rates, inflation, warranty claims and consumer demand trends. We continue to prioritize driving down costs and building scale in our EV portfolio to improve profitability. Cruise has also resumed certain on-road operations with a focused and more capital efficient operating plan.</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we continue to assess our performance and the needs of our evolving business, additional restructuring and rationalization actions could be required. These actions could give rise to future asset impairments or other charges, which may have a material impact on our operating results. Refer to the Consolidated Results and regional sections of this MD&amp;A for additional information.</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face continuing market, operating and regulatory challenges in several countries across the globe due to, among other factors, competitive pressures, our product portfolio offerings, heightened emission standards, labor disruptions, foreign exchange volatility, evolving trade policy and political uncertainty. Refer to Part I, Item 1A. Risk Factors in our 2023 Form 10-K for a discussion of these challenges.</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the year ending December 31, 2024, we expect Net income attributable to stockholders of between $10.4 billion and $11.1 billion, EBIT-adjusted of between $14.0 billion and $15.0 billion, EPS-diluted of between $9.14 and $9.64 and EPS-diluted-adjusted of between $10.00 and $10.50. Refer to the "Non-GAAP Measures" section of this MD&amp;A for additional information.</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Net income attributable to stockholders under U.S. GAAP to expected EBIT-adjusted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32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Year Ending December 31, 2024</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$ 10.4-11.1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income, net</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$ 14.0-15.0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the MD&amp;A for adjustment details. These expected financial results do not include the potential impact of future adjustments related to special items.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EPS-diluted under U.S. GAAP to expected EPS-diluted-adjusted</w:t>
      </w:r>
      <w:r>
        <w:rPr>
          <w:rFonts w:ascii="Times New Roman" w:cs="Times New Roman" w:eastAsia="Times New Roman" w:hAnsi="Times New Roman"/>
          <w:sz w:val="16"/>
          <w:szCs w:val="16"/>
          <w:color w:val="auto"/>
        </w:rPr>
        <w:t>:</w:t>
      </w:r>
    </w:p>
    <w:p>
      <w:pPr>
        <w:spacing w:after="0" w:line="136"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2955" cy="153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Diluted earnings per common share</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Adjustments(a)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708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EPS-diluted-adjusted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320" w:hanging="138"/>
        <w:spacing w:after="0"/>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9.14-9.64</w:t>
      </w:r>
    </w:p>
    <w:p>
      <w:pPr>
        <w:spacing w:after="0" w:line="38" w:lineRule="exact"/>
        <w:rPr>
          <w:rFonts w:ascii="Times New Roman" w:cs="Times New Roman" w:eastAsia="Times New Roman" w:hAnsi="Times New Roman"/>
          <w:sz w:val="17"/>
          <w:szCs w:val="17"/>
          <w:color w:val="auto"/>
        </w:rPr>
      </w:pPr>
    </w:p>
    <w:p>
      <w:pPr>
        <w:ind w:left="6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0.86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$ 10.00-10.50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49530</wp:posOffset>
            </wp:positionV>
            <wp:extent cx="20821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82165" cy="8255"/>
                    </a:xfrm>
                    <a:prstGeom prst="rect">
                      <a:avLst/>
                    </a:prstGeom>
                    <a:noFill/>
                  </pic:spPr>
                </pic:pic>
              </a:graphicData>
            </a:graphic>
          </wp:anchor>
        </w:drawing>
      </w:r>
    </w:p>
    <w:p>
      <w:pPr>
        <w:spacing w:after="0" w:line="368" w:lineRule="exact"/>
        <w:rPr>
          <w:sz w:val="20"/>
          <w:szCs w:val="20"/>
          <w:color w:val="auto"/>
        </w:rPr>
      </w:pPr>
    </w:p>
    <w:p>
      <w:pPr>
        <w:sectPr>
          <w:pgSz w:w="11900" w:h="16838" w:orient="portrait"/>
          <w:cols w:equalWidth="0" w:num="2">
            <w:col w:w="9500" w:space="720"/>
            <w:col w:w="1020"/>
          </w:cols>
          <w:pgMar w:left="320" w:top="121" w:right="339" w:bottom="1440" w:gutter="0" w:footer="0" w:header="0"/>
          <w:type w:val="continuous"/>
        </w:sectPr>
      </w:pPr>
    </w:p>
    <w:p>
      <w:pPr>
        <w:ind w:left="340" w:right="20" w:hanging="333"/>
        <w:spacing w:after="0" w:line="268" w:lineRule="auto"/>
        <w:tabs>
          <w:tab w:leader="none" w:pos="33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diluted earnings per common share under U.S. GAAP to EPS-diluted-adjusted within the MD&amp;A for adjustment details. These expected financial results do not include the potential impact of future adjustments related to special items.</w:t>
      </w:r>
    </w:p>
    <w:p>
      <w:pPr>
        <w:spacing w:after="0" w:line="191"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w:t>
      </w:r>
      <w:r>
        <w:rPr>
          <w:rFonts w:ascii="Times New Roman" w:cs="Times New Roman" w:eastAsia="Times New Roman" w:hAnsi="Times New Roman"/>
          <w:sz w:val="18"/>
          <w:szCs w:val="18"/>
          <w:color w:val="auto"/>
        </w:rPr>
        <w:t>Industry sales in North America were 14.9 million units in the nine months ended September 30, 2024, representing an increase of 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corresponding period in 2023. U.S. industry sales were 12.0 million units in the nine months ended September 30, 2024, representing an increase of 0.3% compared to the corresponding period in 2023.</w:t>
      </w:r>
    </w:p>
    <w:p>
      <w:pPr>
        <w:spacing w:after="0" w:line="20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total vehicle sales in the U.S., our largest market in North America, were 1.9 million units for market share of 16.2% in the nine months ended September 30, 2024, representing a decrease of 0.2 percentage points compared to the corresponding period in 2023.</w:t>
      </w:r>
    </w:p>
    <w:p>
      <w:pPr>
        <w:spacing w:after="0" w:line="189"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expect to sustain relatively strong EBIT-adjusted margins in 2024 on the continued strength of our product portfolio, improved EV margins and ongoing fixed cost reduction efforts, partially offset by pricing moderation with increased incentives. While we expect EV margins to improve in 2024, it is possible that we will continue to recognize losses to adjust inventory to net realizable value. Our outlook is dependent on the resiliency of the U.S. economy, continuing improvement of supply chain availability, EV-related cost reduction and overall economic conditions.</w:t>
      </w:r>
    </w:p>
    <w:p>
      <w:pPr>
        <w:spacing w:after="0" w:line="204"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w:t>
      </w:r>
      <w:r>
        <w:rPr>
          <w:rFonts w:ascii="Times New Roman" w:cs="Times New Roman" w:eastAsia="Times New Roman" w:hAnsi="Times New Roman"/>
          <w:sz w:val="18"/>
          <w:szCs w:val="18"/>
          <w:color w:val="auto"/>
        </w:rPr>
        <w:t>Industry sales in China were 18.1 million units in the nine months ended September 30, 2024, representing an increase of 2.3%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2023. Our total vehicle sales in China were 1.2 million units for market share of 6.8% in the nine months ended September 30, 2024, representing a decrease of 1.8 percentage points compared to the corresponding period in 2023. Our Automotive China JVs generated an equity loss of $0.3 billion in the nine months ended September 30, 2024, driven primarily by a decline in wholesale volumes amid intense competition in a market with significant excess capacity from both new market entrants and established competitors offering vehicles at lower prices. This intense price competition and an increasingly challenging regulatory environment related to emissions, fuel consumption and new energy vehicles continue to negatively impact the profitability of our operations in China. Additionally, we believe independent, Chinese automakers are expanding market share and prioritizing production volumes over profitability, with the ability to produce vehicles at costs well below foreign automakers, including our Automotive China JVs. These factors are impacting our China JVs’ ability to grow vehicle sales in China and our ability to generate sustainable equity income from our China JVs. As a result, we are working closely with our JV partners to restructure our operations in China and expect an updated business plan in the fourth quarter. We believe a material loss in value may exist on our interests in certain China JVs and the updated business plan will inform us as to whether any loss in value is other than temporary. If we conclude that the loss in value is other than temporary, we would be required to record a material, non-cash impairment charge in the fourth quarter of this year. The carrying amounts of our investments in the Automotive China JVs and GM Financial China JVs subject to the restructuring actions are $4.4 billion and $1.6 billion as of September 30, 2024.</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Outside of China, industry sales were 19.0 million units in the nine months ended September 30, 2024, representing a decrease of 0.3% compared to the corresponding period in 2023. Our total vehicle sales outside of China were 0.7 million units for market share of 3.6% in the nine months ended September 30, 2024, representing a decrease of 0.3 percentage points compared to the corresponding period in 2023.</w:t>
      </w:r>
    </w:p>
    <w:p>
      <w:pPr>
        <w:spacing w:after="0" w:line="200" w:lineRule="exact"/>
        <w:rPr>
          <w:sz w:val="20"/>
          <w:szCs w:val="20"/>
          <w:color w:val="auto"/>
        </w:rPr>
      </w:pPr>
    </w:p>
    <w:p>
      <w:pPr>
        <w:jc w:val="both"/>
        <w:ind w:firstLine="161"/>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Cruise </w:t>
      </w:r>
      <w:r>
        <w:rPr>
          <w:rFonts w:ascii="Times New Roman" w:cs="Times New Roman" w:eastAsia="Times New Roman" w:hAnsi="Times New Roman"/>
          <w:sz w:val="17"/>
          <w:szCs w:val="17"/>
          <w:color w:val="auto"/>
        </w:rPr>
        <w:t>Cruise Holdings, our majority-owned subsidiary, is pursuing the development and commercialization of AV technology. In April 2024, Cruise AVs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returned to public roads for manual driving operations following a voluntary pause that resulted from an October 2023 accident. Subsequently, Cruise has resumed limited driverless testing in Houston, Texas and supervised operations and manual driving in Houston and Dallas, Texas, and Phoenix, Arizona. We expect Cruise to return to driverless commercial AV operations based on safety and other criteria, but we have not yet determined the timing of such return.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also continue to engage with certain federal and state agencies, including the California Department of Motor Vehicles, the California Public Utilities Commission, NHTSA, the U.S. Department of Justice and the SEC, who have opened investigations or made inquiries to us and Cruise in connection with the October 2023 incident and are actively cooperating with all government regulators and agencies in connection with these matters. In September 2024, Cruise and NHTSA executed a Consent Order, which imposed a $1.5 million fine on Cruise and requires enhanced reporting and engagement with NHTSA for two years (with an optional third year at NHTSA’s discretion). GM is neither a party nor a signatory to the agreement. Refer to Part I, Item 1A. Risk Factors of our 2023 Form 10-K for a further discussion of the risks associated with our AV strategy.</w:t>
      </w:r>
    </w:p>
    <w:p>
      <w:pPr>
        <w:spacing w:after="0" w:line="208"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Vehicle Sales </w:t>
      </w:r>
      <w:r>
        <w:rPr>
          <w:rFonts w:ascii="Times New Roman" w:cs="Times New Roman" w:eastAsia="Times New Roman" w:hAnsi="Times New Roman"/>
          <w:sz w:val="18"/>
          <w:szCs w:val="18"/>
          <w:color w:val="auto"/>
        </w:rPr>
        <w:t>The principal factors that determine consumer vehicle preferences in the markets in which we operate include overall vehicle design,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available options, safety, reliability, fuel economy or range and functionality. Market leadership in individual countries in which we compete varies widely.</w:t>
      </w:r>
    </w:p>
    <w:p>
      <w:pPr>
        <w:spacing w:after="0" w:line="20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present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nine months ended September 30, 2024, 27.0% of our wholesale vehicle sales volume was generated outside the U.S. The following table summarizes wholesale vehicle sales by automotive segment (vehicles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tcPr>
          <w:p>
            <w:pPr>
              <w:spacing w:after="0"/>
              <w:rPr>
                <w:sz w:val="16"/>
                <w:szCs w:val="16"/>
                <w:color w:val="auto"/>
              </w:rPr>
            </w:pPr>
          </w:p>
        </w:tc>
      </w:tr>
      <w:tr>
        <w:trPr>
          <w:trHeight w:val="25"/>
        </w:trPr>
        <w:tc>
          <w:tcPr>
            <w:tcW w:w="1960" w:type="dxa"/>
            <w:vAlign w:val="bottom"/>
          </w:tcPr>
          <w:p>
            <w:pPr>
              <w:spacing w:after="0"/>
              <w:rPr>
                <w:sz w:val="2"/>
                <w:szCs w:val="2"/>
                <w:color w:val="auto"/>
              </w:rPr>
            </w:pPr>
          </w:p>
        </w:tc>
        <w:tc>
          <w:tcPr>
            <w:tcW w:w="2340" w:type="dxa"/>
            <w:vAlign w:val="bottom"/>
            <w:gridSpan w:val="4"/>
          </w:tcPr>
          <w:p>
            <w:pPr>
              <w:spacing w:after="0"/>
              <w:rPr>
                <w:sz w:val="2"/>
                <w:szCs w:val="2"/>
                <w:color w:val="auto"/>
              </w:rPr>
            </w:pPr>
          </w:p>
        </w:tc>
        <w:tc>
          <w:tcPr>
            <w:tcW w:w="2340" w:type="dxa"/>
            <w:vAlign w:val="bottom"/>
            <w:gridSpan w:val="4"/>
          </w:tcPr>
          <w:p>
            <w:pPr>
              <w:spacing w:after="0"/>
              <w:rPr>
                <w:sz w:val="2"/>
                <w:szCs w:val="2"/>
                <w:color w:val="auto"/>
              </w:rPr>
            </w:pPr>
          </w:p>
        </w:tc>
        <w:tc>
          <w:tcPr>
            <w:tcW w:w="2340" w:type="dxa"/>
            <w:vAlign w:val="bottom"/>
            <w:gridSpan w:val="4"/>
          </w:tcPr>
          <w:p>
            <w:pPr>
              <w:spacing w:after="0"/>
              <w:rPr>
                <w:sz w:val="2"/>
                <w:szCs w:val="2"/>
                <w:color w:val="auto"/>
              </w:rPr>
            </w:pPr>
          </w:p>
        </w:tc>
        <w:tc>
          <w:tcPr>
            <w:tcW w:w="2260" w:type="dxa"/>
            <w:vAlign w:val="bottom"/>
            <w:gridSpan w:val="3"/>
          </w:tcPr>
          <w:p>
            <w:pPr>
              <w:spacing w:after="0"/>
              <w:rPr>
                <w:sz w:val="2"/>
                <w:szCs w:val="2"/>
                <w:color w:val="auto"/>
              </w:rPr>
            </w:pPr>
          </w:p>
        </w:tc>
      </w:tr>
      <w:tr>
        <w:trPr>
          <w:trHeight w:val="188"/>
        </w:trPr>
        <w:tc>
          <w:tcPr>
            <w:tcW w:w="1960" w:type="dxa"/>
            <w:vAlign w:val="bottom"/>
          </w:tcPr>
          <w:p>
            <w:pPr>
              <w:spacing w:after="0"/>
              <w:rPr>
                <w:sz w:val="16"/>
                <w:szCs w:val="16"/>
                <w:color w:val="auto"/>
              </w:rPr>
            </w:pPr>
          </w:p>
        </w:tc>
        <w:tc>
          <w:tcPr>
            <w:tcW w:w="2340" w:type="dxa"/>
            <w:vAlign w:val="bottom"/>
            <w:tcBorders>
              <w:top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20" w:type="dxa"/>
            <w:vAlign w:val="bottom"/>
            <w:tcBorders>
              <w:top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6"/>
                <w:szCs w:val="16"/>
                <w:color w:val="auto"/>
              </w:rPr>
            </w:pPr>
          </w:p>
        </w:tc>
        <w:tc>
          <w:tcPr>
            <w:tcW w:w="2340" w:type="dxa"/>
            <w:vAlign w:val="bottom"/>
            <w:tcBorders>
              <w:top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60" w:type="dxa"/>
            <w:vAlign w:val="bottom"/>
            <w:tcBorders>
              <w:top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28"/>
        </w:trPr>
        <w:tc>
          <w:tcPr>
            <w:tcW w:w="1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86.4 %</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87.1 %</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83.7 %</w:t>
            </w:r>
          </w:p>
        </w:tc>
      </w:tr>
      <w:tr>
        <w:trPr>
          <w:trHeight w:val="228"/>
        </w:trPr>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47"/>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industry and GM total vehicle sales and our related competitive position by geographic region (vehicles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80" w:type="dxa"/>
            <w:vAlign w:val="bottom"/>
          </w:tcPr>
          <w:p>
            <w:pPr>
              <w:spacing w:after="0"/>
              <w:rPr>
                <w:sz w:val="2"/>
                <w:szCs w:val="2"/>
                <w:color w:val="auto"/>
              </w:rPr>
            </w:pPr>
          </w:p>
        </w:tc>
        <w:tc>
          <w:tcPr>
            <w:tcW w:w="2360" w:type="dxa"/>
            <w:vAlign w:val="bottom"/>
            <w:gridSpan w:val="6"/>
          </w:tcPr>
          <w:p>
            <w:pPr>
              <w:spacing w:after="0"/>
              <w:rPr>
                <w:sz w:val="2"/>
                <w:szCs w:val="2"/>
                <w:color w:val="auto"/>
              </w:rPr>
            </w:pPr>
          </w:p>
        </w:tc>
        <w:tc>
          <w:tcPr>
            <w:tcW w:w="2380" w:type="dxa"/>
            <w:vAlign w:val="bottom"/>
            <w:gridSpan w:val="6"/>
          </w:tcPr>
          <w:p>
            <w:pPr>
              <w:spacing w:after="0"/>
              <w:rPr>
                <w:sz w:val="2"/>
                <w:szCs w:val="2"/>
                <w:color w:val="auto"/>
              </w:rPr>
            </w:pPr>
          </w:p>
        </w:tc>
        <w:tc>
          <w:tcPr>
            <w:tcW w:w="2400" w:type="dxa"/>
            <w:vAlign w:val="bottom"/>
            <w:gridSpan w:val="6"/>
          </w:tcPr>
          <w:p>
            <w:pPr>
              <w:spacing w:after="0"/>
              <w:rPr>
                <w:sz w:val="2"/>
                <w:szCs w:val="2"/>
                <w:color w:val="auto"/>
              </w:rPr>
            </w:pPr>
          </w:p>
        </w:tc>
        <w:tc>
          <w:tcPr>
            <w:tcW w:w="232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2360" w:type="dxa"/>
            <w:vAlign w:val="bottom"/>
            <w:tcBorders>
              <w:top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300" w:type="dxa"/>
            <w:vAlign w:val="bottom"/>
            <w:tcBorders>
              <w:top w:val="single" w:sz="8" w:color="auto"/>
            </w:tcBorders>
            <w:gridSpan w:val="5"/>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6"/>
                <w:szCs w:val="16"/>
                <w:color w:val="auto"/>
              </w:rPr>
            </w:pPr>
          </w:p>
        </w:tc>
        <w:tc>
          <w:tcPr>
            <w:tcW w:w="2400" w:type="dxa"/>
            <w:vAlign w:val="bottom"/>
            <w:tcBorders>
              <w:top w:val="single" w:sz="8" w:color="auto"/>
            </w:tcBorders>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320" w:type="dxa"/>
            <w:vAlign w:val="bottom"/>
            <w:tcBorders>
              <w:top w:val="single" w:sz="8" w:color="auto"/>
            </w:tcBorders>
            <w:gridSpan w:val="5"/>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34"/>
        </w:trPr>
        <w:tc>
          <w:tcPr>
            <w:tcW w:w="1780" w:type="dxa"/>
            <w:vAlign w:val="bottom"/>
          </w:tcPr>
          <w:p>
            <w:pPr>
              <w:spacing w:after="0"/>
              <w:rPr>
                <w:sz w:val="11"/>
                <w:szCs w:val="11"/>
                <w:color w:val="auto"/>
              </w:rPr>
            </w:pPr>
          </w:p>
        </w:tc>
        <w:tc>
          <w:tcPr>
            <w:tcW w:w="8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540" w:type="dxa"/>
            <w:vAlign w:val="bottom"/>
            <w:tcBorders>
              <w:top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8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540" w:type="dxa"/>
            <w:vAlign w:val="bottom"/>
            <w:tcBorders>
              <w:top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80" w:type="dxa"/>
            <w:vAlign w:val="bottom"/>
          </w:tcPr>
          <w:p>
            <w:pPr>
              <w:spacing w:after="0"/>
              <w:rPr>
                <w:sz w:val="11"/>
                <w:szCs w:val="11"/>
                <w:color w:val="auto"/>
              </w:rPr>
            </w:pPr>
          </w:p>
        </w:tc>
        <w:tc>
          <w:tcPr>
            <w:tcW w:w="8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540" w:type="dxa"/>
            <w:vAlign w:val="bottom"/>
            <w:tcBorders>
              <w:top w:val="single" w:sz="8" w:color="auto"/>
            </w:tcBorders>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86"/>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8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540" w:type="dxa"/>
            <w:vAlign w:val="bottom"/>
            <w:tcBorders>
              <w:top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85"/>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95"/>
        </w:trPr>
        <w:tc>
          <w:tcPr>
            <w:tcW w:w="17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9"/>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North America</w:t>
            </w: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0" w:type="dxa"/>
            <w:vAlign w:val="bottom"/>
          </w:tcPr>
          <w:p>
            <w:pPr>
              <w:spacing w:after="0"/>
              <w:rPr>
                <w:sz w:val="1"/>
                <w:szCs w:val="1"/>
                <w:color w:val="auto"/>
              </w:rPr>
            </w:pPr>
          </w:p>
        </w:tc>
      </w:tr>
      <w:tr>
        <w:trPr>
          <w:trHeight w:val="212"/>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0" w:type="dxa"/>
            <w:vAlign w:val="bottom"/>
          </w:tcPr>
          <w:p>
            <w:pPr>
              <w:spacing w:after="0"/>
              <w:rPr>
                <w:sz w:val="1"/>
                <w:szCs w:val="1"/>
                <w:color w:val="auto"/>
              </w:rPr>
            </w:pPr>
          </w:p>
        </w:tc>
      </w:tr>
      <w:tr>
        <w:trPr>
          <w:trHeight w:val="21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North America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0" w:type="dxa"/>
            <w:vAlign w:val="bottom"/>
          </w:tcPr>
          <w:p>
            <w:pPr>
              <w:spacing w:after="0"/>
              <w:rPr>
                <w:sz w:val="1"/>
                <w:szCs w:val="1"/>
                <w:color w:val="auto"/>
              </w:rPr>
            </w:pPr>
          </w:p>
        </w:tc>
      </w:tr>
      <w:tr>
        <w:trPr>
          <w:trHeight w:val="141"/>
        </w:trPr>
        <w:tc>
          <w:tcPr>
            <w:tcW w:w="17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Asia/Pacific, Middle East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7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and Africa</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China(a)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0" w:type="dxa"/>
            <w:vAlign w:val="bottom"/>
          </w:tcPr>
          <w:p>
            <w:pPr>
              <w:spacing w:after="0"/>
              <w:rPr>
                <w:sz w:val="1"/>
                <w:szCs w:val="1"/>
                <w:color w:val="auto"/>
              </w:rPr>
            </w:pPr>
          </w:p>
        </w:tc>
      </w:tr>
      <w:tr>
        <w:trPr>
          <w:trHeight w:val="212"/>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16,168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144"/>
        </w:trPr>
        <w:tc>
          <w:tcPr>
            <w:tcW w:w="17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Total Asia/Pacific, Middle</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12,088</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12,036</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34,309</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34,103</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20"/>
        </w:trPr>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East and Africa</w:t>
            </w: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South America</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0" w:type="dxa"/>
            <w:vAlign w:val="bottom"/>
          </w:tcPr>
          <w:p>
            <w:pPr>
              <w:spacing w:after="0"/>
              <w:rPr>
                <w:sz w:val="1"/>
                <w:szCs w:val="1"/>
                <w:color w:val="auto"/>
              </w:rPr>
            </w:pPr>
          </w:p>
        </w:tc>
      </w:tr>
      <w:tr>
        <w:trPr>
          <w:trHeight w:val="212"/>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1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South America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0" w:type="dxa"/>
            <w:vAlign w:val="bottom"/>
          </w:tcPr>
          <w:p>
            <w:pPr>
              <w:spacing w:after="0"/>
              <w:rPr>
                <w:sz w:val="1"/>
                <w:szCs w:val="1"/>
                <w:color w:val="auto"/>
              </w:rPr>
            </w:pPr>
          </w:p>
        </w:tc>
      </w:tr>
      <w:tr>
        <w:trPr>
          <w:trHeight w:val="206"/>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 GM markets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18,146</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18,046</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52,081</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51,460</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0" w:type="dxa"/>
            <w:vAlign w:val="bottom"/>
          </w:tcPr>
          <w:p>
            <w:pPr>
              <w:spacing w:after="0"/>
              <w:rPr>
                <w:sz w:val="1"/>
                <w:szCs w:val="1"/>
                <w:color w:val="auto"/>
              </w:rPr>
            </w:pPr>
          </w:p>
        </w:tc>
      </w:tr>
      <w:tr>
        <w:trPr>
          <w:trHeight w:val="218"/>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Europe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8"/>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Worldwide(b)</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22,057</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64,704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63,874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20"/>
        </w:trPr>
        <w:tc>
          <w:tcPr>
            <w:tcW w:w="17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United States</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218"/>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Trucks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0" w:type="dxa"/>
            <w:vAlign w:val="bottom"/>
          </w:tcPr>
          <w:p>
            <w:pPr>
              <w:spacing w:after="0"/>
              <w:rPr>
                <w:sz w:val="1"/>
                <w:szCs w:val="1"/>
                <w:color w:val="auto"/>
              </w:rPr>
            </w:pPr>
          </w:p>
        </w:tc>
      </w:tr>
      <w:tr>
        <w:trPr>
          <w:trHeight w:val="212"/>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Crossovers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0" w:type="dxa"/>
            <w:vAlign w:val="bottom"/>
          </w:tcPr>
          <w:p>
            <w:pPr>
              <w:spacing w:after="0"/>
              <w:rPr>
                <w:sz w:val="1"/>
                <w:szCs w:val="1"/>
                <w:color w:val="auto"/>
              </w:rPr>
            </w:pPr>
          </w:p>
        </w:tc>
      </w:tr>
      <w:tr>
        <w:trPr>
          <w:trHeight w:val="236"/>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United States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China(a)</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78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SGMS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SGMW</w:t>
            </w: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China</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8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3"/>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by the Automotive China JVs: SAIC General Motors Sales Co., Ltd. (SGMS) and SAIC GM Wuling Automobile Co., Ltd. (SGMW).</w:t>
      </w:r>
    </w:p>
    <w:p>
      <w:pPr>
        <w:spacing w:after="0" w:line="14" w:lineRule="exact"/>
        <w:rPr>
          <w:rFonts w:ascii="Times New Roman" w:cs="Times New Roman" w:eastAsia="Times New Roman" w:hAnsi="Times New Roman"/>
          <w:sz w:val="16"/>
          <w:szCs w:val="16"/>
          <w:color w:val="auto"/>
        </w:rPr>
      </w:pPr>
    </w:p>
    <w:p>
      <w:pPr>
        <w:ind w:left="340" w:hanging="333"/>
        <w:spacing w:after="0" w:line="255"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Cuba, Iran, North Korea, Sudan and Syria are subject to broad economic sanctions. Accordingly, these countries are excluded from industry sales data and corresponding calculation of market share.</w:t>
      </w:r>
    </w:p>
    <w:p>
      <w:pPr>
        <w:spacing w:after="0" w:line="2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352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20" w:type="dxa"/>
            <w:vAlign w:val="bottom"/>
            <w:gridSpan w:val="3"/>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430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1760" w:type="dxa"/>
            <w:vAlign w:val="bottom"/>
            <w:gridSpan w:val="2"/>
          </w:tcPr>
          <w:p>
            <w:pPr>
              <w:spacing w:after="0"/>
              <w:rPr>
                <w:sz w:val="2"/>
                <w:szCs w:val="2"/>
                <w:color w:val="auto"/>
              </w:rPr>
            </w:pPr>
          </w:p>
        </w:tc>
        <w:tc>
          <w:tcPr>
            <w:tcW w:w="176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r>
      <w:tr>
        <w:trPr>
          <w:trHeight w:val="188"/>
        </w:trPr>
        <w:tc>
          <w:tcPr>
            <w:tcW w:w="4300" w:type="dxa"/>
            <w:vAlign w:val="bottom"/>
          </w:tcPr>
          <w:p>
            <w:pPr>
              <w:spacing w:after="0"/>
              <w:rPr>
                <w:sz w:val="16"/>
                <w:szCs w:val="16"/>
                <w:color w:val="auto"/>
              </w:rPr>
            </w:pPr>
          </w:p>
        </w:tc>
        <w:tc>
          <w:tcPr>
            <w:tcW w:w="176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6"/>
                <w:szCs w:val="16"/>
                <w:color w:val="auto"/>
              </w:rPr>
            </w:pPr>
          </w:p>
        </w:tc>
        <w:tc>
          <w:tcPr>
            <w:tcW w:w="17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28"/>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16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538</w:t>
            </w:r>
          </w:p>
        </w:tc>
      </w:tr>
      <w:tr>
        <w:trPr>
          <w:trHeight w:val="228"/>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338</w:t>
            </w:r>
          </w:p>
        </w:tc>
      </w:tr>
      <w:tr>
        <w:trPr>
          <w:trHeight w:val="247"/>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fleet sales</w:t>
            </w:r>
          </w:p>
        </w:tc>
        <w:tc>
          <w:tcPr>
            <w:tcW w:w="16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876</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Fleet sales as a percentage of total vehicle sales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r>
      <w:tr>
        <w:trPr>
          <w:trHeight w:val="887"/>
        </w:trPr>
        <w:tc>
          <w:tcPr>
            <w:tcW w:w="4300" w:type="dxa"/>
            <w:vAlign w:val="bottom"/>
          </w:tcPr>
          <w:p>
            <w:pPr>
              <w:spacing w:after="0"/>
              <w:rPr>
                <w:sz w:val="24"/>
                <w:szCs w:val="24"/>
                <w:color w:val="auto"/>
              </w:rPr>
            </w:pPr>
          </w:p>
        </w:tc>
        <w:tc>
          <w:tcPr>
            <w:tcW w:w="16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56"/>
        </w:trPr>
        <w:tc>
          <w:tcPr>
            <w:tcW w:w="43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We believe that offering a comprehensive suite of financing products will generate incremental sales of our vehicles, drive incremental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GM Financial earnings and help support our sales throughout various economic cycles. GM Financial's penetration of our retail sales in the U.S. was 39% in the nine months ended September 30, 2024 and 43% in the corresponding period in 2023. Penetration levels vary depending on incentive financing programs available and competing third-party financing products in the market. GM Financial's prime loan originations as a percentage of total loan originations in North America decreased to 80% in the nine months ended September 30, 2024 from 82% in the corresponding period in 2023. In the nine months ended September 30, 2024, GM Financial's revenue consisted of leased vehicle income of 46%, retail finance charge income of 40% and commercial finance charge income of 8%.</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 Financial's leasing program is exposed to residual values, which are heavily dependent on used vehicle prices. Gains on terminations of leased vehicles of $0.2 billion and $0.6 billion were included in GM Financial interest, operating and other expenses for the three and nine months ended September 30, 2024, compared to gains of $0.2 billion and $0.7 billion in the corresponding periods in 2023. The following table summarizes the estimated residual value based on GM Financial's most recent estimates and the number of units included in GM Financial Equipment on operating leases, net by vehicle type (units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40" w:type="dxa"/>
            <w:vAlign w:val="bottom"/>
          </w:tcPr>
          <w:p>
            <w:pPr>
              <w:spacing w:after="0"/>
              <w:rPr>
                <w:sz w:val="16"/>
                <w:szCs w:val="16"/>
                <w:color w:val="auto"/>
              </w:rPr>
            </w:pPr>
          </w:p>
        </w:tc>
      </w:tr>
      <w:tr>
        <w:trPr>
          <w:trHeight w:val="25"/>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188"/>
        </w:trPr>
        <w:tc>
          <w:tcPr>
            <w:tcW w:w="2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4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28"/>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Crossovers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Trucks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2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SUVs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8"/>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7"/>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Consolidated Results </w:t>
      </w:r>
      <w:r>
        <w:rPr>
          <w:rFonts w:ascii="Times New Roman" w:cs="Times New Roman" w:eastAsia="Times New Roman" w:hAnsi="Times New Roman"/>
          <w:sz w:val="18"/>
          <w:szCs w:val="18"/>
          <w:color w:val="auto"/>
        </w:rPr>
        <w:t>We review changes in our results of operations under five categories: Volume, Mix, Price, Cost and Other. Volume measures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Pr>
          <w:p>
            <w:pPr>
              <w:spacing w:after="0"/>
              <w:rPr>
                <w:sz w:val="14"/>
                <w:szCs w:val="14"/>
                <w:color w:val="auto"/>
              </w:rPr>
            </w:pPr>
          </w:p>
        </w:tc>
        <w:tc>
          <w:tcPr>
            <w:tcW w:w="10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4"/>
                <w:szCs w:val="14"/>
                <w:color w:val="auto"/>
              </w:rPr>
            </w:pPr>
          </w:p>
        </w:tc>
        <w:tc>
          <w:tcPr>
            <w:tcW w:w="60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4"/>
                <w:szCs w:val="14"/>
                <w:color w:val="auto"/>
              </w:rPr>
            </w:pPr>
          </w:p>
        </w:tc>
        <w:tc>
          <w:tcPr>
            <w:tcW w:w="6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4"/>
                <w:szCs w:val="14"/>
                <w:color w:val="auto"/>
              </w:rPr>
            </w:pPr>
          </w:p>
        </w:tc>
        <w:tc>
          <w:tcPr>
            <w:tcW w:w="58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8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5,051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141"/>
              <w:spacing w:after="0"/>
              <w:rPr>
                <w:sz w:val="20"/>
                <w:szCs w:val="20"/>
                <w:color w:val="auto"/>
              </w:rPr>
            </w:pPr>
            <w:r>
              <w:rPr>
                <w:rFonts w:ascii="Times New Roman" w:cs="Times New Roman" w:eastAsia="Times New Roman" w:hAnsi="Times New Roman"/>
                <w:sz w:val="16"/>
                <w:szCs w:val="16"/>
                <w:color w:val="auto"/>
                <w:w w:val="99"/>
              </w:rPr>
              <w:t>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21"/>
              <w:spacing w:after="0"/>
              <w:rPr>
                <w:sz w:val="20"/>
                <w:szCs w:val="20"/>
                <w:color w:val="auto"/>
              </w:rPr>
            </w:pPr>
            <w:r>
              <w:rPr>
                <w:rFonts w:ascii="Times New Roman" w:cs="Times New Roman" w:eastAsia="Times New Roman" w:hAnsi="Times New Roman"/>
                <w:sz w:val="16"/>
                <w:szCs w:val="16"/>
                <w:color w:val="auto"/>
                <w:w w:val="97"/>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4,232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9"/>
              </w:rPr>
              <w:t>2.7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 Financial</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Eliminations/reclassifications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48,757</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44,131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9"/>
              </w:rPr>
              <w:t>2.7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Pr>
          <w:p>
            <w:pPr>
              <w:spacing w:after="0"/>
              <w:rPr>
                <w:sz w:val="14"/>
                <w:szCs w:val="14"/>
                <w:color w:val="auto"/>
              </w:rPr>
            </w:pPr>
          </w:p>
        </w:tc>
        <w:tc>
          <w:tcPr>
            <w:tcW w:w="10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8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4"/>
                <w:szCs w:val="14"/>
                <w:color w:val="auto"/>
              </w:rPr>
            </w:pPr>
          </w:p>
        </w:tc>
        <w:tc>
          <w:tcPr>
            <w:tcW w:w="60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4"/>
                <w:szCs w:val="14"/>
                <w:color w:val="auto"/>
              </w:rPr>
            </w:pPr>
          </w:p>
        </w:tc>
        <w:tc>
          <w:tcPr>
            <w:tcW w:w="6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4"/>
                <w:szCs w:val="14"/>
                <w:color w:val="auto"/>
              </w:rPr>
            </w:pPr>
          </w:p>
        </w:tc>
        <w:tc>
          <w:tcPr>
            <w:tcW w:w="58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8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11,767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141"/>
              <w:spacing w:after="0"/>
              <w:rPr>
                <w:sz w:val="20"/>
                <w:szCs w:val="20"/>
                <w:color w:val="auto"/>
              </w:rPr>
            </w:pPr>
            <w:r>
              <w:rPr>
                <w:rFonts w:ascii="Times New Roman" w:cs="Times New Roman" w:eastAsia="Times New Roman" w:hAnsi="Times New Roman"/>
                <w:sz w:val="16"/>
                <w:szCs w:val="16"/>
                <w:color w:val="auto"/>
                <w:w w:val="99"/>
              </w:rPr>
              <w:t>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21"/>
              <w:spacing w:after="0"/>
              <w:rPr>
                <w:sz w:val="20"/>
                <w:szCs w:val="20"/>
                <w:color w:val="auto"/>
              </w:rPr>
            </w:pPr>
            <w:r>
              <w:rPr>
                <w:rFonts w:ascii="Times New Roman" w:cs="Times New Roman" w:eastAsia="Times New Roman" w:hAnsi="Times New Roman"/>
                <w:sz w:val="16"/>
                <w:szCs w:val="16"/>
                <w:color w:val="auto"/>
                <w:w w:val="97"/>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9,604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9"/>
              </w:rPr>
              <w:t>7.3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 Financial</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1,279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Eliminations/reclassifications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139,740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128,863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10,877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9"/>
              </w:rPr>
              <w:t>7.3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Mix, Price and Other.</w:t>
      </w: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Cost of Sales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Pr>
          <w:p>
            <w:pPr>
              <w:spacing w:after="0"/>
              <w:rPr>
                <w:sz w:val="14"/>
                <w:szCs w:val="14"/>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4"/>
                <w:szCs w:val="14"/>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4"/>
                <w:szCs w:val="14"/>
                <w:color w:val="auto"/>
              </w:rPr>
            </w:pPr>
          </w:p>
        </w:tc>
        <w:tc>
          <w:tcPr>
            <w:tcW w:w="6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4"/>
                <w:szCs w:val="14"/>
                <w:color w:val="auto"/>
              </w:rPr>
            </w:pPr>
          </w:p>
        </w:tc>
        <w:tc>
          <w:tcPr>
            <w:tcW w:w="5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35,541</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31,045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793</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9"/>
              </w:rPr>
              <w:t>0.5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57.7 %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466</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66.0 %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automotive and other cost of</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39,007</w:t>
            </w:r>
          </w:p>
        </w:tc>
        <w:tc>
          <w:tcPr>
            <w:tcW w:w="10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35,842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center"/>
              <w:ind w:left="102"/>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33"/>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tcBorders>
              <w:bottom w:val="single" w:sz="8" w:color="auto"/>
            </w:tcBorders>
            <w:gridSpan w:val="2"/>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gridSpan w:val="2"/>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6"/>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3"/>
                <w:szCs w:val="13"/>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3"/>
                <w:szCs w:val="13"/>
                <w:color w:val="auto"/>
              </w:rPr>
            </w:pPr>
          </w:p>
        </w:tc>
        <w:tc>
          <w:tcPr>
            <w:tcW w:w="6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5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100,858</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91,889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(8,969)</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1,708</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16.0 %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9"/>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68.3 %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149</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automotive and other cost of</w:t>
            </w:r>
          </w:p>
        </w:tc>
        <w:tc>
          <w:tcPr>
            <w:tcW w:w="2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111,618</w:t>
            </w:r>
          </w:p>
        </w:tc>
        <w:tc>
          <w:tcPr>
            <w:tcW w:w="1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104,721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(6,897)</w:t>
            </w: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center"/>
              <w:ind w:left="102"/>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3"/>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w:t>
            </w:r>
          </w:p>
        </w:tc>
        <w:tc>
          <w:tcPr>
            <w:tcW w:w="20" w:type="dxa"/>
            <w:vAlign w:val="bottom"/>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both"/>
        <w:ind w:firstLine="161"/>
        <w:spacing w:after="0" w:line="275" w:lineRule="auto"/>
        <w:rPr>
          <w:sz w:val="20"/>
          <w:szCs w:val="20"/>
          <w:color w:val="auto"/>
        </w:rPr>
      </w:pPr>
      <w:r>
        <w:rPr>
          <w:rFonts w:ascii="Times New Roman" w:cs="Times New Roman" w:eastAsia="Times New Roman" w:hAnsi="Times New Roman"/>
          <w:sz w:val="17"/>
          <w:szCs w:val="17"/>
          <w:color w:val="auto"/>
        </w:rPr>
        <w:t>In the three months ended September 30, 2024, decreased Cost was primarily due to: (1) decreased inventory adjustments of $0.6 billion, primarily EV-related, to reflect the net realizable value at period end; (2) decreased engineering costs of $0.3 billion, driven primarily by lower AV engineering costs; and</w:t>
      </w:r>
    </w:p>
    <w:p>
      <w:pPr>
        <w:spacing w:after="0" w:line="1" w:lineRule="exact"/>
        <w:rPr>
          <w:sz w:val="20"/>
          <w:szCs w:val="20"/>
          <w:color w:val="auto"/>
        </w:rPr>
      </w:pPr>
    </w:p>
    <w:p>
      <w:pPr>
        <w:jc w:val="both"/>
        <w:ind w:firstLine="7"/>
        <w:spacing w:after="0" w:line="253" w:lineRule="auto"/>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equity earnings related to Ultium Cells Holdings LLC of $0.2 billion; partially offset by (4) increased campaigns and other warranty-related costs of $0.7 billion; and (5) increased manufacturing costs of $0.2 billion. In the three months ended September 30, 2024, favorable Other was primarily due to net foreign currency changes in the Brazilian real and other currencies.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the nine months ended September 30, 2024, decreased Cost was primarily due to: (1) decreased inventory adjustments of $1.0 billion, primarily EV-related, to reflect the net realizable value at period end; (2) the absence of charges related to the VSP of $0.7 billion; (3) increased equity earnings related to Ultium Cells Holdings LLC of $0.6 billion; (4) decreased engineering costs of $0.3 billion, driven primarily by $0.7 billion decrease in AV engineering costs offset by $0.4 billion increase in Automotive engineering costs; and (5) decreased material and freight costs of $0.2 billion; partially offset by (6) charges related to Cruise restructuring of $0.6 billion; (7) increased information technology and manufacturing costs of $0.4 billion; and (8) charges related to restructuring actions in GMI and GMNA of $0.2 billion. In the nine months ended September 30, 2024, favorable Other was primarily due to net foreign currency changes in the Mexican peso and the Brazilian real.</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and Mix.</w:t>
      </w: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Selling, General and Administrative Expense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75"/>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15"/>
                <w:szCs w:val="15"/>
                <w:color w:val="auto"/>
              </w:rPr>
            </w:pP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15"/>
                <w:szCs w:val="15"/>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900" w:type="dxa"/>
            <w:vAlign w:val="bottom"/>
          </w:tcPr>
          <w:p>
            <w:pPr>
              <w:spacing w:after="0"/>
              <w:rPr>
                <w:sz w:val="15"/>
                <w:szCs w:val="15"/>
                <w:color w:val="auto"/>
              </w:rPr>
            </w:pPr>
          </w:p>
        </w:tc>
      </w:tr>
      <w:tr>
        <w:trPr>
          <w:trHeight w:val="182"/>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92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900" w:type="dxa"/>
            <w:vAlign w:val="bottom"/>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1"/>
        </w:trPr>
        <w:tc>
          <w:tcPr>
            <w:tcW w:w="24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Automotive and other selling,</w:t>
            </w: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183"/>
        </w:trPr>
        <w:tc>
          <w:tcPr>
            <w:tcW w:w="2420" w:type="dxa"/>
            <w:vAlign w:val="bottom"/>
            <w:shd w:val="clear" w:color="auto" w:fill="CCEEFF"/>
          </w:tcPr>
          <w:p>
            <w:pPr>
              <w:ind w:left="180"/>
              <w:spacing w:after="0" w:line="183" w:lineRule="exact"/>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3"/>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7,292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7,449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bl>
    <w:p>
      <w:pPr>
        <w:spacing w:after="0" w:line="318"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September 30, 2024, Automotive and other selling, general and administrative expense increased primarily due to: (1) increased advertising, selling and administrative costs of $0.2 billion; and (2) charges related to restructuring actions primarily in GMNA of $0.1 billion.</w:t>
      </w:r>
    </w:p>
    <w:p>
      <w:pPr>
        <w:spacing w:after="0" w:line="18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In the nine months ended September 30, 2024, Automotive and other selling, general and administrative expense decreased primarily due to the absence of charges related to the VSP of $0.2 billion.</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Non-operating Income, net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1"/>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15"/>
                <w:szCs w:val="15"/>
                <w:color w:val="auto"/>
              </w:rPr>
            </w:pP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20" w:type="dxa"/>
            <w:vAlign w:val="bottom"/>
          </w:tcPr>
          <w:p>
            <w:pPr>
              <w:spacing w:after="0"/>
              <w:rPr>
                <w:sz w:val="15"/>
                <w:szCs w:val="15"/>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900" w:type="dxa"/>
            <w:vAlign w:val="bottom"/>
          </w:tcPr>
          <w:p>
            <w:pPr>
              <w:spacing w:after="0"/>
              <w:rPr>
                <w:sz w:val="15"/>
                <w:szCs w:val="15"/>
                <w:color w:val="auto"/>
              </w:rPr>
            </w:pP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92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900" w:type="dxa"/>
            <w:vAlign w:val="bottom"/>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0"/>
        </w:trPr>
        <w:tc>
          <w:tcPr>
            <w:tcW w:w="238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Interest income and other non-</w:t>
            </w: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233"/>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1,219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bl>
    <w:p>
      <w:pPr>
        <w:spacing w:after="0" w:line="318"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September 30, 2024, Interest income and other non-operating income, net decreased primarily due to several insignificant items.</w:t>
      </w:r>
    </w:p>
    <w:p>
      <w:pPr>
        <w:spacing w:after="0" w:line="189"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In the nine months ended September 30, 2024, Interest income and other non-operating income, net decreased primarily due to: (1) $0.2 billion in losses related to revaluation of investments; (2) $0.1 billion decrease in non-service pension and OPEB income; and (3) $0.1 billion decrease in interest income.</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15"/>
                <w:szCs w:val="15"/>
                <w:color w:val="auto"/>
              </w:rPr>
            </w:pP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20" w:type="dxa"/>
            <w:vAlign w:val="bottom"/>
          </w:tcPr>
          <w:p>
            <w:pPr>
              <w:spacing w:after="0"/>
              <w:rPr>
                <w:sz w:val="15"/>
                <w:szCs w:val="15"/>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Favorable/</w:t>
            </w:r>
          </w:p>
        </w:tc>
        <w:tc>
          <w:tcPr>
            <w:tcW w:w="920" w:type="dxa"/>
            <w:vAlign w:val="bottom"/>
          </w:tcPr>
          <w:p>
            <w:pPr>
              <w:spacing w:after="0"/>
              <w:rPr>
                <w:sz w:val="15"/>
                <w:szCs w:val="15"/>
                <w:color w:val="auto"/>
              </w:rPr>
            </w:pPr>
          </w:p>
        </w:tc>
      </w:tr>
      <w:tr>
        <w:trPr>
          <w:trHeight w:val="182"/>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92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92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28"/>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bl>
    <w:p>
      <w:pPr>
        <w:spacing w:after="0" w:line="3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three months ended September 30, 2024, Income tax expense increased primarily due to a higher effective tax rate.</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nine months ended September 30, 2024, Income tax expense increased primarily due to a higher effective tax rate and higher pre-tax income.</w:t>
      </w:r>
    </w:p>
    <w:p>
      <w:pPr>
        <w:spacing w:after="0" w:line="250"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For the three and nine months ended September 30, 2024, our effective tax rate-adjusted (ETR-adjusted) was 19.5% and 20.4%. We expect our adjusted effective tax rate to be between 19% and 20% for the year ending December 31, 2024.</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14 to our condensed consolidated financial statements for additional information related to Income tax expense.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5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60" w:type="dxa"/>
            <w:vAlign w:val="bottom"/>
          </w:tcPr>
          <w:p>
            <w:pPr>
              <w:spacing w:after="0"/>
              <w:rPr>
                <w:sz w:val="14"/>
                <w:szCs w:val="14"/>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20" w:type="dxa"/>
            <w:vAlign w:val="bottom"/>
          </w:tcPr>
          <w:p>
            <w:pPr>
              <w:spacing w:after="0"/>
              <w:rPr>
                <w:sz w:val="14"/>
                <w:szCs w:val="14"/>
                <w:color w:val="auto"/>
              </w:rPr>
            </w:pPr>
          </w:p>
        </w:tc>
        <w:tc>
          <w:tcPr>
            <w:tcW w:w="52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4"/>
                <w:szCs w:val="14"/>
                <w:color w:val="auto"/>
              </w:rPr>
            </w:pPr>
          </w:p>
        </w:tc>
        <w:tc>
          <w:tcPr>
            <w:tcW w:w="4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40" w:type="dxa"/>
            <w:vAlign w:val="bottom"/>
          </w:tcPr>
          <w:p>
            <w:pPr>
              <w:spacing w:after="0"/>
              <w:rPr>
                <w:sz w:val="14"/>
                <w:szCs w:val="14"/>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4"/>
                <w:szCs w:val="14"/>
                <w:color w:val="auto"/>
              </w:rPr>
            </w:pPr>
          </w:p>
        </w:tc>
        <w:tc>
          <w:tcPr>
            <w:tcW w:w="5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41,157</w:t>
            </w:r>
          </w:p>
        </w:tc>
        <w:tc>
          <w:tcPr>
            <w:tcW w:w="7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36,106</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5,051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7"/>
              </w:rPr>
              <w:t>14.0 %</w:t>
            </w:r>
          </w:p>
        </w:tc>
        <w:tc>
          <w:tcPr>
            <w:tcW w:w="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3,982</w:t>
            </w:r>
          </w:p>
        </w:tc>
        <w:tc>
          <w:tcPr>
            <w:tcW w:w="700" w:type="dxa"/>
            <w:vAlign w:val="bottom"/>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3,526</w:t>
            </w: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7"/>
              </w:rPr>
              <w:t>12.9 %</w:t>
            </w:r>
          </w:p>
        </w:tc>
        <w:tc>
          <w:tcPr>
            <w:tcW w:w="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7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893</w:t>
            </w:r>
          </w:p>
        </w:tc>
        <w:tc>
          <w:tcPr>
            <w:tcW w:w="7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810</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7"/>
              </w:rPr>
              <w:t>10.2 %</w:t>
            </w:r>
          </w:p>
        </w:tc>
        <w:tc>
          <w:tcPr>
            <w:tcW w:w="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4"/>
            <w:vMerge w:val="restart"/>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5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9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4"/>
              </w:rPr>
              <w:t>Volume</w:t>
            </w:r>
          </w:p>
        </w:tc>
        <w:tc>
          <w:tcPr>
            <w:tcW w:w="220" w:type="dxa"/>
            <w:vAlign w:val="bottom"/>
          </w:tcPr>
          <w:p>
            <w:pPr>
              <w:spacing w:after="0"/>
              <w:rPr>
                <w:sz w:val="13"/>
                <w:szCs w:val="13"/>
                <w:color w:val="auto"/>
              </w:rPr>
            </w:pPr>
          </w:p>
        </w:tc>
        <w:tc>
          <w:tcPr>
            <w:tcW w:w="52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3"/>
                <w:szCs w:val="13"/>
                <w:color w:val="auto"/>
              </w:rPr>
            </w:pPr>
          </w:p>
        </w:tc>
        <w:tc>
          <w:tcPr>
            <w:tcW w:w="4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3"/>
                <w:szCs w:val="13"/>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5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117,981</w:t>
            </w:r>
          </w:p>
        </w:tc>
        <w:tc>
          <w:tcPr>
            <w:tcW w:w="7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5"/>
              </w:rPr>
              <w:t>106,214</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11,767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11.1 %</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12,254</w:t>
            </w:r>
          </w:p>
        </w:tc>
        <w:tc>
          <w:tcPr>
            <w:tcW w:w="700" w:type="dxa"/>
            <w:vAlign w:val="bottom"/>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10,295</w:t>
            </w: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1,959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19.0 %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7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9.7 %</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2,588</w:t>
            </w:r>
          </w:p>
        </w:tc>
        <w:tc>
          <w:tcPr>
            <w:tcW w:w="7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2,365</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Total Net Sales and Revenue </w:t>
      </w:r>
      <w:r>
        <w:rPr>
          <w:rFonts w:ascii="Times New Roman" w:cs="Times New Roman" w:eastAsia="Times New Roman" w:hAnsi="Times New Roman"/>
          <w:sz w:val="18"/>
          <w:szCs w:val="18"/>
          <w:color w:val="auto"/>
        </w:rPr>
        <w:t>In the three months ended September 30, 2024, Total net sales and revenue increased primarily due to: (1)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wholesale volumes due to increased sales of full-size pickup trucks, mid-size pickup trucks and other vehicles; (2) favorable Mix due to increased sales of full-size SUVs, full-size pickup trucks and decreased sales of passenger cars; and (3) favorable Price as a result of stable dealer inventory levels and strong demand for our products; partially offset by (4) unfavorable Other due to net foreign currency changes primarily in the Mexican peso.</w:t>
      </w:r>
    </w:p>
    <w:p>
      <w:pPr>
        <w:spacing w:after="0" w:line="205" w:lineRule="exact"/>
        <w:rPr>
          <w:sz w:val="20"/>
          <w:szCs w:val="20"/>
          <w:color w:val="auto"/>
        </w:rPr>
      </w:pPr>
    </w:p>
    <w:p>
      <w:pPr>
        <w:jc w:val="both"/>
        <w:ind w:firstLine="161"/>
        <w:spacing w:after="0" w:line="275" w:lineRule="auto"/>
        <w:rPr>
          <w:sz w:val="20"/>
          <w:szCs w:val="20"/>
          <w:color w:val="auto"/>
        </w:rPr>
      </w:pPr>
      <w:r>
        <w:rPr>
          <w:rFonts w:ascii="Times New Roman" w:cs="Times New Roman" w:eastAsia="Times New Roman" w:hAnsi="Times New Roman"/>
          <w:sz w:val="17"/>
          <w:szCs w:val="17"/>
          <w:color w:val="auto"/>
        </w:rPr>
        <w:t>In the nine months ended September 30, 2024, Total net sales and revenue increased primarily due to: (1) increased net wholesale volumes due to increased sales of full-size pickup trucks, mid-size pickup trucks, crossover vehicles and other vehicles, partially offset by decreased sales of passenger cars;</w:t>
      </w:r>
    </w:p>
    <w:p>
      <w:pPr>
        <w:spacing w:after="0" w:line="1" w:lineRule="exact"/>
        <w:rPr>
          <w:sz w:val="20"/>
          <w:szCs w:val="20"/>
          <w:color w:val="auto"/>
        </w:rPr>
      </w:pPr>
    </w:p>
    <w:p>
      <w:pPr>
        <w:ind w:firstLine="7"/>
        <w:spacing w:after="0" w:line="258" w:lineRule="auto"/>
        <w:tabs>
          <w:tab w:leader="none" w:pos="2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Mix due to increased sales of full-size pickup trucks and full-size SUVs, partially offset by increased sales of crossover vehicles; and (3) favorable Price as a result of stable dealer inventory levels and strong demand for our products.</w:t>
      </w:r>
    </w:p>
    <w:p>
      <w:pPr>
        <w:spacing w:after="0" w:line="204"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EBIT-Adjusted </w:t>
      </w:r>
      <w:r>
        <w:rPr>
          <w:rFonts w:ascii="Times New Roman" w:cs="Times New Roman" w:eastAsia="Times New Roman" w:hAnsi="Times New Roman"/>
          <w:sz w:val="18"/>
          <w:szCs w:val="18"/>
          <w:color w:val="auto"/>
        </w:rPr>
        <w:t>In the three months ended September 30, 2024, EBIT-adjusted increased primarily due to: (1) increased net wholesale volumes;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 favorable Price; partially offset by (3) unfavorable Cost primarily due to increased campaigns and other warranty-related costs of $0.7 billion and increased manufacturing, engineering, advertising, selling and administrative costs of $0.7 billion, partially offset by decreased inventory adjustments of $0.5 billion, primarily EV-related, to reflect the net realizable value at period end and increased equity earnings related to Ultium Cells Holdings LLC of $0.2 billion; and (4) unfavorable Mix due to increased sales of EVs.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nine months ended September 30, 2024, EBIT-adjusted increased primarily due to: (1) increased net wholesale volumes; (2) favorable Price; and</w:t>
      </w:r>
    </w:p>
    <w:p>
      <w:pPr>
        <w:spacing w:after="0" w:line="27" w:lineRule="exact"/>
        <w:rPr>
          <w:sz w:val="20"/>
          <w:szCs w:val="20"/>
          <w:color w:val="auto"/>
        </w:rPr>
      </w:pPr>
    </w:p>
    <w:p>
      <w:pPr>
        <w:jc w:val="both"/>
        <w:ind w:firstLine="7"/>
        <w:spacing w:after="0" w:line="251"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Cost primarily due to decreased inventory adjustments of $0.9 billion, primarily EV-related, to reflect the net realizable value at period end, increased equity earnings related to Ultium Cells Holdings LLC of $0.6 billion and decreased material and freight costs of $0.3 billion, partially offset by increased engineering costs of $0.4 billion, increased manufacturing costs of $0.4 billion, increased information technology costs of $0.2 billion and other cost of sales and several insignificant items of $0.5 billion; partially offset by (4) unfavorable Mix due to increased sales of crossover vehicles and mid-size pickup trucks; and (5) unfavorable Other due to net foreign currency changes primarily in the Mexican peso.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4"/>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14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9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00" w:type="dxa"/>
            <w:vAlign w:val="bottom"/>
          </w:tcPr>
          <w:p>
            <w:pPr>
              <w:spacing w:after="0"/>
              <w:rPr>
                <w:sz w:val="13"/>
                <w:szCs w:val="13"/>
                <w:color w:val="auto"/>
              </w:rPr>
            </w:pPr>
          </w:p>
        </w:tc>
        <w:tc>
          <w:tcPr>
            <w:tcW w:w="48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3"/>
                <w:szCs w:val="13"/>
                <w:color w:val="auto"/>
              </w:rPr>
            </w:pPr>
          </w:p>
        </w:tc>
        <w:tc>
          <w:tcPr>
            <w:tcW w:w="5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20" w:type="dxa"/>
            <w:vAlign w:val="bottom"/>
          </w:tcPr>
          <w:p>
            <w:pPr>
              <w:spacing w:after="0"/>
              <w:rPr>
                <w:sz w:val="13"/>
                <w:szCs w:val="13"/>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3"/>
                <w:szCs w:val="13"/>
                <w:color w:val="auto"/>
              </w:rPr>
            </w:pPr>
          </w:p>
        </w:tc>
        <w:tc>
          <w:tcPr>
            <w:tcW w:w="5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4"/>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4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3,517</w:t>
            </w:r>
          </w:p>
        </w:tc>
        <w:tc>
          <w:tcPr>
            <w:tcW w:w="74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4,330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Borders>
              <w:right w:val="single" w:sz="8" w:color="auto"/>
            </w:tcBorders>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42</w:t>
            </w:r>
          </w:p>
        </w:tc>
        <w:tc>
          <w:tcPr>
            <w:tcW w:w="7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40" w:type="dxa"/>
            <w:vAlign w:val="bottom"/>
            <w:tcBorders>
              <w:right w:val="single" w:sz="8" w:color="auto"/>
            </w:tcBorders>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(loss) —</w:t>
            </w:r>
          </w:p>
        </w:tc>
        <w:tc>
          <w:tcPr>
            <w:tcW w:w="440" w:type="dxa"/>
            <w:vAlign w:val="bottom"/>
            <w:vMerge w:val="restart"/>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rPr>
              <w:t>$</w:t>
            </w:r>
          </w:p>
        </w:tc>
        <w:tc>
          <w:tcPr>
            <w:tcW w:w="96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i w:val="1"/>
                <w:iCs w:val="1"/>
                <w:color w:val="auto"/>
              </w:rPr>
              <w:t>(137)</w:t>
            </w:r>
          </w:p>
        </w:tc>
        <w:tc>
          <w:tcPr>
            <w:tcW w:w="740" w:type="dxa"/>
            <w:vAlign w:val="bottom"/>
            <w:vMerge w:val="restart"/>
          </w:tcPr>
          <w:p>
            <w:pPr>
              <w:jc w:val="right"/>
              <w:ind w:right="456"/>
              <w:spacing w:after="0"/>
              <w:rPr>
                <w:sz w:val="20"/>
                <w:szCs w:val="20"/>
                <w:color w:val="auto"/>
              </w:rPr>
            </w:pPr>
            <w:r>
              <w:rPr>
                <w:rFonts w:ascii="Times New Roman" w:cs="Times New Roman" w:eastAsia="Times New Roman" w:hAnsi="Times New Roman"/>
                <w:sz w:val="18"/>
                <w:szCs w:val="18"/>
                <w:i w:val="1"/>
                <w:iCs w:val="1"/>
                <w:color w:val="auto"/>
              </w:rPr>
              <w:t>$</w:t>
            </w:r>
          </w:p>
        </w:tc>
        <w:tc>
          <w:tcPr>
            <w:tcW w:w="7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192</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(329)</w:t>
            </w:r>
          </w:p>
        </w:tc>
        <w:tc>
          <w:tcPr>
            <w:tcW w:w="100" w:type="dxa"/>
            <w:vAlign w:val="bottom"/>
          </w:tcPr>
          <w:p>
            <w:pPr>
              <w:spacing w:after="0"/>
              <w:rPr>
                <w:sz w:val="15"/>
                <w:szCs w:val="15"/>
                <w:color w:val="auto"/>
              </w:rPr>
            </w:pPr>
          </w:p>
        </w:tc>
        <w:tc>
          <w:tcPr>
            <w:tcW w:w="1080" w:type="dxa"/>
            <w:vAlign w:val="bottom"/>
            <w:tcBorders>
              <w:right w:val="single" w:sz="8" w:color="auto"/>
            </w:tcBorders>
            <w:gridSpan w:val="2"/>
            <w:vMerge w:val="restart"/>
          </w:tcPr>
          <w:p>
            <w:pPr>
              <w:ind w:left="620"/>
              <w:spacing w:after="0"/>
              <w:rPr>
                <w:sz w:val="20"/>
                <w:szCs w:val="20"/>
                <w:color w:val="auto"/>
              </w:rPr>
            </w:pPr>
            <w:r>
              <w:rPr>
                <w:rFonts w:ascii="Times New Roman" w:cs="Times New Roman" w:eastAsia="Times New Roman" w:hAnsi="Times New Roman"/>
                <w:sz w:val="18"/>
                <w:szCs w:val="18"/>
                <w:i w:val="1"/>
                <w:iCs w:val="1"/>
                <w:color w:val="auto"/>
              </w:rPr>
              <w:t>n.m.</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44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EBIT-adjusted — excluding</w:t>
            </w:r>
          </w:p>
        </w:tc>
        <w:tc>
          <w:tcPr>
            <w:tcW w:w="440" w:type="dxa"/>
            <w:vAlign w:val="bottom"/>
            <w:vMerge w:val="restart"/>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rPr>
              <w:t>$</w:t>
            </w:r>
          </w:p>
        </w:tc>
        <w:tc>
          <w:tcPr>
            <w:tcW w:w="96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i w:val="1"/>
                <w:iCs w:val="1"/>
                <w:color w:val="auto"/>
              </w:rPr>
              <w:t>179</w:t>
            </w:r>
          </w:p>
        </w:tc>
        <w:tc>
          <w:tcPr>
            <w:tcW w:w="740" w:type="dxa"/>
            <w:vAlign w:val="bottom"/>
            <w:vMerge w:val="restart"/>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i w:val="1"/>
                <w:iCs w:val="1"/>
                <w:color w:val="auto"/>
              </w:rPr>
              <w:t>$</w:t>
            </w:r>
          </w:p>
        </w:tc>
        <w:tc>
          <w:tcPr>
            <w:tcW w:w="7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165</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14</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8.5 %</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Equity income (loss)</w:t>
            </w:r>
          </w:p>
        </w:tc>
        <w:tc>
          <w:tcPr>
            <w:tcW w:w="44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140</w:t>
            </w:r>
          </w:p>
        </w:tc>
        <w:tc>
          <w:tcPr>
            <w:tcW w:w="7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gridSpan w:val="4"/>
            <w:vMerge w:val="restart"/>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140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9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00" w:type="dxa"/>
            <w:vAlign w:val="bottom"/>
          </w:tcPr>
          <w:p>
            <w:pPr>
              <w:spacing w:after="0"/>
              <w:rPr>
                <w:sz w:val="13"/>
                <w:szCs w:val="13"/>
                <w:color w:val="auto"/>
              </w:rPr>
            </w:pPr>
          </w:p>
        </w:tc>
        <w:tc>
          <w:tcPr>
            <w:tcW w:w="48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3"/>
                <w:szCs w:val="13"/>
                <w:color w:val="auto"/>
              </w:rPr>
            </w:pPr>
          </w:p>
        </w:tc>
        <w:tc>
          <w:tcPr>
            <w:tcW w:w="5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20" w:type="dxa"/>
            <w:vAlign w:val="bottom"/>
          </w:tcPr>
          <w:p>
            <w:pPr>
              <w:spacing w:after="0"/>
              <w:rPr>
                <w:sz w:val="13"/>
                <w:szCs w:val="13"/>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3"/>
                <w:szCs w:val="13"/>
                <w:color w:val="auto"/>
              </w:rPr>
            </w:pPr>
          </w:p>
        </w:tc>
        <w:tc>
          <w:tcPr>
            <w:tcW w:w="5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4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4"/>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4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9,897</w:t>
            </w:r>
          </w:p>
        </w:tc>
        <w:tc>
          <w:tcPr>
            <w:tcW w:w="74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12,011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Borders>
              <w:right w:val="single" w:sz="8" w:color="auto"/>
            </w:tcBorders>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82</w:t>
            </w:r>
          </w:p>
        </w:tc>
        <w:tc>
          <w:tcPr>
            <w:tcW w:w="7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40" w:type="dxa"/>
            <w:vAlign w:val="bottom"/>
            <w:tcBorders>
              <w:right w:val="single" w:sz="8" w:color="auto"/>
            </w:tcBorders>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(loss) —</w:t>
            </w:r>
          </w:p>
        </w:tc>
        <w:tc>
          <w:tcPr>
            <w:tcW w:w="440" w:type="dxa"/>
            <w:vAlign w:val="bottom"/>
            <w:vMerge w:val="restart"/>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rPr>
              <w:t>$</w:t>
            </w:r>
          </w:p>
        </w:tc>
        <w:tc>
          <w:tcPr>
            <w:tcW w:w="960" w:type="dxa"/>
            <w:vAlign w:val="bottom"/>
            <w:vMerge w:val="restart"/>
          </w:tcPr>
          <w:p>
            <w:pPr>
              <w:jc w:val="right"/>
              <w:ind w:right="113"/>
              <w:spacing w:after="0"/>
              <w:rPr>
                <w:sz w:val="20"/>
                <w:szCs w:val="20"/>
                <w:color w:val="auto"/>
              </w:rPr>
            </w:pPr>
            <w:r>
              <w:rPr>
                <w:rFonts w:ascii="Times New Roman" w:cs="Times New Roman" w:eastAsia="Times New Roman" w:hAnsi="Times New Roman"/>
                <w:sz w:val="18"/>
                <w:szCs w:val="18"/>
                <w:i w:val="1"/>
                <w:iCs w:val="1"/>
                <w:color w:val="auto"/>
              </w:rPr>
              <w:t>(347)</w:t>
            </w:r>
          </w:p>
        </w:tc>
        <w:tc>
          <w:tcPr>
            <w:tcW w:w="740" w:type="dxa"/>
            <w:vAlign w:val="bottom"/>
            <w:vMerge w:val="restart"/>
          </w:tcPr>
          <w:p>
            <w:pPr>
              <w:jc w:val="right"/>
              <w:ind w:right="456"/>
              <w:spacing w:after="0"/>
              <w:rPr>
                <w:sz w:val="20"/>
                <w:szCs w:val="20"/>
                <w:color w:val="auto"/>
              </w:rPr>
            </w:pPr>
            <w:r>
              <w:rPr>
                <w:rFonts w:ascii="Times New Roman" w:cs="Times New Roman" w:eastAsia="Times New Roman" w:hAnsi="Times New Roman"/>
                <w:sz w:val="18"/>
                <w:szCs w:val="18"/>
                <w:i w:val="1"/>
                <w:iCs w:val="1"/>
                <w:color w:val="auto"/>
              </w:rPr>
              <w:t>$</w:t>
            </w:r>
          </w:p>
        </w:tc>
        <w:tc>
          <w:tcPr>
            <w:tcW w:w="7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353</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(700)</w:t>
            </w:r>
          </w:p>
        </w:tc>
        <w:tc>
          <w:tcPr>
            <w:tcW w:w="100" w:type="dxa"/>
            <w:vAlign w:val="bottom"/>
          </w:tcPr>
          <w:p>
            <w:pPr>
              <w:spacing w:after="0"/>
              <w:rPr>
                <w:sz w:val="15"/>
                <w:szCs w:val="15"/>
                <w:color w:val="auto"/>
              </w:rPr>
            </w:pPr>
          </w:p>
        </w:tc>
        <w:tc>
          <w:tcPr>
            <w:tcW w:w="1080" w:type="dxa"/>
            <w:vAlign w:val="bottom"/>
            <w:tcBorders>
              <w:right w:val="single" w:sz="8" w:color="auto"/>
            </w:tcBorders>
            <w:gridSpan w:val="2"/>
            <w:vMerge w:val="restart"/>
          </w:tcPr>
          <w:p>
            <w:pPr>
              <w:ind w:left="620"/>
              <w:spacing w:after="0"/>
              <w:rPr>
                <w:sz w:val="20"/>
                <w:szCs w:val="20"/>
                <w:color w:val="auto"/>
              </w:rPr>
            </w:pPr>
            <w:r>
              <w:rPr>
                <w:rFonts w:ascii="Times New Roman" w:cs="Times New Roman" w:eastAsia="Times New Roman" w:hAnsi="Times New Roman"/>
                <w:sz w:val="18"/>
                <w:szCs w:val="18"/>
                <w:i w:val="1"/>
                <w:iCs w:val="1"/>
                <w:color w:val="auto"/>
              </w:rPr>
              <w:t>n.m.</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44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EBIT-adjusted — excluding</w:t>
            </w:r>
          </w:p>
        </w:tc>
        <w:tc>
          <w:tcPr>
            <w:tcW w:w="440" w:type="dxa"/>
            <w:vAlign w:val="bottom"/>
            <w:vMerge w:val="restart"/>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rPr>
              <w:t>$</w:t>
            </w:r>
          </w:p>
        </w:tc>
        <w:tc>
          <w:tcPr>
            <w:tcW w:w="96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i w:val="1"/>
                <w:iCs w:val="1"/>
                <w:color w:val="auto"/>
              </w:rPr>
              <w:t>429</w:t>
            </w:r>
          </w:p>
        </w:tc>
        <w:tc>
          <w:tcPr>
            <w:tcW w:w="740" w:type="dxa"/>
            <w:vAlign w:val="bottom"/>
            <w:vMerge w:val="restart"/>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i w:val="1"/>
                <w:iCs w:val="1"/>
                <w:color w:val="auto"/>
              </w:rPr>
              <w:t>$</w:t>
            </w:r>
          </w:p>
        </w:tc>
        <w:tc>
          <w:tcPr>
            <w:tcW w:w="7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588</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(159)</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(27.0)%</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Equity income (loss)</w:t>
            </w:r>
          </w:p>
        </w:tc>
        <w:tc>
          <w:tcPr>
            <w:tcW w:w="44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383</w:t>
            </w:r>
          </w:p>
        </w:tc>
        <w:tc>
          <w:tcPr>
            <w:tcW w:w="7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3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vehicle sales of our Automotive China JVs are not recorded in Total net sales and revenue. The results of our joint ventures are recorded in Equity income (loss), which is included in EBIT-adjusted above.</w:t>
      </w:r>
    </w:p>
    <w:p>
      <w:pPr>
        <w:spacing w:after="0" w:line="185"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Total Net Sales and Revenue </w:t>
      </w:r>
      <w:r>
        <w:rPr>
          <w:rFonts w:ascii="Times New Roman" w:cs="Times New Roman" w:eastAsia="Times New Roman" w:hAnsi="Times New Roman"/>
          <w:sz w:val="18"/>
          <w:szCs w:val="18"/>
          <w:color w:val="auto"/>
        </w:rPr>
        <w:t>In the three months ended September 30, 2024, Total net sales and revenue decreased primarily due to: (1)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wholesale volumes in South America and in Asia/Pacific primarily due to decreased sales of passenger cars and crossover vehicles; and (2) unfavorable Other primarily due to decreased components sales and the net foreign currency change in the Brazilian real and Egyptian pound; partially offset by (3) favorable pricing across multiple vehicle lines in Brazil, Argentina and Egypt; and (4) favorable Mix primarily in Brazil.</w:t>
      </w:r>
    </w:p>
    <w:p>
      <w:pPr>
        <w:spacing w:after="0" w:line="205"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nine months ended September 30, 2024, Total net sales and revenue decreased primarily due to: (1) decreased net wholesale volumes in South America, in Asia/Pacific and in the Middle East primarily due to decreased sales of crossover vehicles and passenger cars; and (2) unfavorable Other primarily due to decreased components sales and the net foreign currency change in the Brazilian real and Egyptian pound; partially offset by (3) favorable pricing across multiple vehicle lines in Brazil and Egypt; and (4) favorable Mix primarily in Brazil.</w:t>
      </w:r>
    </w:p>
    <w:p>
      <w:pPr>
        <w:spacing w:after="0" w:line="204"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EBIT-Adjusted </w:t>
      </w:r>
      <w:r>
        <w:rPr>
          <w:rFonts w:ascii="Times New Roman" w:cs="Times New Roman" w:eastAsia="Times New Roman" w:hAnsi="Times New Roman"/>
          <w:sz w:val="18"/>
          <w:szCs w:val="18"/>
          <w:color w:val="auto"/>
        </w:rPr>
        <w:t>In the three months ended September 30, 2024, EBIT-adjusted decreased primarily due to: (1) unfavorable Other primarily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decreased Automotive China equity income (loss); and (2) decreased net wholesale volumes; partially offset by (3) favorable Price.</w:t>
      </w:r>
    </w:p>
    <w:p>
      <w:pPr>
        <w:spacing w:after="0" w:line="186"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nine months ended September 30, 2024, EBIT-adjusted decreased primarily due to: (1) unfavorable Other primarily due to decreased Automotive China equity income (loss); and (2) decreased net wholesale volumes; partially offset by (3) favorable Price.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certain key operational and financial data for the Automotive China JVs (vehicles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7"/>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tcBorders>
              <w:top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154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40" w:type="dxa"/>
            <w:vAlign w:val="bottom"/>
            <w:tcBorders>
              <w:top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180" w:type="dxa"/>
            <w:vAlign w:val="bottom"/>
            <w:tcBorders>
              <w:top w:val="single" w:sz="8" w:color="CCEEFF"/>
            </w:tcBorders>
            <w:gridSpan w:val="9"/>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w w:val="99"/>
              </w:rPr>
              <w:t>Wholesale vehicle sales, including vehicles exported to markets outside</w:t>
            </w:r>
          </w:p>
        </w:tc>
        <w:tc>
          <w:tcPr>
            <w:tcW w:w="3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right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China</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6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100" w:type="dxa"/>
            <w:vAlign w:val="bottom"/>
          </w:tcPr>
          <w:p>
            <w:pPr>
              <w:spacing w:after="0"/>
              <w:rPr>
                <w:sz w:val="19"/>
                <w:szCs w:val="19"/>
                <w:color w:val="auto"/>
              </w:rPr>
            </w:pP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8"/>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Cruise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4"/>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020" w:type="dxa"/>
            <w:vAlign w:val="bottom"/>
          </w:tcPr>
          <w:p>
            <w:pPr>
              <w:jc w:val="center"/>
              <w:ind w:right="19"/>
              <w:spacing w:after="0" w:line="15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84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160" w:type="dxa"/>
            <w:vAlign w:val="bottom"/>
            <w:gridSpan w:val="3"/>
          </w:tcPr>
          <w:p>
            <w:pPr>
              <w:jc w:val="right"/>
              <w:ind w:right="56"/>
              <w:spacing w:after="0" w:line="15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260" w:type="dxa"/>
            <w:vAlign w:val="bottom"/>
            <w:gridSpan w:val="4"/>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Favorable/</w:t>
            </w:r>
          </w:p>
        </w:tc>
        <w:tc>
          <w:tcPr>
            <w:tcW w:w="8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84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8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Total net sales and</w:t>
            </w: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 (loss)-adjusted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(1,284)</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64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55" w:lineRule="auto"/>
        <w:tabs>
          <w:tab w:leader="none" w:pos="33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reclassified to Interest income and other non-operating income, net in our condensed consolidated income statements in the three and nine months ended September 30, 2024 and 2023.</w:t>
      </w:r>
    </w:p>
    <w:p>
      <w:pPr>
        <w:spacing w:after="0" w:line="214"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EBIT (Loss)-Adjusted </w:t>
      </w:r>
      <w:r>
        <w:rPr>
          <w:rFonts w:ascii="Times New Roman" w:cs="Times New Roman" w:eastAsia="Times New Roman" w:hAnsi="Times New Roman"/>
          <w:sz w:val="18"/>
          <w:szCs w:val="18"/>
          <w:color w:val="auto"/>
        </w:rPr>
        <w:t>In the three and nine months ended September 30, 2024, EBIT (loss)-adjusted decreased primarily due to the restructuring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actions taken in the three months ended December 31, 2023 that resulted in a decrease in development costs associated with Cruise's refocused operating strategy.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Financial</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4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4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3,641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11,761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10,482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28"/>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loan losses $</w:t>
            </w:r>
          </w:p>
        </w:tc>
        <w:tc>
          <w:tcPr>
            <w:tcW w:w="10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28"/>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EBT-adjusted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741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83"/>
        </w:trPr>
        <w:tc>
          <w:tcPr>
            <w:tcW w:w="18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Average debt</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60" w:type="dxa"/>
            <w:vAlign w:val="bottom"/>
          </w:tcPr>
          <w:p>
            <w:pPr>
              <w:ind w:left="180"/>
              <w:spacing w:after="0" w:line="180" w:lineRule="exact"/>
              <w:rPr>
                <w:sz w:val="20"/>
                <w:szCs w:val="20"/>
                <w:color w:val="auto"/>
              </w:rPr>
            </w:pPr>
            <w:r>
              <w:rPr>
                <w:rFonts w:ascii="Times New Roman" w:cs="Times New Roman" w:eastAsia="Times New Roman" w:hAnsi="Times New Roman"/>
                <w:sz w:val="18"/>
                <w:szCs w:val="18"/>
                <w:color w:val="auto"/>
              </w:rPr>
              <w:t>outstanding (dollars in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ind w:right="137"/>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8"/>
                <w:szCs w:val="18"/>
                <w:color w:val="auto"/>
              </w:rPr>
              <w:t>101.9</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136"/>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ind w:right="137"/>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136"/>
              <w:spacing w:after="0"/>
              <w:rPr>
                <w:sz w:val="20"/>
                <w:szCs w:val="20"/>
                <w:color w:val="auto"/>
              </w:rPr>
            </w:pPr>
            <w:r>
              <w:rPr>
                <w:rFonts w:ascii="Times New Roman" w:cs="Times New Roman" w:eastAsia="Times New Roman" w:hAnsi="Times New Roman"/>
                <w:sz w:val="18"/>
                <w:szCs w:val="18"/>
                <w:color w:val="auto"/>
              </w:rPr>
              <w:t>99.5</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136"/>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28"/>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billions)</w:t>
            </w:r>
          </w:p>
        </w:tc>
        <w:tc>
          <w:tcPr>
            <w:tcW w:w="1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Effective rate of interest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Revenue </w:t>
      </w:r>
      <w:r>
        <w:rPr>
          <w:rFonts w:ascii="Times New Roman" w:cs="Times New Roman" w:eastAsia="Times New Roman" w:hAnsi="Times New Roman"/>
          <w:sz w:val="18"/>
          <w:szCs w:val="18"/>
          <w:color w:val="auto"/>
        </w:rPr>
        <w:t>In the three months ended September 30, 2024, total revenue increased primarily due to increased finance charge income of $0.3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primarily due to an increase in the effective yield resulting from higher average interest rates on new loans and growth in the size of the portfolio.</w:t>
      </w:r>
    </w:p>
    <w:p>
      <w:pPr>
        <w:spacing w:after="0" w:line="18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nine months ended September 30, 2024, total revenue increased primarily due to: (1) increased finance charge income of $1.1 billion primarily due to an increase in the effective yield resulting from higher average interest rates on new loans and growth in the size of the portfolio; and (2) increased investment income of $0.1 billion primarily due to an increase in the average investment balance.</w:t>
      </w:r>
    </w:p>
    <w:p>
      <w:pPr>
        <w:spacing w:after="0" w:line="20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EBT-Adjusted </w:t>
      </w:r>
      <w:r>
        <w:rPr>
          <w:rFonts w:ascii="Times New Roman" w:cs="Times New Roman" w:eastAsia="Times New Roman" w:hAnsi="Times New Roman"/>
          <w:sz w:val="18"/>
          <w:szCs w:val="18"/>
          <w:color w:val="auto"/>
        </w:rPr>
        <w:t>In the three months ended September 30, 2024, EBT-adjusted decreased primarily due to: (1) increased interest expense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$0.3 billion primarily due to an increased effective rate of interest on debt, resulting from higher benchmark interest rates on new issuances relative to maturing debt, as well as an increase in average debt outstanding; and (2) increased provision for loan losses of $0.1 billion primarily due to moderating credit performance; partially offset by (3) increased finance charge income of $0.3 billion primarily due to an increase in the effective yield resulting from higher average interest rates on new loans and growth in the size of the portfolio.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In the nine months ended September 30, 2024, EBT-adjusted decreased primarily due to: (1) increased interest expense of $1.1 billion primarily due to an increased effective rate of interest on debt, resulting from higher benchmark interest rates on new issuances relative to maturing debt, as well as an increase in average debt outstanding; and (2) increased provision for loan losses of $0.1 billion primarily due to moderating credit performance and recovery rates; partially offset by (3) increased finance charge income of $1.1 billion primarily due to an increase in the effective yield resulting from higher average interest rates on new loans and growth in the size of the portfolio; and (4) increased investment income of $0.1 billion primarily due to an increase in the average investment balance.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We believe our current levels of cash, cash equivalents, marketable debt securities, available borrowing capacity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credit facilities and other liquidity actions currently available to us are sufficient to meet our liquidity requirements.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195"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Our known current material uses of cash include, among other possible demands: (1) capital spending and our investments in our battery cell manufacturing joint ventures of approximately $10.5 billion to $11.5 billion in 2024; (2) payments for engineering and product development activities, including investing in the development and commercialization of AV technology by Cruise; (3) payments associated with previously announced vehicle recalls and any other recall-related contingencies; (4) payments to service debt and other long-term obligations, including discretionary and mandatory contributions to our pension plans; (5) dividend payments on our common stock that are declared by our Board of Directors; (6) payments to purchase shares of our common stock authorized by our Board of Directors; and (7) payments of emissions-related compliance costs. Our material future uses of cash, which may vary from time to time based on market conditions and other factors, are focused on the three objectives of our capital allocation program:</w:t>
      </w:r>
    </w:p>
    <w:p>
      <w:pPr>
        <w:spacing w:after="0" w:line="2" w:lineRule="exact"/>
        <w:rPr>
          <w:sz w:val="20"/>
          <w:szCs w:val="20"/>
          <w:color w:val="auto"/>
        </w:rPr>
      </w:pPr>
    </w:p>
    <w:p>
      <w:pPr>
        <w:jc w:val="both"/>
        <w:ind w:firstLine="7"/>
        <w:spacing w:after="0" w:line="252" w:lineRule="auto"/>
        <w:tabs>
          <w:tab w:leader="none" w:pos="2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business at an average target return on invested capital-adjusted (ROIC-adjusted) rate of 20% or greater; (2) maintain a strong investment-grade balance sheet, including a target average automotive cash balance of $18.0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14" w:lineRule="exact"/>
        <w:rPr>
          <w:sz w:val="20"/>
          <w:szCs w:val="20"/>
          <w:color w:val="auto"/>
        </w:rPr>
      </w:pPr>
    </w:p>
    <w:p>
      <w:pPr>
        <w:jc w:val="both"/>
        <w:ind w:firstLine="161"/>
        <w:spacing w:after="0" w:line="273" w:lineRule="auto"/>
        <w:rPr>
          <w:sz w:val="20"/>
          <w:szCs w:val="20"/>
          <w:color w:val="auto"/>
        </w:rPr>
      </w:pPr>
      <w:r>
        <w:rPr>
          <w:rFonts w:ascii="Times New Roman" w:cs="Times New Roman" w:eastAsia="Times New Roman" w:hAnsi="Times New Roman"/>
          <w:sz w:val="17"/>
          <w:szCs w:val="17"/>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and investments with joint venture partners, as well as strategic alliances that we believe would generate significant advantages and substantially strengthen our business. To support our transition to EVs, we anticipate making investments in suppliers or providing funding towards the execution of strategic, multi-year supply agreements to secure critical materials. In addition, we have entered, and plan to continue to enter, into offtake agreements that generally obligate us to purchase defined quantities of output. These arrangements could have a short-term adverse impact on our cash and increase our inventory.</w:t>
      </w:r>
    </w:p>
    <w:p>
      <w:pPr>
        <w:spacing w:after="0" w:line="19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"Forward-Looking Statements" section of this MD&amp;A and Part I, Item 1A. Risk Factors of our 2023 Form 10-K, some of which are outside of our control.</w:t>
      </w:r>
    </w:p>
    <w:p>
      <w:pPr>
        <w:spacing w:after="0" w:line="189"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November 2023, our Board of Directors increased the capacity under our previously announced share repurchase program by $10.0 billion to an aggregate of $11.4 billion and approved a $10.0 billion ASR program. In December 2023, pursuant to the agreements entered into in connection with the ASR, we advanced $10.0 billion and received approximately 215 million shares of common stock with a value of $6.8 billion, which were immediately retired. In March 2024, upon the first settlement of the transactions contemplated under the ASR Agreements, we received approximately 4 million additional shares, which were immediately retired. The final number of shares ultimately to be purchased will be based on the average of the daily volume-weighted average prices of our common stock during the term of the ASR Agreements, less a discount and subject to adjustments pursuant to the terms and conditions of the ASR Agreements. Upon final settlement, we may receive additional shares of common stock, or, under certain circumstances, we may be required to deliver shares of common stock or to make a cash payment, at our election. The final settlement of the transactions contemplated under the ASR Agreements is expected to occur in the three months ending December 31, 2024.</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June 2024, our Board of Directors approved a new share repurchase authorization to repurchase up to an additional $6.0 billion of our outstanding common stock.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nine months ended September 30, 2024, in addition to shares received under the ASR program, we purchased approximately 53 million shares of our outstanding common stock for $2.4 billion, including an insignificant amount related to purchases initiated in September 2024 that settled in October 2024. We have $5.0 billion in capacity remaining under our share repurchase program as of September 30, 2024, with no expiration date.</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nine months ended September 30, 2024, we paid dividends of $0.4 billion to holders of our common stock.</w:t>
      </w:r>
    </w:p>
    <w:p>
      <w:pPr>
        <w:spacing w:after="0" w:line="250"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08"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Liquidity </w:t>
      </w:r>
      <w:r>
        <w:rPr>
          <w:rFonts w:ascii="Times New Roman" w:cs="Times New Roman" w:eastAsia="Times New Roman" w:hAnsi="Times New Roman"/>
          <w:sz w:val="18"/>
          <w:szCs w:val="18"/>
          <w:color w:val="auto"/>
        </w:rPr>
        <w:t>Total available liquidity includes cash, cash equivalents, marketable debt securities and funds available under credit facilities.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2023. Refer to Part II, Item 7. MD&amp;A of our 2023 Form 10-K.</w:t>
      </w:r>
    </w:p>
    <w:p>
      <w:pPr>
        <w:spacing w:after="0" w:line="20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2024, we renewed our 364-day, $2.0 billion revolving credit facility allocated for the exclusive use of GM Financial, which now matures March 27, 2025. Interest rates on obligations under the renewed credit facility are based on Term SOFR.</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March 2024, we terminated our unsecured 364-day delayed draw term loan credit agreement that permitted the Company to borrow up to $3.0 billion executed in November 2023, resulting in an insignificant loss.</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use credit facilities as a mechanism to provide additional flexibility in managing our global liquidity. Our Automotive borrowing capacity under credit facilities totaled $14.1 billion at September 30, 2024, which consisted of two credit facilities, and $17.1 billion at December 31, 2023, which consisted of three credit facilities.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$0.5 billion and $0.7 billion at September 30, 2024 and December 31, 2023.</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If available capacity permits, GM Financial continues to have access to our automotive credit facilities. GM Financial did not have borrowings outstanding against any of these facilities at September 30, 2024 and December 31, 2023. We had intercompany loans from GM Financial of $0.2 billion at September 30, 2024 and December 31, 2023, which primarily consisted of commercial loans to dealers we consolidate. We did not have intercompany loans to GM Financial at September 30, 2024 and December 31, 2023. Refer to Note 4 to our condensed consolidated financial statements for additional information.</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Several of our loan facilities, including our revolving credit facilities, require compliance with certain financial and operational covenants as well as regular reporting to lenders. We have reviewed our covenants in effect as of September 30, 2024 and determined we are in compliance and expect to remain in compliance in the future.</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$1.4 billion on its common stock in the nine months ended September 30, 2024. Future dividends from GM Financial will depend on several factors including business and economic conditions, its financial condition, earnings, liquidity requirements and leverage ratio.</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Automotive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cash equivalents and marketable debt securities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facilities(a)</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Automotive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We had letters of credit outstanding under our sub-facility of $0.5 billion and $0.7 billion at September 30, 2024 and December 31, 2023.</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(dollars in billions):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67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and payments to purchase common stock</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GM investment in Cruise</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Ultium Cells Holdings LLC</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available credit facilities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in automotive available liquidity</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Automotive Cash Flow (dollars in billions)</w:t>
            </w: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5"/>
        </w:trPr>
        <w:tc>
          <w:tcPr>
            <w:tcW w:w="2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impairment charges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 and income taxes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8"/>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operating activities(b)</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54" w:lineRule="auto"/>
        <w:tabs>
          <w:tab w:leader="none" w:pos="33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$1.4 billion in dividends received from GM Financial in the nine months ended September 30, 2024 and 2023; partially offset by changes in other assets and liabilities in the nine months ended September 30, 2024 and 2023.</w:t>
      </w:r>
    </w:p>
    <w:p>
      <w:pPr>
        <w:jc w:val="both"/>
        <w:ind w:left="340" w:hanging="333"/>
        <w:spacing w:after="0" w:line="256"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$6.7 billion and $2.4 billion in the nine months ended September 30, 2024 and 2023, which are eliminated within the condensed consolidated statements of cash flows. Amounts eliminated primarily relate to purchases of, and collections on, wholesale finance receivables provided by GM Financial to our dealers and dividends issued by GM Financial to us.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994"/>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liquidations of marketable securities,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99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investing activities(b)</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994"/>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1" w:lineRule="auto"/>
        <w:tabs>
          <w:tab w:leader="none" w:pos="33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 billion investment in Cruise which is inclusive of a $0.9 billion convertible note issued by Cruise to us in the nine months ended September 30, 2024 and $0.4 billion investment in Cruise in the nine months ended September 30, 2023; $0.7 billion of GM's investment in Ultium Cells Holdings LLC in the nine months ended September 30, 2024 and 2023; and a $0.3 billion investment in Lithium Americas in the nine months ended September 30, 2023.</w:t>
      </w:r>
    </w:p>
    <w:p>
      <w:pPr>
        <w:ind w:left="340" w:hanging="333"/>
        <w:spacing w:after="0" w:line="268"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 billion investment in Cruise which is inclusive of a $0.9 billion convertible note issued by Cruise to us in the nine months ended September 30, 2024 and $0.4 billion investment in Cruise in the nine months ended September 30, 2023 which are eliminated within the condensed consolidated statements of cash flows.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(payments) from short-term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28"/>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5"/>
              <w:spacing w:after="0"/>
              <w:rPr>
                <w:sz w:val="20"/>
                <w:szCs w:val="20"/>
                <w:color w:val="auto"/>
              </w:rPr>
            </w:pPr>
            <w:r>
              <w:rPr>
                <w:rFonts w:ascii="Times New Roman" w:cs="Times New Roman" w:eastAsia="Times New Roman" w:hAnsi="Times New Roman"/>
                <w:sz w:val="18"/>
                <w:szCs w:val="18"/>
                <w:color w:val="auto"/>
                <w:w w:val="98"/>
              </w:rPr>
              <w:t>(1.1)</w:t>
            </w:r>
          </w:p>
        </w:tc>
        <w:tc>
          <w:tcPr>
            <w:tcW w:w="0" w:type="dxa"/>
            <w:vAlign w:val="bottom"/>
          </w:tcPr>
          <w:p>
            <w:pPr>
              <w:spacing w:after="0"/>
              <w:rPr>
                <w:sz w:val="1"/>
                <w:szCs w:val="1"/>
                <w:color w:val="auto"/>
              </w:rPr>
            </w:pP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financing activities(b)</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right="20" w:hanging="333"/>
        <w:spacing w:after="0" w:line="254" w:lineRule="auto"/>
        <w:tabs>
          <w:tab w:leader="none" w:pos="33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$2.4 billion and $1.1 billion for payments to purchase common stock in the nine months ended September 30, 2024 and 2023; and $0.4 billion for dividends paid in the nine months ended September 30, 2024 and 2023.</w:t>
      </w:r>
    </w:p>
    <w:p>
      <w:pPr>
        <w:ind w:left="340" w:right="20" w:hanging="333"/>
        <w:spacing w:after="0" w:line="272" w:lineRule="auto"/>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$0.3 billion of intercompany loans due to GM Financial in the nine months ended September 30, 2023 which are eliminated within the condensed consolidated statements of cash flows.</w:t>
      </w:r>
    </w:p>
    <w:p>
      <w:pPr>
        <w:spacing w:after="0" w:line="190"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Adjusted Automotive Free Cash Flow </w:t>
      </w:r>
      <w:r>
        <w:rPr>
          <w:rFonts w:ascii="Times New Roman" w:cs="Times New Roman" w:eastAsia="Times New Roman" w:hAnsi="Times New Roman"/>
          <w:sz w:val="18"/>
          <w:szCs w:val="18"/>
          <w:color w:val="auto"/>
        </w:rPr>
        <w:t>We measure adjusted automotive free cash flow as automotive operating cash flow from operations less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adjusted for management actions. In the nine months ended September 30, 2024, net automotive cash provided by operating activities under U.S. GAAP was $19.2 billion, capital expenditures were $7.5 billion and adjustments for management actions were $0.5 billion.</w:t>
      </w:r>
    </w:p>
    <w:p>
      <w:pPr>
        <w:spacing w:after="0" w:line="20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nine months ended September 30, 2023, net automotive cash provided by operating activities under U.S. GAAP was $16.1 billion, capital expenditures were $7.1 billion and adjustments for management actions related to Buick dealer strategy and employee separation costs were $1.3 billion.</w:t>
      </w:r>
    </w:p>
    <w:p>
      <w:pPr>
        <w:spacing w:after="0" w:line="187"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Status of Credit Ratings </w:t>
      </w:r>
      <w:r>
        <w:rPr>
          <w:rFonts w:ascii="Times New Roman" w:cs="Times New Roman" w:eastAsia="Times New Roman" w:hAnsi="Times New Roman"/>
          <w:sz w:val="18"/>
          <w:szCs w:val="18"/>
          <w:color w:val="auto"/>
        </w:rPr>
        <w:t>We receive ratings from four independent credit rating agencies: DBRS Limited, Fitch Ratings, Moody's Investors Service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&amp; Poor's. All four credit rating agencies currently rate our corporate credit at investment grade. As of October 15, 2024, all credit ratings remained unchanged since December 31, 2023.</w:t>
      </w:r>
    </w:p>
    <w:p>
      <w:pPr>
        <w:spacing w:after="0" w:line="21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Cruise Liquidity </w:t>
      </w:r>
      <w:r>
        <w:rPr>
          <w:rFonts w:ascii="Times New Roman" w:cs="Times New Roman" w:eastAsia="Times New Roman" w:hAnsi="Times New Roman"/>
          <w:sz w:val="18"/>
          <w:szCs w:val="18"/>
          <w:color w:val="auto"/>
        </w:rPr>
        <w:t>Cruise available liquidity of $0.7 billion and $1.3 billion at September 30, 2024 and December 31, 2023 consists primarily of cash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equivalents. In June 2024, Cruise issued to us a convertible note in the amount of $0.9 billion. This note is convertible into certain Cruise equity interests. Cruise available liquidity excludes a multi-year credit agreement with GM Financial whereby Cruise may borrow a remaining aggregate amount of $3.4 billion through 2024 to fund the purchase of AVs from GM. At September 30, 2024, Cruise had total borrowings of $0.4 billion with GM Financial under this credit agreement. This also excludes a multi-year framework agreement with us whereby Cruise can defer payments until June 2028 on up to $0.8 billion of invoices, which are related to engineering and capital spending incurred by us on behalf of Cruise, and an agreement with us whereby Cruise can defer reimbursing us for amounts we paid related to its restructuring actions that commenced in October 2023. Refer to Note 15 to our condensed consolidated financial statements for additional information related to Cruise's restructuring actions. At September 30, 2024, Cruise deferred $1.2 billion under these agreements.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Cruise's available liquidity (dollars in billions):</w:t>
      </w:r>
    </w:p>
    <w:p>
      <w:pPr>
        <w:spacing w:after="0" w:line="12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9760"/>
        <w:spacing w:after="0"/>
        <w:rPr>
          <w:sz w:val="20"/>
          <w:szCs w:val="20"/>
          <w:color w:val="auto"/>
        </w:rPr>
      </w:pPr>
      <w:r>
        <w:rPr>
          <w:rFonts w:ascii="Times New Roman" w:cs="Times New Roman" w:eastAsia="Times New Roman" w:hAnsi="Times New Roman"/>
          <w:sz w:val="14"/>
          <w:szCs w:val="14"/>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32955" cy="1536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GM investment in GM Cruise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non-operating</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change in Cruise available liquidity</w:t>
      </w:r>
    </w:p>
    <w:p>
      <w:pPr>
        <w:spacing w:after="0" w:line="3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Cruise Cash Flow (dollars in billions)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w w:val="98"/>
              </w:rPr>
              <w:t>(1.8)</w:t>
            </w: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center"/>
              <w:ind w:left="674"/>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33"/>
        </w:trPr>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22"/>
        </w:trPr>
        <w:tc>
          <w:tcPr>
            <w:tcW w:w="1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w w:val="98"/>
              </w:rPr>
              <w:t>(0.6)</w:t>
            </w:r>
          </w:p>
        </w:tc>
        <w:tc>
          <w:tcPr>
            <w:tcW w:w="0" w:type="dxa"/>
            <w:vAlign w:val="bottom"/>
          </w:tcPr>
          <w:p>
            <w:pPr>
              <w:spacing w:after="0"/>
              <w:rPr>
                <w:sz w:val="1"/>
                <w:szCs w:val="1"/>
                <w:color w:val="auto"/>
              </w:rPr>
            </w:pPr>
          </w:p>
        </w:tc>
      </w:tr>
      <w:tr>
        <w:trPr>
          <w:trHeight w:val="20"/>
        </w:trPr>
        <w:tc>
          <w:tcPr>
            <w:tcW w:w="274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2"/>
        </w:trPr>
        <w:tc>
          <w:tcPr>
            <w:tcW w:w="3380" w:type="dxa"/>
            <w:vAlign w:val="bottom"/>
            <w:gridSpan w:val="3"/>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6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1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16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7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-4262120</wp:posOffset>
            </wp:positionH>
            <wp:positionV relativeFrom="paragraph">
              <wp:posOffset>-1014095</wp:posOffset>
            </wp:positionV>
            <wp:extent cx="7132955" cy="1447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000" w:space="720"/>
            <w:col w:w="4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(0.3)</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7"/>
              </w:rPr>
              <w:t>1.2</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(1.2)</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activities(a)</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7"/>
              </w:rPr>
              <w:t>0.3</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0.8</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right="20" w:hanging="333"/>
        <w:spacing w:after="0" w:line="255" w:lineRule="auto"/>
        <w:tabs>
          <w:tab w:leader="none" w:pos="3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 billion investment in Cruise which is inclusive of a $0.9 billion convertible note issued by Cruise to us in the nine months ended September 30, 2024 and $0.4 billion investment in Cruise in the nine months ended September 30, 2023 which are eliminated within the condensed consolidated statements of cash flows.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expect Cruise will require additional liquidity in order to support the continued development of AV technology.</w:t>
      </w:r>
    </w:p>
    <w:p>
      <w:pPr>
        <w:spacing w:after="0" w:line="24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Liquidity </w:t>
      </w:r>
      <w:r>
        <w:rPr>
          <w:rFonts w:ascii="Times New Roman" w:cs="Times New Roman" w:eastAsia="Times New Roman" w:hAnsi="Times New Roman"/>
          <w:sz w:val="18"/>
          <w:szCs w:val="18"/>
          <w:color w:val="auto"/>
        </w:rPr>
        <w:t>GM Financial's primary sources of cash are finance charge income, leasing income and proceeds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GM Financial's available liquidity (dollars in billions):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 capacity on unpledged eligible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 capacity on committed unsecured lines of credit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 capacity on revolving credit facility, exclusive to GM Financial</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structures liquidity to support at least six months of GM Financial's expected net cash flows, including new originations, without access to new debt financing transactions or other capital markets activity. At September 30, 2024, available liquidity exceeded GM Financial's liquidity targets.</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did not have any borrowings outstanding against our credit facility designated for their exclusive use or the remainder of our revolving credit facilities at September 30, 2024 and December 31, 2023. Refer to the "Automotive Liquidity" section of this MD&amp;A for additional details.</w:t>
      </w:r>
    </w:p>
    <w:p>
      <w:pPr>
        <w:spacing w:after="0" w:line="187"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In the normal course of business, in addition to using its available cash, GM Financial utilizes borrowings under its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secured or unsecured, and GM Financial repays these borrowings as appropriate under its cash management strategy. At September 30, 2024, secured, committed unsecured and uncommitted unsecured credit facilities totaled $27.2 billion, $0.7 billion and $2.0 billion with advances outstanding of $1.3 billion, an insignificant amount and $2.0 billion.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GM Financial Cash Flow (dollars in billions)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center"/>
              <w:ind w:left="1015"/>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center"/>
              <w:ind w:left="975"/>
              <w:spacing w:after="0"/>
              <w:rPr>
                <w:sz w:val="20"/>
                <w:szCs w:val="20"/>
                <w:color w:val="auto"/>
              </w:rPr>
            </w:pPr>
            <w:r>
              <w:rPr>
                <w:rFonts w:ascii="Times New Roman" w:cs="Times New Roman" w:eastAsia="Times New Roman" w:hAnsi="Times New Roman"/>
                <w:sz w:val="18"/>
                <w:szCs w:val="18"/>
                <w:color w:val="auto"/>
                <w:w w:val="98"/>
              </w:rPr>
              <w:t>(7.9)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8"/>
              </w:rPr>
              <w:t>(2.4)</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activities(b)</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1015"/>
              <w:spacing w:after="0"/>
              <w:rPr>
                <w:sz w:val="20"/>
                <w:szCs w:val="20"/>
                <w:color w:val="auto"/>
              </w:rPr>
            </w:pPr>
            <w:r>
              <w:rPr>
                <w:rFonts w:ascii="Times New Roman" w:cs="Times New Roman" w:eastAsia="Times New Roman" w:hAnsi="Times New Roman"/>
                <w:sz w:val="18"/>
                <w:szCs w:val="18"/>
                <w:color w:val="auto"/>
                <w:w w:val="97"/>
              </w:rPr>
              <w:t>4.1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w w:val="97"/>
              </w:rPr>
              <w:t>0.6</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1" w:lineRule="auto"/>
        <w:tabs>
          <w:tab w:leader="none" w:pos="33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$5.3 billion and $1.0 billion in the nine months ended September 30, 2024 and 2023 primarily driven by purchases of, and collections on, wholesale finance receivables and $0.3 billion of intercompany loans due from GM in the nine months ended September 30, 2023 which are eliminated within the condensed consolidated statements of cash flows.</w:t>
      </w:r>
    </w:p>
    <w:p>
      <w:pPr>
        <w:ind w:left="340" w:hanging="333"/>
        <w:spacing w:after="0" w:line="268"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$1.4 billion in the nine months ended September 30, 2024 and 2023 for dividends to GM which are eliminated within the condensed consolidated statements of cash flows.</w:t>
      </w:r>
    </w:p>
    <w:p>
      <w:pPr>
        <w:spacing w:after="0" w:line="20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nine months ended September 30, 2024, Net cash provided by operating activities increased primarily due to an increase in finance charge income and a net decrease in cash used by counterparty derivative collateral posting activities, partially offset by an increase in interest paid.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Critical Accounting Estimates </w:t>
      </w:r>
      <w:r>
        <w:rPr>
          <w:rFonts w:ascii="Times New Roman" w:cs="Times New Roman" w:eastAsia="Times New Roman" w:hAnsi="Times New Roman"/>
          <w:sz w:val="18"/>
          <w:szCs w:val="18"/>
          <w:color w:val="auto"/>
        </w:rPr>
        <w:t>The condensed consolidated financial statements are prepared in conformity with U.S. GAAP, which requires the 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2023 Form 10-K.</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Non-GAAP Measures </w:t>
      </w:r>
      <w:r>
        <w:rPr>
          <w:rFonts w:ascii="Times New Roman" w:cs="Times New Roman" w:eastAsia="Times New Roman" w:hAnsi="Times New Roman"/>
          <w:sz w:val="18"/>
          <w:szCs w:val="18"/>
          <w:color w:val="auto"/>
        </w:rPr>
        <w:t>We use both GAAP and non-GAAP financial measures for operational and financial decision making, and to assess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business performance. Our non-GAAP measures include: EBIT-adjusted, presented net of noncontrolling interests; EBT-adjusted for our GM Financial segment; EPS-diluted-adjusted; ETR-adjusted;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9"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EBIT-adjusted </w:t>
      </w:r>
      <w:r>
        <w:rPr>
          <w:rFonts w:ascii="Times New Roman" w:cs="Times New Roman" w:eastAsia="Times New Roman" w:hAnsi="Times New Roman"/>
          <w:sz w:val="18"/>
          <w:szCs w:val="18"/>
          <w:i w:val="1"/>
          <w:iCs w:val="1"/>
          <w:color w:val="auto"/>
        </w:rPr>
        <w:t>(Most comparable GAAP measure: Net income attributable to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EBIT-adjusted is presented net of noncontrolling interests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09" w:lineRule="exact"/>
        <w:rPr>
          <w:sz w:val="20"/>
          <w:szCs w:val="20"/>
          <w:color w:val="auto"/>
        </w:rPr>
      </w:pPr>
    </w:p>
    <w:p>
      <w:pPr>
        <w:jc w:val="both"/>
        <w:ind w:firstLine="161"/>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EPS-diluted-adjusted </w:t>
      </w:r>
      <w:r>
        <w:rPr>
          <w:rFonts w:ascii="Times New Roman" w:cs="Times New Roman" w:eastAsia="Times New Roman" w:hAnsi="Times New Roman"/>
          <w:sz w:val="18"/>
          <w:szCs w:val="18"/>
          <w:i w:val="1"/>
          <w:iCs w:val="1"/>
          <w:color w:val="auto"/>
        </w:rPr>
        <w:t>(Most comparable GAAP measure: Diluted earnings per common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EPS-diluted-adjusted is used by management and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by investors to review our consolidated diluted EPS results on a consistent basis. EPS-diluted-</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0"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ETR-adjusted </w:t>
      </w:r>
      <w:r>
        <w:rPr>
          <w:rFonts w:ascii="Times New Roman" w:cs="Times New Roman" w:eastAsia="Times New Roman" w:hAnsi="Times New Roman"/>
          <w:sz w:val="18"/>
          <w:szCs w:val="18"/>
          <w:i w:val="1"/>
          <w:iCs w:val="1"/>
          <w:color w:val="auto"/>
        </w:rPr>
        <w:t>(Most comparable GAAP measure: Effective tax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ETR-adjusted is used by management and can be used by investors to review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ROIC-adjusted </w:t>
      </w:r>
      <w:r>
        <w:rPr>
          <w:rFonts w:ascii="Times New Roman" w:cs="Times New Roman" w:eastAsia="Times New Roman" w:hAnsi="Times New Roman"/>
          <w:sz w:val="18"/>
          <w:szCs w:val="18"/>
          <w:i w:val="1"/>
          <w:iCs w:val="1"/>
          <w:color w:val="auto"/>
        </w:rPr>
        <w:t>(Most comparable GAAP measure: Return on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ROIC-adjusted is used by management and can be used by investors to review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20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automotive free cash flow </w:t>
      </w:r>
      <w:r>
        <w:rPr>
          <w:rFonts w:ascii="Times New Roman" w:cs="Times New Roman" w:eastAsia="Times New Roman" w:hAnsi="Times New Roman"/>
          <w:sz w:val="18"/>
          <w:szCs w:val="18"/>
          <w:i w:val="1"/>
          <w:iCs w:val="1"/>
          <w:color w:val="auto"/>
        </w:rPr>
        <w:t>(Most comparable GAAP measure: Net automotive cash provided by operating activities)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automotive free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Net income attributable to stockholders under U.S. GAAP to EBIT-adjusted: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r>
      <w:tr>
        <w:trPr>
          <w:trHeight w:val="188"/>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0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2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interest income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actions(a)</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Buick dealer strategy(b)</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GMI plant wind down(c)</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Headquarters relocation(d)</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Cruise restructuring(e)</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Voluntary separation program(f)</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GM Korea wage litigation(g)</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India asset sales(h)</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Russia exit(i)</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2"/>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2"/>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w:t>
            </w: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employee separation charges primarily in North America.</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strategic activities to transition certain Buick dealers out of our dealer network as part of Buick’s EV strategy.</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wind down of our manufacturing operations in Colombia and Ecuador.</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GM headquarters relocation, primarily consisting of accelerated depreciation.</w:t>
      </w:r>
    </w:p>
    <w:p>
      <w:pPr>
        <w:spacing w:after="0" w:line="14" w:lineRule="exact"/>
        <w:rPr>
          <w:rFonts w:ascii="Times New Roman" w:cs="Times New Roman" w:eastAsia="Times New Roman" w:hAnsi="Times New Roman"/>
          <w:sz w:val="16"/>
          <w:szCs w:val="16"/>
          <w:color w:val="auto"/>
        </w:rPr>
      </w:pPr>
    </w:p>
    <w:p>
      <w:pPr>
        <w:jc w:val="both"/>
        <w:ind w:left="340" w:hanging="333"/>
        <w:spacing w:after="0" w:line="251" w:lineRule="auto"/>
        <w:tabs>
          <w:tab w:leader="none" w:pos="33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restructuring costs resulting from Cruise voluntarily pausing its driverless, supervised and manual AV operations in the U.S. and the indefinite delay of the Cruise Origin. The adjustments primarily consist of non-cash restructuring charges, supplier related charges and employee separation charges.</w:t>
      </w:r>
    </w:p>
    <w:p>
      <w:pPr>
        <w:ind w:left="340" w:hanging="333"/>
        <w:spacing w:after="0" w:line="254"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acceleration of attrition as part of the cost reduction program announced in January 2023, primarily in the U.S.</w:t>
      </w:r>
    </w:p>
    <w:p>
      <w:pPr>
        <w:ind w:left="320" w:hanging="313"/>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partial resolution of subcontractor matters in Korea.</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an asset sale resulting from our strategic decision in 2020 to exit India.</w:t>
      </w:r>
    </w:p>
    <w:p>
      <w:pPr>
        <w:spacing w:after="0" w:line="14" w:lineRule="exact"/>
        <w:rPr>
          <w:rFonts w:ascii="Times New Roman" w:cs="Times New Roman" w:eastAsia="Times New Roman" w:hAnsi="Times New Roman"/>
          <w:sz w:val="16"/>
          <w:szCs w:val="16"/>
          <w:color w:val="auto"/>
        </w:rPr>
      </w:pPr>
    </w:p>
    <w:p>
      <w:pPr>
        <w:ind w:left="340" w:hanging="333"/>
        <w:spacing w:after="0" w:line="255" w:lineRule="auto"/>
        <w:tabs>
          <w:tab w:leader="none" w:pos="33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was excluded because it relates to the shutdown of our Russia business including the write off of our net investment and release of accumulated translation losses into earnings.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diluted earnings per common share under U.S. GAAP to EPS-diluted-adjusted: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gridSpan w:val="4"/>
          </w:tcPr>
          <w:p>
            <w:pPr>
              <w:spacing w:after="0"/>
              <w:rPr>
                <w:sz w:val="2"/>
                <w:szCs w:val="2"/>
                <w:color w:val="auto"/>
              </w:rPr>
            </w:pPr>
          </w:p>
        </w:tc>
      </w:tr>
      <w:tr>
        <w:trPr>
          <w:trHeight w:val="188"/>
        </w:trPr>
        <w:tc>
          <w:tcPr>
            <w:tcW w:w="37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95"/>
        </w:trPr>
        <w:tc>
          <w:tcPr>
            <w:tcW w:w="37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8"/>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w w:val="95"/>
              </w:rPr>
              <w:t>2.68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center"/>
              <w:ind w:left="196"/>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rPr>
              <w:t>5.72</w:t>
            </w:r>
          </w:p>
        </w:tc>
      </w:tr>
      <w:tr>
        <w:trPr>
          <w:trHeight w:val="22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left="196"/>
              <w:spacing w:after="0"/>
              <w:rPr>
                <w:sz w:val="20"/>
                <w:szCs w:val="20"/>
                <w:color w:val="auto"/>
              </w:rPr>
            </w:pPr>
            <w:r>
              <w:rPr>
                <w:rFonts w:ascii="Times New Roman" w:cs="Times New Roman" w:eastAsia="Times New Roman" w:hAnsi="Times New Roman"/>
                <w:sz w:val="18"/>
                <w:szCs w:val="18"/>
                <w:color w:val="auto"/>
                <w:w w:val="95"/>
              </w:rPr>
              <w:t>0.37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left="196"/>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rPr>
              <w:t>0.91</w:t>
            </w:r>
          </w:p>
        </w:tc>
      </w:tr>
      <w:tr>
        <w:trPr>
          <w:trHeight w:val="228"/>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on adjustments(b)</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156"/>
              <w:spacing w:after="0"/>
              <w:rPr>
                <w:sz w:val="20"/>
                <w:szCs w:val="20"/>
                <w:color w:val="auto"/>
              </w:rPr>
            </w:pPr>
            <w:r>
              <w:rPr>
                <w:rFonts w:ascii="Times New Roman" w:cs="Times New Roman" w:eastAsia="Times New Roman" w:hAnsi="Times New Roman"/>
                <w:sz w:val="18"/>
                <w:szCs w:val="18"/>
                <w:color w:val="auto"/>
                <w:w w:val="96"/>
              </w:rPr>
              <w:t>(0.08)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156"/>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(0.23)</w:t>
            </w:r>
          </w:p>
        </w:tc>
      </w:tr>
      <w:tr>
        <w:trPr>
          <w:trHeight w:val="222"/>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EPS-diluted-adjusted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center"/>
              <w:ind w:left="196"/>
              <w:spacing w:after="0"/>
              <w:rPr>
                <w:sz w:val="20"/>
                <w:szCs w:val="20"/>
                <w:color w:val="auto"/>
              </w:rPr>
            </w:pPr>
            <w:r>
              <w:rPr>
                <w:rFonts w:ascii="Times New Roman" w:cs="Times New Roman" w:eastAsia="Times New Roman" w:hAnsi="Times New Roman"/>
                <w:sz w:val="18"/>
                <w:szCs w:val="18"/>
                <w:color w:val="auto"/>
                <w:w w:val="95"/>
              </w:rPr>
              <w:t>2.96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center"/>
              <w:ind w:left="196"/>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8"/>
                <w:szCs w:val="18"/>
                <w:color w:val="auto"/>
              </w:rPr>
              <w:t>6.40</w:t>
            </w: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54" w:lineRule="auto"/>
        <w:tabs>
          <w:tab w:leader="none" w:pos="33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MD&amp;A for the details of each individual adjustment.</w:t>
      </w:r>
    </w:p>
    <w:p>
      <w:pPr>
        <w:ind w:left="320" w:hanging="313"/>
        <w:spacing w:after="0"/>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to which the adjustment relates.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our effective tax rate under U.S. GAAP to ETR-adjusted: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gridSpan w:val="7"/>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gridSpan w:val="7"/>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gridSpan w:val="7"/>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gridSpan w:val="6"/>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5"/>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6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Income tax</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6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Income tax</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7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Income tax</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6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Income tax</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Effective tax</w:t>
            </w: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Effective tax</w:t>
            </w:r>
          </w:p>
        </w:tc>
        <w:tc>
          <w:tcPr>
            <w:tcW w:w="1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Effective tax</w:t>
            </w: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Effective tax</w:t>
            </w: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0"/>
                <w:szCs w:val="10"/>
                <w:color w:val="auto"/>
              </w:rPr>
            </w:pPr>
          </w:p>
        </w:tc>
        <w:tc>
          <w:tcPr>
            <w:tcW w:w="540" w:type="dxa"/>
            <w:vAlign w:val="bottom"/>
          </w:tcPr>
          <w:p>
            <w:pPr>
              <w:jc w:val="center"/>
              <w:ind w:right="37"/>
              <w:spacing w:after="0" w:line="121" w:lineRule="exact"/>
              <w:rPr>
                <w:sz w:val="20"/>
                <w:szCs w:val="20"/>
                <w:color w:val="auto"/>
              </w:rPr>
            </w:pPr>
            <w:r>
              <w:rPr>
                <w:rFonts w:ascii="Times New Roman" w:cs="Times New Roman" w:eastAsia="Times New Roman" w:hAnsi="Times New Roman"/>
                <w:sz w:val="13"/>
                <w:szCs w:val="13"/>
                <w:b w:val="1"/>
                <w:bCs w:val="1"/>
                <w:color w:val="auto"/>
                <w:w w:val="96"/>
              </w:rPr>
              <w:t>expense</w:t>
            </w: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00" w:type="dxa"/>
            <w:vAlign w:val="bottom"/>
          </w:tcPr>
          <w:p>
            <w:pPr>
              <w:spacing w:after="0"/>
              <w:rPr>
                <w:sz w:val="10"/>
                <w:szCs w:val="10"/>
                <w:color w:val="auto"/>
              </w:rPr>
            </w:pPr>
          </w:p>
        </w:tc>
        <w:tc>
          <w:tcPr>
            <w:tcW w:w="540" w:type="dxa"/>
            <w:vAlign w:val="bottom"/>
          </w:tcPr>
          <w:p>
            <w:pPr>
              <w:jc w:val="right"/>
              <w:ind w:right="37"/>
              <w:spacing w:after="0" w:line="121" w:lineRule="exact"/>
              <w:rPr>
                <w:sz w:val="20"/>
                <w:szCs w:val="20"/>
                <w:color w:val="auto"/>
              </w:rPr>
            </w:pPr>
            <w:r>
              <w:rPr>
                <w:rFonts w:ascii="Times New Roman" w:cs="Times New Roman" w:eastAsia="Times New Roman" w:hAnsi="Times New Roman"/>
                <w:sz w:val="13"/>
                <w:szCs w:val="13"/>
                <w:b w:val="1"/>
                <w:bCs w:val="1"/>
                <w:color w:val="auto"/>
                <w:w w:val="92"/>
              </w:rPr>
              <w:t>expense</w:t>
            </w: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120" w:type="dxa"/>
            <w:vAlign w:val="bottom"/>
          </w:tcPr>
          <w:p>
            <w:pPr>
              <w:spacing w:after="0"/>
              <w:rPr>
                <w:sz w:val="10"/>
                <w:szCs w:val="10"/>
                <w:color w:val="auto"/>
              </w:rPr>
            </w:pPr>
          </w:p>
        </w:tc>
        <w:tc>
          <w:tcPr>
            <w:tcW w:w="580" w:type="dxa"/>
            <w:vAlign w:val="bottom"/>
          </w:tcPr>
          <w:p>
            <w:pPr>
              <w:jc w:val="center"/>
              <w:ind w:right="41"/>
              <w:spacing w:after="0" w:line="121" w:lineRule="exact"/>
              <w:rPr>
                <w:sz w:val="20"/>
                <w:szCs w:val="20"/>
                <w:color w:val="auto"/>
              </w:rPr>
            </w:pPr>
            <w:r>
              <w:rPr>
                <w:rFonts w:ascii="Times New Roman" w:cs="Times New Roman" w:eastAsia="Times New Roman" w:hAnsi="Times New Roman"/>
                <w:sz w:val="13"/>
                <w:szCs w:val="13"/>
                <w:b w:val="1"/>
                <w:bCs w:val="1"/>
                <w:color w:val="auto"/>
                <w:w w:val="96"/>
              </w:rPr>
              <w:t>expense</w:t>
            </w: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320"/>
              <w:spacing w:after="0" w:line="121" w:lineRule="exact"/>
              <w:rPr>
                <w:sz w:val="20"/>
                <w:szCs w:val="20"/>
                <w:color w:val="auto"/>
              </w:rPr>
            </w:pPr>
            <w:r>
              <w:rPr>
                <w:rFonts w:ascii="Times New Roman" w:cs="Times New Roman" w:eastAsia="Times New Roman" w:hAnsi="Times New Roman"/>
                <w:sz w:val="13"/>
                <w:szCs w:val="13"/>
                <w:b w:val="1"/>
                <w:bCs w:val="1"/>
                <w:color w:val="auto"/>
              </w:rPr>
              <w:t>before</w:t>
            </w:r>
          </w:p>
        </w:tc>
        <w:tc>
          <w:tcPr>
            <w:tcW w:w="6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6"/>
              </w:rPr>
              <w:t>expense</w:t>
            </w: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taxes</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(benefit)</w:t>
            </w:r>
          </w:p>
        </w:tc>
        <w:tc>
          <w:tcPr>
            <w:tcW w:w="10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rate</w:t>
            </w:r>
          </w:p>
        </w:tc>
        <w:tc>
          <w:tcPr>
            <w:tcW w:w="120" w:type="dxa"/>
            <w:vAlign w:val="bottom"/>
          </w:tcPr>
          <w:p>
            <w:pPr>
              <w:spacing w:after="0"/>
              <w:rPr>
                <w:sz w:val="15"/>
                <w:szCs w:val="15"/>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taxes</w:t>
            </w:r>
          </w:p>
        </w:tc>
        <w:tc>
          <w:tcPr>
            <w:tcW w:w="6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100" w:type="dxa"/>
            <w:vAlign w:val="bottom"/>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89"/>
              </w:rPr>
              <w:t>rate</w:t>
            </w: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income taxes</w:t>
            </w:r>
          </w:p>
        </w:tc>
        <w:tc>
          <w:tcPr>
            <w:tcW w:w="120" w:type="dxa"/>
            <w:vAlign w:val="bottom"/>
          </w:tcPr>
          <w:p>
            <w:pPr>
              <w:spacing w:after="0"/>
              <w:rPr>
                <w:sz w:val="15"/>
                <w:szCs w:val="15"/>
                <w:color w:val="auto"/>
              </w:rPr>
            </w:pPr>
          </w:p>
        </w:tc>
        <w:tc>
          <w:tcPr>
            <w:tcW w:w="58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7"/>
              </w:rPr>
              <w:t>(benefit)</w:t>
            </w:r>
          </w:p>
        </w:tc>
        <w:tc>
          <w:tcPr>
            <w:tcW w:w="10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rate</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income taxes</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(benefit)</w:t>
            </w:r>
          </w:p>
        </w:tc>
        <w:tc>
          <w:tcPr>
            <w:tcW w:w="100" w:type="dxa"/>
            <w:vAlign w:val="bottom"/>
          </w:tcPr>
          <w:p>
            <w:pPr>
              <w:spacing w:after="0"/>
              <w:rPr>
                <w:sz w:val="15"/>
                <w:szCs w:val="15"/>
                <w:color w:val="auto"/>
              </w:rPr>
            </w:pP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rate</w:t>
            </w:r>
          </w:p>
        </w:tc>
        <w:tc>
          <w:tcPr>
            <w:tcW w:w="0" w:type="dxa"/>
            <w:vAlign w:val="bottom"/>
          </w:tcPr>
          <w:p>
            <w:pPr>
              <w:spacing w:after="0"/>
              <w:rPr>
                <w:sz w:val="1"/>
                <w:szCs w:val="1"/>
                <w:color w:val="auto"/>
              </w:rPr>
            </w:pPr>
          </w:p>
        </w:tc>
      </w:tr>
      <w:tr>
        <w:trPr>
          <w:trHeight w:val="228"/>
        </w:trPr>
        <w:tc>
          <w:tcPr>
            <w:tcW w:w="1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11,076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9,267</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$ 1,421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28"/>
        </w:trPr>
        <w:tc>
          <w:tcPr>
            <w:tcW w:w="1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Adjustments(a)</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ETR-adjusted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12,418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2,528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10,534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$ 1,745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6" w:lineRule="auto"/>
        <w:tabs>
          <w:tab w:leader="none" w:pos="33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2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25"/>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8"/>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28"/>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10.0</w:t>
            </w:r>
          </w:p>
        </w:tc>
      </w:tr>
      <w:tr>
        <w:trPr>
          <w:trHeight w:val="22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72.8</w:t>
            </w:r>
          </w:p>
        </w:tc>
      </w:tr>
      <w:tr>
        <w:trPr>
          <w:trHeight w:val="22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ROE</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7"/>
              </w:rPr>
              <w:t>13.8 %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Includes equity of noncontrolling interests where the corresponding earnings (loss) are included in Net income attributable to stockholders.</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calculation of ROIC-adjusted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25"/>
        </w:trPr>
        <w:tc>
          <w:tcPr>
            <w:tcW w:w="6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8"/>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8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28"/>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EBIT-adjusted(a)</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14.4</w:t>
            </w:r>
          </w:p>
        </w:tc>
      </w:tr>
      <w:tr>
        <w:trPr>
          <w:trHeight w:val="22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equity(b)</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72.8</w:t>
            </w: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Average automotive debt and interest liabilities (excluding finance leases)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16.6</w:t>
            </w:r>
          </w:p>
        </w:tc>
      </w:tr>
      <w:tr>
        <w:trPr>
          <w:trHeight w:val="22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Average automotive net pension &amp; OPEB liability</w:t>
            </w:r>
          </w:p>
        </w:tc>
        <w:tc>
          <w:tcPr>
            <w:tcW w:w="280" w:type="dxa"/>
            <w:vAlign w:val="bottom"/>
          </w:tcPr>
          <w:p>
            <w:pPr>
              <w:spacing w:after="0"/>
              <w:rPr>
                <w:sz w:val="19"/>
                <w:szCs w:val="19"/>
                <w:color w:val="auto"/>
              </w:rPr>
            </w:pPr>
          </w:p>
        </w:tc>
        <w:tc>
          <w:tcPr>
            <w:tcW w:w="1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7.5</w:t>
            </w: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Average automotive and other net income tax asset</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(20.5)</w:t>
            </w:r>
          </w:p>
        </w:tc>
      </w:tr>
      <w:tr>
        <w:trPr>
          <w:trHeight w:val="222"/>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ROIC-adjusted average net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76.4</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ROIC-adjusted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attributable to stockholders under U.S. GAAP to EBIT-adjusted within this section of MD&amp;A.</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EBIT-adjusted.</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Forward-Looking Statements </w:t>
      </w:r>
      <w:r>
        <w:rPr>
          <w:rFonts w:ascii="Times New Roman" w:cs="Times New Roman" w:eastAsia="Times New Roman" w:hAnsi="Times New Roman"/>
          <w:sz w:val="17"/>
          <w:szCs w:val="17"/>
          <w:color w:val="auto"/>
        </w:rPr>
        <w:t>This report and the other reports filed by us with the SEC from time to time, as well as statements incorporated by reference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our ability to deliver new products, services, technologies and customer</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experiences in response to increased competition and changing consumer needs and preferences; (2) our ability to timely fund and introduce new and improved vehicle models, including EVs, that are able to attract a sufficient number of consumers; (3) our ability to profitably deliver a strategic portfolio of EVs that will help drive consumer adoption; (4) the success of our current line of ICE vehicles, particularly our full-size SUVs and full-size pickup trucks;</w:t>
      </w:r>
    </w:p>
    <w:p>
      <w:pPr>
        <w:spacing w:after="0" w:line="1" w:lineRule="exact"/>
        <w:rPr>
          <w:sz w:val="20"/>
          <w:szCs w:val="20"/>
          <w:color w:val="auto"/>
        </w:rPr>
      </w:pPr>
    </w:p>
    <w:p>
      <w:pPr>
        <w:jc w:val="both"/>
        <w:ind w:firstLine="7"/>
        <w:spacing w:after="0" w:line="263" w:lineRule="auto"/>
        <w:tabs>
          <w:tab w:leader="none" w:pos="29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highly competitive industry, which has been historically characterized by excess manufacturing capacity and the use of incentives, and the introduction of new and improved vehicle models by our competitors; (6) the unique technological, operational, regulatory and competitive risks related to the timing and commercialization of AVs, including the various regulatory approvals and permits required for operating driverless AVs in multiple markets;</w:t>
      </w:r>
    </w:p>
    <w:p>
      <w:pPr>
        <w:spacing w:after="0" w:line="2" w:lineRule="exact"/>
        <w:rPr>
          <w:rFonts w:ascii="Times New Roman" w:cs="Times New Roman" w:eastAsia="Times New Roman" w:hAnsi="Times New Roman"/>
          <w:sz w:val="17"/>
          <w:szCs w:val="17"/>
          <w:color w:val="auto"/>
        </w:rPr>
      </w:pPr>
    </w:p>
    <w:p>
      <w:pPr>
        <w:jc w:val="both"/>
        <w:ind w:firstLine="7"/>
        <w:spacing w:after="0" w:line="249" w:lineRule="auto"/>
        <w:tabs>
          <w:tab w:leader="none" w:pos="27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climate change, including increased regulation of greenhouse gas emissions, our transition to EVs and the potential increased impacts of severe weather events; (8) global automobile market sales volume, which can be volatile; (9) inflationary pressures and persistently high prices and uncertain availability of raw materials and commodities used by us and our suppliers, and instability in logistics and related costs; (10) our business in China, which is subject to unique operational, competitive, regulatory and economic risks; (11)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(12) the international scale and footprint of our operations, which exposes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w:t>
      </w:r>
    </w:p>
    <w:p>
      <w:pPr>
        <w:spacing w:after="0" w:line="2" w:lineRule="exact"/>
        <w:rPr>
          <w:rFonts w:ascii="Times New Roman" w:cs="Times New Roman" w:eastAsia="Times New Roman" w:hAnsi="Times New Roman"/>
          <w:sz w:val="18"/>
          <w:szCs w:val="18"/>
          <w:color w:val="auto"/>
        </w:rPr>
      </w:pPr>
    </w:p>
    <w:p>
      <w:pPr>
        <w:jc w:val="both"/>
        <w:ind w:firstLine="7"/>
        <w:spacing w:after="0" w:line="250" w:lineRule="auto"/>
        <w:tabs>
          <w:tab w:leader="none" w:pos="36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including any work stoppages, at any of our manufacturing facilities; (14) the ability of our suppliers to deliver parts, systems and components without disruption and at such times to allow us to meet production schedules; (15) pandemics, epidemics, disease outbreaks and other public health crises; (16) the 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cyberattacks and other disruptions to our information technology systems and networked products, including connected vehicles and in-vehicle systems; (18) our ability to comply with increasingly complex, restrictive and punitive regulations relating to our enterprise data practices, including the collection, use, sharing and security of the personal information of our customers, employees or suppliers; (19) our ability to comply with extensive laws, regulations and policies applicable to our operations and products, including those relating to fuel economy, emissions and AVs; (20) costs and risks associated with litigation and government investigations; (21) the costs and effect on our reputation of product safety recalls and alleged defects in products and services; (22) any additional tax expense or exposure or failure to fully realize available tax incentives; (23) our continued ability to develop captive financing capability through GM Financial; and (24) any significant increase in our pension funding requirements. A further list and description of these risks, uncertainties and other factors can be found in our 2023 Form 10-K and our subsequent filings with the SEC.</w:t>
      </w:r>
    </w:p>
    <w:p>
      <w:pPr>
        <w:spacing w:after="0" w:line="216"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have been no significant changes in our exposure to market risk since December 31, 2023. For further discussion on market risk, refer to Part II, Item 7A. of our 2023 Form 10-K.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w:t>
      </w:r>
      <w:r>
        <w:rPr>
          <w:rFonts w:ascii="Times New Roman" w:cs="Times New Roman" w:eastAsia="Times New Roman" w:hAnsi="Times New Roman"/>
          <w:sz w:val="18"/>
          <w:szCs w:val="18"/>
          <w:color w:val="auto"/>
        </w:rPr>
        <w:t>We maintain disclosure controls and procedures designed to provide reasonable assurance that information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 13a-15(e) or 15d-15(e) promulgated under the Exchange Act) as of September 30, 2024 as required by paragraph (b) of Rules 13a-15 or 15d-15. Based on this evaluation, our CEO and CFO concluded that our disclosure controls and procedures were effective as of September 30, 2024.</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during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September 30, 2024 that have materially affected, or are reasonably likely to materially affect, our internal control over financial reporting.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3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discussion under Note 13 to our condensed consolidated financial statements is incorporated by reference into this Part II, Item 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2023 Form 10-K.</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Purchases of Equity Securities </w:t>
      </w:r>
      <w:r>
        <w:rPr>
          <w:rFonts w:ascii="Times New Roman" w:cs="Times New Roman" w:eastAsia="Times New Roman" w:hAnsi="Times New Roman"/>
          <w:sz w:val="18"/>
          <w:szCs w:val="18"/>
          <w:color w:val="auto"/>
        </w:rPr>
        <w:t>The following table summarizes our purchases of common stock in the three months ended September 30, 2024: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34"/>
        </w:trPr>
        <w:tc>
          <w:tcPr>
            <w:tcW w:w="508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1"/>
                <w:szCs w:val="11"/>
                <w:color w:val="auto"/>
              </w:rPr>
            </w:pPr>
          </w:p>
        </w:tc>
        <w:tc>
          <w:tcPr>
            <w:tcW w:w="10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120" w:type="dxa"/>
            <w:vAlign w:val="bottom"/>
          </w:tcPr>
          <w:p>
            <w:pPr>
              <w:spacing w:after="0"/>
              <w:rPr>
                <w:sz w:val="12"/>
                <w:szCs w:val="12"/>
                <w:color w:val="auto"/>
              </w:rPr>
            </w:pPr>
          </w:p>
        </w:tc>
        <w:tc>
          <w:tcPr>
            <w:tcW w:w="1880" w:type="dxa"/>
            <w:vAlign w:val="bottom"/>
          </w:tcPr>
          <w:p>
            <w:pPr>
              <w:ind w:left="560"/>
              <w:spacing w:after="0" w:line="148"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Purchased(a)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Share</w:t>
            </w: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(b)(c)</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Programs(b)(d)</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Programs(b)(d)</w:t>
            </w:r>
          </w:p>
        </w:tc>
        <w:tc>
          <w:tcPr>
            <w:tcW w:w="0" w:type="dxa"/>
            <w:vAlign w:val="bottom"/>
          </w:tcPr>
          <w:p>
            <w:pPr>
              <w:spacing w:after="0"/>
              <w:rPr>
                <w:sz w:val="1"/>
                <w:szCs w:val="1"/>
                <w:color w:val="auto"/>
              </w:rPr>
            </w:pPr>
          </w:p>
        </w:tc>
      </w:tr>
      <w:tr>
        <w:trPr>
          <w:trHeight w:val="228"/>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through July 31, 2024</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4,300,237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4,270,694</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$5.8 billion</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2024 through August 31,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12,572,293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12,572,163</w:t>
            </w:r>
          </w:p>
        </w:tc>
        <w:tc>
          <w:tcPr>
            <w:tcW w:w="120" w:type="dxa"/>
            <w:vAlign w:val="bottom"/>
          </w:tcPr>
          <w:p>
            <w:pPr>
              <w:spacing w:after="0"/>
              <w:rPr>
                <w:sz w:val="19"/>
                <w:szCs w:val="19"/>
                <w:color w:val="auto"/>
              </w:rPr>
            </w:pPr>
          </w:p>
        </w:tc>
        <w:tc>
          <w:tcPr>
            <w:tcW w:w="1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$5.3 billion</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through September 30,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6,046,252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6,046,252</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$5.0 billion</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22,918,782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22,889,109</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right="20" w:hanging="333"/>
        <w:spacing w:after="0" w:line="251" w:lineRule="auto"/>
        <w:tabs>
          <w:tab w:leader="none" w:pos="33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include shares delivered by employees or directors to us for the payment of taxes resulting from the issuance of common stock upon the vesting of RSUs relating to compensation plans. Refer to our 2023 Form 10-K for additional details on employee stock incentive plans.</w:t>
      </w:r>
    </w:p>
    <w:p>
      <w:pPr>
        <w:spacing w:after="0" w:line="1" w:lineRule="exact"/>
        <w:rPr>
          <w:rFonts w:ascii="Times New Roman" w:cs="Times New Roman" w:eastAsia="Times New Roman" w:hAnsi="Times New Roman"/>
          <w:sz w:val="16"/>
          <w:szCs w:val="16"/>
          <w:color w:val="auto"/>
        </w:rPr>
      </w:pPr>
    </w:p>
    <w:p>
      <w:pPr>
        <w:jc w:val="both"/>
        <w:ind w:left="340" w:hanging="333"/>
        <w:spacing w:after="0" w:line="253"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December 31, 2023, we entered into the ASR Agreements to repurchase an aggregate $10.0 billion of common stock, and we received and immediately retired approximately 215 million shares of our common stock (68% of the $10.0 billion aggregate purchase price calculated on the basis of a price of $31.60 per share, the closing share price of our common stock on November 29, 2023). In March 2024, upon the first settlement of the transactions contemplated under the ASR Agreements, we received approximately 4 million additional shares of our common stock, which were immediately retired. There were no settlements under the ASR Agreements in the three months ended June 30, 2024 or September 30, 2024. The final number of shares ultimately to be purchased, and the average price paid per share, will be determined at the final settlement of the ASR Agreements and will be based on the average of the daily volume-weighted average prices of our common stock during the term of the ASR Agreements, less a discount and subject to adjustments pursuant to the terms and conditions of the ASR Agreements. The final settlement of the transactions contemplated under the ASR Agreements in connection with the ASR program is expected to occur in the three months ending December 31, 2024.</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price paid per share excludes broker commissions.</w:t>
      </w:r>
    </w:p>
    <w:p>
      <w:pPr>
        <w:spacing w:after="0" w:line="4" w:lineRule="exact"/>
        <w:rPr>
          <w:rFonts w:ascii="Times New Roman" w:cs="Times New Roman" w:eastAsia="Times New Roman" w:hAnsi="Times New Roman"/>
          <w:sz w:val="16"/>
          <w:szCs w:val="16"/>
          <w:color w:val="auto"/>
        </w:rPr>
      </w:pPr>
    </w:p>
    <w:p>
      <w:pPr>
        <w:jc w:val="both"/>
        <w:ind w:left="340" w:hanging="333"/>
        <w:spacing w:after="0" w:line="259"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November 2023, our Board of Directors increased the capacity under the share repurchase program by $10.0 billion to an aggregate of $11.4 billion and approved the $10.0 billion ASR program. In June 2024, our Board of Directors approved a new share repurchase authorization to repurchase up to an additional $6.0 billion of our outstanding common stock. At September 30, 2024, we had $5.0 billion in capacity remaining under the share repurchase program, with no expiration date.</w:t>
      </w:r>
    </w:p>
    <w:p>
      <w:pPr>
        <w:spacing w:after="0" w:line="214" w:lineRule="exact"/>
        <w:rPr>
          <w:rFonts w:ascii="Times New Roman" w:cs="Times New Roman" w:eastAsia="Times New Roman" w:hAnsi="Times New Roman"/>
          <w:sz w:val="16"/>
          <w:szCs w:val="16"/>
          <w:color w:val="auto"/>
        </w:rPr>
      </w:pPr>
    </w:p>
    <w:p>
      <w:pPr>
        <w:ind w:left="5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2024, Craig Glidden, Executive Vice President and Strategic Advisor, adopted a "Rule 10b5-1 trading arrangement" as such term is defined in Item 408(a) of Regulation S-K, on August 19, 2024, to sell up to 141,005 shares of GM common stock and up to 331,561 shares of GM common stock issuable upon exercise of vested options between November 18, 2024 and February 14, 2025, subject to certain conditions.</w:t>
      </w: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60" w:type="dxa"/>
            <w:vAlign w:val="bottom"/>
            <w:gridSpan w:val="8"/>
          </w:tcPr>
          <w:p>
            <w:pPr>
              <w:ind w:left="106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60" w:type="dxa"/>
            <w:vAlign w:val="bottom"/>
            <w:gridSpan w:val="8"/>
          </w:tcPr>
          <w:p>
            <w:pPr>
              <w:ind w:left="2660"/>
              <w:spacing w:after="0"/>
              <w:rPr>
                <w:sz w:val="20"/>
                <w:szCs w:val="20"/>
                <w:color w:val="auto"/>
              </w:rPr>
            </w:pPr>
            <w:r>
              <w:rPr>
                <w:rFonts w:ascii="Times New Roman" w:cs="Times New Roman" w:eastAsia="Times New Roman" w:hAnsi="Times New Roman"/>
                <w:sz w:val="18"/>
                <w:szCs w:val="18"/>
                <w:b w:val="1"/>
                <w:bCs w:val="1"/>
                <w:color w:val="auto"/>
              </w:rPr>
              <w:t>Exhibit Name</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Borders>
              <w:top w:val="single" w:sz="8" w:color="auto"/>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100" w:type="dxa"/>
            <w:vAlign w:val="bottom"/>
            <w:tcBorders>
              <w:top w:val="single" w:sz="8" w:color="auto"/>
            </w:tcBorders>
            <w:gridSpan w:val="10"/>
            <w:shd w:val="clear" w:color="auto" w:fill="CCEEFF"/>
          </w:tcPr>
          <w:p>
            <w:pPr>
              <w:spacing w:after="0" w:line="168"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Restated Certificate of Incorporation of General Motors Company dated December 7, 2010, incorporated by</w:t>
              </w:r>
            </w:hyperlink>
          </w:p>
        </w:tc>
        <w:tc>
          <w:tcPr>
            <w:tcW w:w="1620" w:type="dxa"/>
            <w:vAlign w:val="bottom"/>
            <w:tcBorders>
              <w:top w:val="single" w:sz="8" w:color="CCEEFF"/>
            </w:tcBorders>
            <w:shd w:val="clear" w:color="auto" w:fill="CCEEFF"/>
          </w:tcPr>
          <w:p>
            <w:pPr>
              <w:ind w:left="100"/>
              <w:spacing w:after="0" w:line="168"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80" w:type="dxa"/>
            <w:vAlign w:val="bottom"/>
            <w:tcBorders>
              <w:top w:val="single" w:sz="8" w:color="0000FF"/>
            </w:tcBorders>
            <w:gridSpan w:val="9"/>
            <w:shd w:val="clear" w:color="auto" w:fill="CCEEFF"/>
          </w:tcPr>
          <w:p>
            <w:pPr>
              <w:spacing w:after="0" w:line="161"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reference to Exhibit 3.2 to the Current Report on Form 8-K of General Motors Company filed December 13,</w:t>
              </w:r>
            </w:hyperlink>
          </w:p>
        </w:tc>
        <w:tc>
          <w:tcPr>
            <w:tcW w:w="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2010</w:t>
              </w:r>
            </w:hyperlink>
          </w:p>
        </w:tc>
        <w:tc>
          <w:tcPr>
            <w:tcW w:w="31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3160" w:type="dxa"/>
            <w:vAlign w:val="bottom"/>
            <w:tcBorders>
              <w:top w:val="single" w:sz="8" w:color="0000FF"/>
            </w:tcBorders>
            <w:shd w:val="clear" w:color="auto" w:fill="CCEEFF"/>
          </w:tcPr>
          <w:p>
            <w:pPr>
              <w:spacing w:after="0"/>
              <w:rPr>
                <w:sz w:val="13"/>
                <w:szCs w:val="13"/>
                <w:color w:val="auto"/>
              </w:rPr>
            </w:pPr>
          </w:p>
        </w:tc>
        <w:tc>
          <w:tcPr>
            <w:tcW w:w="76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1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00" w:type="dxa"/>
            <w:vAlign w:val="bottom"/>
            <w:gridSpan w:val="10"/>
          </w:tcPr>
          <w:p>
            <w:pPr>
              <w:spacing w:after="0" w:line="189"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General Motors Company Amended and Restated Bylaws, as amended October 4, 2024, incorporated by</w:t>
              </w:r>
            </w:hyperlink>
          </w:p>
        </w:tc>
        <w:tc>
          <w:tcPr>
            <w:tcW w:w="16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reference to Exhibit 3.1 to the Current Report on Form 8-K of General Motors Company filed October 9, 2024</w:t>
              </w:r>
            </w:hyperlink>
          </w:p>
        </w:tc>
        <w:tc>
          <w:tcPr>
            <w:tcW w:w="40" w:type="dxa"/>
            <w:vAlign w:val="bottom"/>
            <w:gridSpan w:val="2"/>
          </w:tcPr>
          <w:p>
            <w:pPr>
              <w:spacing w:after="0"/>
              <w:rPr>
                <w:sz w:val="13"/>
                <w:szCs w:val="13"/>
                <w:color w:val="auto"/>
              </w:rPr>
            </w:pPr>
          </w:p>
        </w:tc>
        <w:tc>
          <w:tcPr>
            <w:tcW w:w="1620" w:type="dxa"/>
            <w:vAlign w:val="bottom"/>
          </w:tcPr>
          <w:p>
            <w:pPr>
              <w:ind w:left="100"/>
              <w:spacing w:after="0" w:line="154" w:lineRule="exact"/>
              <w:rPr>
                <w:sz w:val="20"/>
                <w:szCs w:val="20"/>
                <w:color w:val="auto"/>
              </w:rPr>
            </w:pPr>
            <w:r>
              <w:rPr>
                <w:rFonts w:ascii="Times New Roman" w:cs="Times New Roman" w:eastAsia="Times New Roman" w:hAnsi="Times New Roman"/>
                <w:sz w:val="17"/>
                <w:szCs w:val="17"/>
                <w:color w:val="auto"/>
              </w:rPr>
              <w:t>Reference</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1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10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Amended Senior Advisor Consulting Agreement between General Motors LLC and Michael Abbott</w:t>
            </w:r>
          </w:p>
        </w:tc>
        <w:tc>
          <w:tcPr>
            <w:tcW w:w="16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160" w:type="dxa"/>
            <w:vAlign w:val="bottom"/>
            <w:tcBorders>
              <w:top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Section 302 Certification of the Chief Executive Officer</w:t>
            </w:r>
          </w:p>
        </w:tc>
        <w:tc>
          <w:tcPr>
            <w:tcW w:w="940" w:type="dxa"/>
            <w:vAlign w:val="bottom"/>
            <w:tcBorders>
              <w:top w:val="single" w:sz="8" w:color="CCEEFF"/>
            </w:tcBorders>
            <w:gridSpan w:val="5"/>
          </w:tcPr>
          <w:p>
            <w:pPr>
              <w:spacing w:after="0"/>
              <w:rPr>
                <w:sz w:val="16"/>
                <w:szCs w:val="16"/>
                <w:color w:val="auto"/>
              </w:rPr>
            </w:pPr>
          </w:p>
        </w:tc>
        <w:tc>
          <w:tcPr>
            <w:tcW w:w="1620" w:type="dxa"/>
            <w:vAlign w:val="bottom"/>
            <w:tcBorders>
              <w:top w:val="single" w:sz="8" w:color="CCEEFF"/>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10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Section 302 Certification of the Chief Financial Officer</w:t>
            </w:r>
          </w:p>
        </w:tc>
        <w:tc>
          <w:tcPr>
            <w:tcW w:w="16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3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0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w:t>
            </w:r>
          </w:p>
        </w:tc>
        <w:tc>
          <w:tcPr>
            <w:tcW w:w="16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Furnished with this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40" w:type="dxa"/>
            <w:vAlign w:val="bottom"/>
            <w:tcBorders>
              <w:top w:val="single" w:sz="8" w:color="0000FF"/>
            </w:tcBorders>
            <w:gridSpan w:val="7"/>
          </w:tcPr>
          <w:p>
            <w:pPr>
              <w:spacing w:after="0" w:line="154" w:lineRule="exact"/>
              <w:rPr>
                <w:sz w:val="20"/>
                <w:szCs w:val="20"/>
                <w:color w:val="auto"/>
              </w:rPr>
            </w:pPr>
            <w:r>
              <w:rPr>
                <w:rFonts w:ascii="Times New Roman" w:cs="Times New Roman" w:eastAsia="Times New Roman" w:hAnsi="Times New Roman"/>
                <w:sz w:val="17"/>
                <w:szCs w:val="17"/>
                <w:color w:val="0000FF"/>
              </w:rPr>
              <w:t>Act of 2002</w:t>
            </w:r>
          </w:p>
        </w:tc>
        <w:tc>
          <w:tcPr>
            <w:tcW w:w="60" w:type="dxa"/>
            <w:vAlign w:val="bottom"/>
            <w:gridSpan w:val="3"/>
          </w:tcPr>
          <w:p>
            <w:pPr>
              <w:spacing w:after="0"/>
              <w:rPr>
                <w:sz w:val="13"/>
                <w:szCs w:val="13"/>
                <w:color w:val="auto"/>
              </w:rPr>
            </w:pPr>
          </w:p>
        </w:tc>
        <w:tc>
          <w:tcPr>
            <w:tcW w:w="1620" w:type="dxa"/>
            <w:vAlign w:val="bottom"/>
          </w:tcPr>
          <w:p>
            <w:pPr>
              <w:ind w:left="100"/>
              <w:spacing w:after="0" w:line="154" w:lineRule="exact"/>
              <w:rPr>
                <w:sz w:val="20"/>
                <w:szCs w:val="20"/>
                <w:color w:val="auto"/>
              </w:rPr>
            </w:pPr>
            <w:r>
              <w:rPr>
                <w:rFonts w:ascii="Times New Roman" w:cs="Times New Roman" w:eastAsia="Times New Roman" w:hAnsi="Times New Roman"/>
                <w:sz w:val="17"/>
                <w:szCs w:val="17"/>
                <w:color w:val="auto"/>
              </w:rPr>
              <w:t>Report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00" w:type="dxa"/>
            <w:vAlign w:val="bottom"/>
            <w:gridSpan w:val="10"/>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quarter ended</w:t>
            </w:r>
          </w:p>
        </w:tc>
        <w:tc>
          <w:tcPr>
            <w:tcW w:w="1620" w:type="dxa"/>
            <w:vAlign w:val="bottom"/>
            <w:shd w:val="clear" w:color="auto" w:fill="CCEEFF"/>
          </w:tcPr>
          <w:p>
            <w:pPr>
              <w:ind w:left="100"/>
              <w:spacing w:after="0" w:line="17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00" w:type="dxa"/>
            <w:vAlign w:val="bottom"/>
            <w:gridSpan w:val="10"/>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September 30, 2024, formatted in Inline Extensible Business Reporting Language (iXBRL) includes: (i) the</w:t>
            </w: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00" w:type="dxa"/>
            <w:vAlign w:val="bottom"/>
            <w:gridSpan w:val="10"/>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Condensed Consolidated Income Statements, (ii) the Condensed Consolidated Statements of Comprehensive</w:t>
            </w: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00" w:type="dxa"/>
            <w:vAlign w:val="bottom"/>
            <w:gridSpan w:val="10"/>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Income, (iii) the Condensed Consolidated Balance Sheets, (iv) the Condensed Consolidated Statements of Cash</w:t>
            </w: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00" w:type="dxa"/>
            <w:vAlign w:val="bottom"/>
            <w:gridSpan w:val="10"/>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Flows, (v) the Condensed Consolidated Statements of Equity and (vi) Notes to the Condensed Consolidated</w:t>
            </w: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00" w:type="dxa"/>
            <w:vAlign w:val="bottom"/>
            <w:gridSpan w:val="10"/>
          </w:tcPr>
          <w:p>
            <w:pPr>
              <w:spacing w:after="0" w:line="175" w:lineRule="exact"/>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September 30, 2024,</w:t>
            </w:r>
          </w:p>
        </w:tc>
        <w:tc>
          <w:tcPr>
            <w:tcW w:w="1620" w:type="dxa"/>
            <w:vAlign w:val="bottom"/>
          </w:tcPr>
          <w:p>
            <w:pPr>
              <w:ind w:left="100"/>
              <w:spacing w:after="0" w:line="17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formatted as Inline XBRL and contained in Exhibit 101</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Management contracts or compensatory plans and arrangements.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43"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00" w:lineRule="exact"/>
        <w:rPr>
          <w:sz w:val="20"/>
          <w:szCs w:val="20"/>
          <w:color w:val="auto"/>
        </w:rPr>
      </w:pPr>
    </w:p>
    <w:p>
      <w:pPr>
        <w:spacing w:after="0" w:line="332" w:lineRule="exact"/>
        <w:rPr>
          <w:sz w:val="20"/>
          <w:szCs w:val="20"/>
          <w:color w:val="auto"/>
        </w:rPr>
      </w:pPr>
    </w:p>
    <w:p>
      <w:pPr>
        <w:ind w:left="538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16510</wp:posOffset>
            </wp:positionV>
            <wp:extent cx="32594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22, 2024</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September 30,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Mr. Michael Abbott</w:t>
      </w:r>
    </w:p>
    <w:p>
      <w:pPr>
        <w:spacing w:after="0" w:line="200" w:lineRule="exact"/>
        <w:rPr>
          <w:sz w:val="20"/>
          <w:szCs w:val="20"/>
          <w:color w:val="auto"/>
        </w:rPr>
      </w:pPr>
    </w:p>
    <w:p>
      <w:pPr>
        <w:spacing w:after="0" w:line="29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Senior Advisor Consulting Agreement – revised as of September 25, 2024</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Dear Mike:</w:t>
      </w:r>
    </w:p>
    <w:p>
      <w:pPr>
        <w:spacing w:after="0" w:line="21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General Motors LLC wishes to enter into a Senior Advisor Consulting Agreement (“Agreement”) with you for consulting services beginning April 2, 2024, and ending December 31, 2024. In your capacity as Senior Advisor Consultant, you will be expected to be available, from time to time, to consult and provide guidance, advice and other assistance as may be requested by the Chair and Chief Executive Officer (“CEO”).</w:t>
      </w:r>
    </w:p>
    <w:p>
      <w:pPr>
        <w:spacing w:after="0" w:line="2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While it is understood that you will make your services available at all reasonable times, it is also recognized that the services and the time required therefore may vary with different monthly periods. Under this Agreement, you are not expected or required to work on a regular basis, but rather, to make yourself available as needed by the Chair and CEO.. For the months of April, May, and June, you will receive a monthly fee of Twenty-Five-Thousand Dollars ($25,000.00), payable monthly. For the months of July, August, and September, you will receive a monthly fee of Thirty-Five-Thousand Dollars ($35,000.00), payable monthly. For the months of October, November, and December, you will receive a monthly fee of Fifty-Thousand Dollars ($50,000.00), payable monthly. In addition, you will be reimbursed, upon submission of monthly expense reports, for your reasonable expenses, including travel (transportation and hotel), telephone and other incidental expenses necessarily incurred in connection with the services requested and furnished, conditioned upon their being in compliance with GM’s Expense Policy. Any expenses that are expected to be significant should be discussed in advance. In addition, you will receive the use of two company vehicles under the same provisions as the Senior Executive Vehicle Program.</w:t>
      </w:r>
    </w:p>
    <w:p>
      <w:pPr>
        <w:spacing w:after="0" w:line="25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parties agree and understand that you are free to work for, or consult with others during the period of this Agreement. You represent and agree that in the performance of services under this Agreement, your actions will not and shall not in any manner be contrary or detrimental to the best interests of General Motors Company and that General Motors LLC shall be the sole judge of such actions. It is understood and agreed, and you hereby represent, that in performing services under this Agreement, or in connection therewith, neither you nor any person acting on your behalf, has given or offered to give, or will give or offer, any sum of money, or other material consideration to any person, directly or indirectly as an inducement to influence the granting of any order to General Motors LLC, General Motors Company, or any of their related companies, for parts, supplies, equipment, or services whether or not such an act constitutes a violation of law.</w:t>
      </w:r>
    </w:p>
    <w:p>
      <w:pPr>
        <w:spacing w:after="0" w:line="19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Any inventions or improvements that you may conceive, make, invent, or suggest in connection with work as a consultant or knowledge affected by such work shall be promptly disclosed to General Motors LLC by you and shall become the absolute property of General Motors LLC or its designate. You shall at any time during the life of this Agreement or thereafter, at the request of General Motors LLC or any of its related companies or delegates, execute any patent papers covering such inventions or improvements, as well as any papers that General Motors LLC or its designate may consider necessary or helpful in the prosecution of applications for patent thereon, or in connection with litigation or controversy relating thereto, provided, however, that all expense incident to the filing of such applications and the prosecution thereof and the conduct of litigation shall be borne by General Motors LLC.</w:t>
      </w:r>
    </w:p>
    <w:p>
      <w:pPr>
        <w:spacing w:after="0" w:line="20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All information and data of whatsoever kind or nature furnished or made available to you by General Motors LLC or General Motors Company (including its direct and indirect subsidiaries, affiliates and joint ventures) or their representatives, in your capacity as a consultant, shall be treated as confidential and shall not be disclosed to anyone, in any manner whatsoever, either in whole or in part, except upon written authorization by General Motors LLC.</w:t>
      </w:r>
    </w:p>
    <w:p>
      <w:pPr>
        <w:spacing w:after="0" w:line="201"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April 2, 2024 is the date of your termination of employment and separation from service for purposes of all GM employee benefit plans and compensation arrangements, including any qualified and nonqualified</w:t>
      </w:r>
    </w:p>
    <w:p>
      <w:pPr>
        <w:sectPr>
          <w:pgSz w:w="11900" w:h="16838" w:orient="portrait"/>
          <w:cols w:equalWidth="0" w:num="1">
            <w:col w:w="11140"/>
          </w:cols>
          <w:pgMar w:left="420" w:top="106" w:right="339" w:bottom="1440" w:gutter="0" w:footer="0" w:header="0"/>
        </w:sectPr>
      </w:pPr>
    </w:p>
    <w:bookmarkStart w:id="55" w:name="page56"/>
    <w:bookmarkEnd w:id="55"/>
    <w:p>
      <w:pPr>
        <w:ind w:left="100" w:right="80"/>
        <w:spacing w:after="0" w:line="255" w:lineRule="auto"/>
        <w:rPr>
          <w:sz w:val="20"/>
          <w:szCs w:val="20"/>
          <w:color w:val="auto"/>
        </w:rPr>
      </w:pPr>
      <w:r>
        <w:rPr>
          <w:rFonts w:ascii="Arial" w:cs="Arial" w:eastAsia="Arial" w:hAnsi="Arial"/>
          <w:sz w:val="18"/>
          <w:szCs w:val="18"/>
          <w:color w:val="auto"/>
        </w:rPr>
        <w:t>deferred compensation arrangements, in which you currently participate. After that date, you will function as an independent contractor and will not have the status of an employee of General Motors LLC or General Motors Company (or any related company). You will not be eligible to accrue any new or additional benefits in any of General Motors’ employee benefit plans or programs. you understand and agree that you will not be a participant in any GM benefit plan by virtue of service as a senior advisor; for example, your services under this Agreement will not be factored in any way under any pension, welfare or benefit plan or program, e.g., the Salaried Retirement Program, the Executive Retirement Program (ERP), the Short Term Incentive Program (STIP), the Salaried Health Care Program, or the Long Term Incentive Program (LTIP).</w:t>
      </w:r>
    </w:p>
    <w:p>
      <w:pPr>
        <w:spacing w:after="0" w:line="167" w:lineRule="exact"/>
        <w:rPr>
          <w:sz w:val="20"/>
          <w:szCs w:val="20"/>
          <w:color w:val="auto"/>
        </w:rPr>
      </w:pPr>
    </w:p>
    <w:p>
      <w:pPr>
        <w:ind w:left="100"/>
        <w:spacing w:after="0" w:line="261" w:lineRule="auto"/>
        <w:rPr>
          <w:sz w:val="20"/>
          <w:szCs w:val="20"/>
          <w:color w:val="auto"/>
        </w:rPr>
      </w:pPr>
      <w:r>
        <w:rPr>
          <w:rFonts w:ascii="Arial" w:cs="Arial" w:eastAsia="Arial" w:hAnsi="Arial"/>
          <w:sz w:val="18"/>
          <w:szCs w:val="18"/>
          <w:color w:val="auto"/>
        </w:rPr>
        <w:t>Because, as a Senior Advisor, you are an independent contractor, General Motors LLC will report your fees to the IRS each year on a Form 1099; however, no deductions from your fees will be made, either for income tax or FICA tax purposes, or other statutory deductions, unless required to do so by some regulation or order. You are exclusively responsible for the payment of taxes relating to this Agreement and services under it.</w:t>
      </w:r>
    </w:p>
    <w:p>
      <w:pPr>
        <w:spacing w:after="0" w:line="201" w:lineRule="exact"/>
        <w:rPr>
          <w:sz w:val="20"/>
          <w:szCs w:val="20"/>
          <w:color w:val="auto"/>
        </w:rPr>
      </w:pPr>
    </w:p>
    <w:p>
      <w:pPr>
        <w:ind w:left="100" w:right="120"/>
        <w:spacing w:after="0" w:line="267" w:lineRule="auto"/>
        <w:rPr>
          <w:sz w:val="20"/>
          <w:szCs w:val="20"/>
          <w:color w:val="auto"/>
        </w:rPr>
      </w:pPr>
      <w:r>
        <w:rPr>
          <w:rFonts w:ascii="Arial" w:cs="Arial" w:eastAsia="Arial" w:hAnsi="Arial"/>
          <w:sz w:val="18"/>
          <w:szCs w:val="18"/>
          <w:color w:val="auto"/>
        </w:rPr>
        <w:t>This Agreement may be terminated by either party at any time upon written notice delivered to the other party at the address set forth below the signature of the party to whom such notice is addressed, except that the terms of this Agreement relating to intellectual property, confidentiality, and your status as an independent contractor shall survive.</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If the foregoing is acceptable to you, kindly endorse your acceptance and return to my attention.</w:t>
      </w:r>
    </w:p>
    <w:p>
      <w:pPr>
        <w:spacing w:after="0" w:line="25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Sincerely,</w:t>
      </w:r>
    </w:p>
    <w:p>
      <w:pPr>
        <w:spacing w:after="0" w:line="2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 Janice K. Uhlig</w:t>
      </w:r>
    </w:p>
    <w:p>
      <w:pPr>
        <w:spacing w:after="0" w:line="200" w:lineRule="exact"/>
        <w:rPr>
          <w:sz w:val="20"/>
          <w:szCs w:val="20"/>
          <w:color w:val="auto"/>
        </w:rPr>
      </w:pPr>
    </w:p>
    <w:p>
      <w:pPr>
        <w:spacing w:after="0" w:line="274"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Janice K. Uhlig Vice President</w:t>
      </w:r>
    </w:p>
    <w:p>
      <w:pPr>
        <w:spacing w:after="0" w:line="2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Global Total Rewards General Motors LLC</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Accepted this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September, 2024</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Michael Abbott</w:t>
      </w:r>
    </w:p>
    <w:p>
      <w:pPr>
        <w:sectPr>
          <w:pgSz w:w="11900" w:h="16838" w:orient="portrait"/>
          <w:cols w:equalWidth="0" w:num="1">
            <w:col w:w="11160"/>
          </w:cols>
          <w:pgMar w:left="320" w:top="1411" w:right="4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25768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576830"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22, 2024</w:t>
      </w:r>
    </w:p>
    <w:p>
      <w:pPr>
        <w:sectPr>
          <w:pgSz w:w="11900" w:h="16838" w:orient="portrait"/>
          <w:cols w:equalWidth="0" w:num="1">
            <w:col w:w="11240"/>
          </w:cols>
          <w:pgMar w:left="320" w:top="35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16510</wp:posOffset>
            </wp:positionV>
            <wp:extent cx="32766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spacing w:after="0" w:line="1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Paul A. Jacobson</w:t>
      </w:r>
    </w:p>
    <w:p>
      <w:pPr>
        <w:spacing w:after="0" w:line="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22, 2024</w:t>
      </w:r>
    </w:p>
    <w:p>
      <w:pPr>
        <w:sectPr>
          <w:pgSz w:w="11900" w:h="16838" w:orient="portrait"/>
          <w:cols w:equalWidth="0" w:num="1">
            <w:col w:w="11240"/>
          </w:cols>
          <w:pgMar w:left="320" w:top="359"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1" w:lineRule="exact"/>
        <w:rPr>
          <w:sz w:val="20"/>
          <w:szCs w:val="20"/>
          <w:color w:val="auto"/>
        </w:rPr>
      </w:pPr>
    </w:p>
    <w:p>
      <w:pPr>
        <w:jc w:val="both"/>
        <w:ind w:firstLine="202"/>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of General Motors Company (the “Company”) on Form 10-Q for the period ended September 30, 2024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204" w:lineRule="exact"/>
        <w:rPr>
          <w:sz w:val="20"/>
          <w:szCs w:val="20"/>
          <w:color w:val="auto"/>
        </w:rPr>
      </w:pPr>
    </w:p>
    <w:p>
      <w:pPr>
        <w:ind w:left="760" w:hanging="18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9" w:lineRule="exact"/>
        <w:rPr>
          <w:rFonts w:ascii="Times New Roman" w:cs="Times New Roman" w:eastAsia="Times New Roman" w:hAnsi="Times New Roman"/>
          <w:sz w:val="18"/>
          <w:szCs w:val="18"/>
          <w:color w:val="auto"/>
        </w:rPr>
      </w:pPr>
    </w:p>
    <w:p>
      <w:pPr>
        <w:ind w:left="760" w:hanging="18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2937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2937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A. Jacobson</w:t>
      </w: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22, 2024</w:t>
      </w:r>
    </w:p>
    <w:sectPr>
      <w:pgSz w:w="11900" w:h="16838" w:orient="portrait"/>
      <w:cols w:equalWidth="0" w:num="1">
        <w:col w:w="11240"/>
      </w:cols>
      <w:pgMar w:left="320" w:top="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Letter"/>
      <w:start w:val="1"/>
    </w:lvl>
  </w:abstractNum>
  <w:abstractNum w:abstractNumId="3">
    <w:nsid w:val="333AB105"/>
    <w:multiLevelType w:val="hybridMultilevel"/>
    <w:lvl w:ilvl="0">
      <w:lvlJc w:val="left"/>
      <w:lvlText w:val="(%1)"/>
      <w:numFmt w:val="lowerLetter"/>
      <w:start w:val="1"/>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lowerLetter"/>
      <w:start w:val="1"/>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decimal"/>
      <w:start w:val="3"/>
    </w:lvl>
  </w:abstractNum>
  <w:abstractNum w:abstractNumId="19">
    <w:nsid w:val="3A95F874"/>
    <w:multiLevelType w:val="hybridMultilevel"/>
    <w:lvl w:ilvl="0">
      <w:lvlJc w:val="left"/>
      <w:lvlText w:val="(%1)"/>
      <w:numFmt w:val="decimal"/>
      <w:start w:val="2"/>
    </w:lvl>
  </w:abstractNum>
  <w:abstractNum w:abstractNumId="20">
    <w:nsid w:val="8138641"/>
    <w:multiLevelType w:val="hybridMultilevel"/>
    <w:lvl w:ilvl="0">
      <w:lvlJc w:val="left"/>
      <w:lvlText w:val="(%1)"/>
      <w:numFmt w:val="decimal"/>
      <w:start w:val="3"/>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decimal"/>
      <w:start w:val="5"/>
    </w:lvl>
  </w:abstractNum>
  <w:abstractNum w:abstractNumId="33">
    <w:nsid w:val="3804823E"/>
    <w:multiLevelType w:val="hybridMultilevel"/>
    <w:lvl w:ilvl="0">
      <w:lvlJc w:val="left"/>
      <w:lvlText w:val="(%1)"/>
      <w:numFmt w:val="decimal"/>
      <w:start w:val="7"/>
    </w:lvl>
  </w:abstractNum>
  <w:abstractNum w:abstractNumId="34">
    <w:nsid w:val="77465F01"/>
    <w:multiLevelType w:val="hybridMultilevel"/>
    <w:lvl w:ilvl="0">
      <w:lvlJc w:val="left"/>
      <w:lvlText w:val="(%1)"/>
      <w:numFmt w:val="decimal"/>
      <w:start w:val="13"/>
    </w:lvl>
  </w:abstractNum>
  <w:abstractNum w:abstractNumId="35">
    <w:nsid w:val="7724C67E"/>
    <w:multiLevelType w:val="hybridMultilevel"/>
    <w:lvl w:ilvl="0">
      <w:lvlJc w:val="left"/>
      <w:lvlText w:val="(%1)"/>
      <w:numFmt w:val="lowerLetter"/>
      <w:start w:val="1"/>
    </w:lvl>
    <w:lvl w:ilvl="1">
      <w:lvlJc w:val="left"/>
      <w:lvlText w:val="*"/>
      <w:numFmt w:val="bullet"/>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76" Type="http://schemas.openxmlformats.org/officeDocument/2006/relationships/hyperlink" Target="https://www.sec.gov/Archives/edgar/data/1467858/000119312510279214/dex32.htm" TargetMode="External"/><Relationship Id="rId77" Type="http://schemas.openxmlformats.org/officeDocument/2006/relationships/hyperlink" Target="https://www.sec.gov/Archives/edgar/data/1467858/000119312524235250/d89565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2024-10-22T15:13:44Z</dcterms:created>
  <dcterms:modified xsi:type="dcterms:W3CDTF">2024-10-22T15:13:44Z</dcterms:modified>
</cp:coreProperties>
</file>