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83"/>
        </w:trPr>
        <w:tc>
          <w:tcPr>
            <w:tcW w:w="2080" w:type="dxa"/>
            <w:vAlign w:val="bottom"/>
          </w:tcPr>
          <w:p>
            <w:pPr>
              <w:spacing w:after="0"/>
              <w:rPr>
                <w:sz w:val="20"/>
                <w:szCs w:val="20"/>
                <w:color w:val="auto"/>
              </w:rPr>
            </w:pPr>
            <w:r>
              <w:rPr>
                <w:rFonts w:ascii="Times New Roman" w:cs="Times New Roman" w:eastAsia="Times New Roman" w:hAnsi="Times New Roman"/>
                <w:sz w:val="22"/>
                <w:szCs w:val="22"/>
                <w:color w:val="auto"/>
              </w:rPr>
              <w:t>SEC Form 3</w:t>
            </w:r>
          </w:p>
        </w:tc>
        <w:tc>
          <w:tcPr>
            <w:tcW w:w="7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2080" w:type="dxa"/>
            <w:vAlign w:val="bottom"/>
          </w:tcPr>
          <w:p>
            <w:pPr>
              <w:ind w:left="700"/>
              <w:spacing w:after="0" w:line="268" w:lineRule="exact"/>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80" w:type="dxa"/>
            <w:vAlign w:val="bottom"/>
          </w:tcPr>
          <w:p>
            <w:pPr>
              <w:spacing w:after="0"/>
              <w:rPr>
                <w:sz w:val="2"/>
                <w:szCs w:val="2"/>
                <w:color w:val="auto"/>
              </w:rPr>
            </w:pPr>
          </w:p>
        </w:tc>
        <w:tc>
          <w:tcPr>
            <w:tcW w:w="7120" w:type="dxa"/>
            <w:vAlign w:val="bottom"/>
            <w:vMerge w:val="restart"/>
          </w:tcPr>
          <w:p>
            <w:pPr>
              <w:jc w:val="center"/>
              <w:ind w:left="4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7"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1"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9545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954520"/>
                    </a:xfrm>
                    <a:prstGeom prst="rect">
                      <a:avLst/>
                    </a:prstGeom>
                    <a:noFill/>
                  </pic:spPr>
                </pic:pic>
              </a:graphicData>
            </a:graphic>
          </wp:anchor>
        </w:drawing>
      </w:r>
    </w:p>
    <w:p>
      <w:pPr>
        <w:sectPr>
          <w:pgSz w:w="11900" w:h="16838" w:orient="portrait"/>
          <w:cols w:equalWidth="0" w:num="1">
            <w:col w:w="11420"/>
          </w:cols>
          <w:pgMar w:left="240" w:top="220"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6"/>
          </w:tcPr>
          <w:p>
            <w:pPr>
              <w:jc w:val="center"/>
              <w:ind w:right="592"/>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18"/>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40" w:type="dxa"/>
            <w:vAlign w:val="bottom"/>
            <w:gridSpan w:val="3"/>
            <w:vMerge w:val="restart"/>
          </w:tcPr>
          <w:p>
            <w:pPr>
              <w:spacing w:after="0"/>
              <w:rPr>
                <w:rFonts w:ascii="Times New Roman" w:cs="Times New Roman" w:eastAsia="Times New Roman" w:hAnsi="Times New Roman"/>
                <w:sz w:val="22"/>
                <w:szCs w:val="22"/>
                <w:color w:val="0000EE"/>
              </w:rPr>
            </w:pPr>
            <w:hyperlink r:id="rId11">
              <w:r>
                <w:rPr>
                  <w:rFonts w:ascii="Times New Roman" w:cs="Times New Roman" w:eastAsia="Times New Roman" w:hAnsi="Times New Roman"/>
                  <w:sz w:val="22"/>
                  <w:szCs w:val="22"/>
                  <w:color w:val="0000EE"/>
                </w:rPr>
                <w:t>DeLuca James B.</w:t>
              </w:r>
            </w:hyperlink>
          </w:p>
        </w:tc>
        <w:tc>
          <w:tcPr>
            <w:tcW w:w="1380" w:type="dxa"/>
            <w:vAlign w:val="bottom"/>
          </w:tcPr>
          <w:p>
            <w:pPr>
              <w:spacing w:after="0"/>
              <w:rPr>
                <w:sz w:val="10"/>
                <w:szCs w:val="10"/>
                <w:color w:val="auto"/>
              </w:rPr>
            </w:pPr>
          </w:p>
        </w:tc>
        <w:tc>
          <w:tcPr>
            <w:tcW w:w="1380" w:type="dxa"/>
            <w:vAlign w:val="bottom"/>
          </w:tcPr>
          <w:p>
            <w:pPr>
              <w:ind w:left="160"/>
              <w:spacing w:after="0" w:line="118" w:lineRule="exact"/>
              <w:rPr>
                <w:sz w:val="20"/>
                <w:szCs w:val="20"/>
                <w:color w:val="auto"/>
              </w:rPr>
            </w:pPr>
            <w:r>
              <w:rPr>
                <w:rFonts w:ascii="Arial" w:cs="Arial" w:eastAsia="Arial" w:hAnsi="Arial"/>
                <w:sz w:val="12"/>
                <w:szCs w:val="12"/>
                <w:color w:val="auto"/>
              </w:rPr>
              <w:t>Requiring Statement</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1380" w:type="dxa"/>
            <w:vAlign w:val="bottom"/>
          </w:tcPr>
          <w:p>
            <w:pPr>
              <w:spacing w:after="0"/>
              <w:rPr>
                <w:sz w:val="13"/>
                <w:szCs w:val="13"/>
                <w:color w:val="auto"/>
              </w:rPr>
            </w:pPr>
          </w:p>
        </w:tc>
        <w:tc>
          <w:tcPr>
            <w:tcW w:w="1380" w:type="dxa"/>
            <w:vAlign w:val="bottom"/>
          </w:tcPr>
          <w:p>
            <w:pPr>
              <w:ind w:left="160"/>
              <w:spacing w:after="0" w:line="152"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80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Times New Roman" w:cs="Times New Roman" w:eastAsia="Times New Roman" w:hAnsi="Times New Roman"/>
                <w:sz w:val="18"/>
                <w:szCs w:val="18"/>
                <w:color w:val="0000FF"/>
              </w:rPr>
              <w:t>02/01/2014</w:t>
            </w: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0"/>
                <w:szCs w:val="20"/>
                <w:color w:val="auto"/>
              </w:rPr>
            </w:pPr>
            <w:r>
              <w:rPr>
                <w:rFonts w:ascii="Arial" w:cs="Arial" w:eastAsia="Arial" w:hAnsi="Arial"/>
                <w:sz w:val="14"/>
                <w:szCs w:val="14"/>
                <w:color w:val="auto"/>
              </w:rPr>
              <w:t>(Last)</w:t>
            </w:r>
          </w:p>
        </w:tc>
        <w:tc>
          <w:tcPr>
            <w:tcW w:w="1120" w:type="dxa"/>
            <w:vAlign w:val="bottom"/>
            <w:gridSpan w:val="2"/>
          </w:tcPr>
          <w:p>
            <w:pPr>
              <w:jc w:val="center"/>
              <w:ind w:right="20"/>
              <w:spacing w:after="0"/>
              <w:rPr>
                <w:sz w:val="20"/>
                <w:szCs w:val="20"/>
                <w:color w:val="auto"/>
              </w:rPr>
            </w:pPr>
            <w:r>
              <w:rPr>
                <w:rFonts w:ascii="Arial" w:cs="Arial" w:eastAsia="Arial" w:hAnsi="Arial"/>
                <w:sz w:val="14"/>
                <w:szCs w:val="14"/>
                <w:color w:val="auto"/>
                <w:w w:val="92"/>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0"/>
        </w:trPr>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2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300 RENAISSANCE CENTER</w:t>
            </w: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M/C: 482-C25-A36</w:t>
      </w:r>
    </w:p>
    <w:p>
      <w:pPr>
        <w:spacing w:after="0" w:line="290" w:lineRule="exact"/>
        <w:rPr>
          <w:sz w:val="24"/>
          <w:szCs w:val="24"/>
          <w:color w:val="auto"/>
        </w:rPr>
      </w:pPr>
    </w:p>
    <w:p>
      <w:pPr>
        <w:ind w:left="80"/>
        <w:spacing w:after="0"/>
        <w:rPr>
          <w:sz w:val="20"/>
          <w:szCs w:val="20"/>
          <w:color w:val="auto"/>
        </w:rPr>
      </w:pPr>
      <w:r>
        <w:rPr>
          <w:rFonts w:ascii="Arial" w:cs="Arial" w:eastAsia="Arial" w:hAnsi="Arial"/>
          <w:sz w:val="14"/>
          <w:szCs w:val="14"/>
          <w:color w:val="auto"/>
        </w:rPr>
        <w:t>(Street)</w:t>
      </w:r>
    </w:p>
    <w:p>
      <w:pPr>
        <w:spacing w:after="0" w:line="30" w:lineRule="exact"/>
        <w:rPr>
          <w:sz w:val="24"/>
          <w:szCs w:val="24"/>
          <w:color w:val="auto"/>
        </w:rPr>
      </w:pPr>
    </w:p>
    <w:p>
      <w:pPr>
        <w:ind w:left="120"/>
        <w:spacing w:after="0"/>
        <w:tabs>
          <w:tab w:leader="none" w:pos="1200" w:val="left"/>
          <w:tab w:leader="none" w:pos="2280" w:val="left"/>
        </w:tabs>
        <w:rPr>
          <w:sz w:val="20"/>
          <w:szCs w:val="20"/>
          <w:color w:val="auto"/>
        </w:rPr>
      </w:pPr>
      <w:r>
        <w:rPr>
          <w:rFonts w:ascii="Times New Roman" w:cs="Times New Roman" w:eastAsia="Times New Roman" w:hAnsi="Times New Roman"/>
          <w:sz w:val="18"/>
          <w:szCs w:val="18"/>
          <w:color w:val="0000FF"/>
        </w:rPr>
        <w:t>DETROIT</w:t>
      </w:r>
      <w:r>
        <w:rPr>
          <w:sz w:val="20"/>
          <w:szCs w:val="20"/>
          <w:color w:val="auto"/>
        </w:rPr>
        <w:tab/>
      </w:r>
      <w:r>
        <w:rPr>
          <w:rFonts w:ascii="Times New Roman" w:cs="Times New Roman" w:eastAsia="Times New Roman" w:hAnsi="Times New Roman"/>
          <w:sz w:val="18"/>
          <w:szCs w:val="18"/>
          <w:color w:val="0000FF"/>
        </w:rPr>
        <w:t>MI</w:t>
      </w:r>
      <w:r>
        <w:rPr>
          <w:sz w:val="20"/>
          <w:szCs w:val="20"/>
          <w:color w:val="auto"/>
        </w:rPr>
        <w:tab/>
      </w:r>
      <w:r>
        <w:rPr>
          <w:rFonts w:ascii="Times New Roman" w:cs="Times New Roman" w:eastAsia="Times New Roman" w:hAnsi="Times New Roman"/>
          <w:sz w:val="16"/>
          <w:szCs w:val="16"/>
          <w:color w:val="0000FF"/>
        </w:rPr>
        <w:t>48265-3000</w:t>
      </w:r>
    </w:p>
    <w:p>
      <w:pPr>
        <w:spacing w:after="0" w:line="20" w:lineRule="exact"/>
        <w:rPr>
          <w:sz w:val="24"/>
          <w:szCs w:val="24"/>
          <w:color w:val="auto"/>
        </w:rPr>
      </w:pPr>
      <w:r>
        <w:rPr>
          <w:sz w:val="24"/>
          <w:szCs w:val="24"/>
          <w:color w:val="auto"/>
        </w:rPr>
        <w:br w:type="column"/>
      </w:r>
    </w:p>
    <w:p>
      <w:pPr>
        <w:spacing w:after="0" w:line="85"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2">
        <w:r>
          <w:rPr>
            <w:rFonts w:ascii="Times New Roman" w:cs="Times New Roman" w:eastAsia="Times New Roman" w:hAnsi="Times New Roman"/>
            <w:sz w:val="22"/>
            <w:szCs w:val="22"/>
            <w:u w:val="single" w:color="auto"/>
            <w:color w:val="0000EE"/>
          </w:rPr>
          <w:t>General Motors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GM</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80"/>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5"/>
                <w:szCs w:val="15"/>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3"/>
        </w:trPr>
        <w:tc>
          <w:tcPr>
            <w:tcW w:w="4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2"/>
                <w:szCs w:val="2"/>
                <w:color w:val="auto"/>
              </w:rPr>
            </w:pPr>
          </w:p>
        </w:tc>
        <w:tc>
          <w:tcPr>
            <w:tcW w:w="26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18"/>
        </w:trPr>
        <w:tc>
          <w:tcPr>
            <w:tcW w:w="420" w:type="dxa"/>
            <w:vAlign w:val="bottom"/>
            <w:vMerge w:val="continue"/>
          </w:tcPr>
          <w:p>
            <w:pPr>
              <w:spacing w:after="0"/>
              <w:rPr>
                <w:sz w:val="10"/>
                <w:szCs w:val="10"/>
                <w:color w:val="auto"/>
              </w:rPr>
            </w:pPr>
          </w:p>
        </w:tc>
        <w:tc>
          <w:tcPr>
            <w:tcW w:w="1420" w:type="dxa"/>
            <w:vAlign w:val="bottom"/>
            <w:vMerge w:val="continue"/>
          </w:tcPr>
          <w:p>
            <w:pPr>
              <w:spacing w:after="0"/>
              <w:rPr>
                <w:sz w:val="10"/>
                <w:szCs w:val="10"/>
                <w:color w:val="auto"/>
              </w:rPr>
            </w:pPr>
          </w:p>
        </w:tc>
        <w:tc>
          <w:tcPr>
            <w:tcW w:w="1480" w:type="dxa"/>
            <w:vAlign w:val="bottom"/>
            <w:vMerge w:val="continue"/>
          </w:tcPr>
          <w:p>
            <w:pPr>
              <w:spacing w:after="0"/>
              <w:rPr>
                <w:sz w:val="10"/>
                <w:szCs w:val="10"/>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13"/>
        </w:trPr>
        <w:tc>
          <w:tcPr>
            <w:tcW w:w="420" w:type="dxa"/>
            <w:vAlign w:val="bottom"/>
          </w:tcPr>
          <w:p>
            <w:pPr>
              <w:spacing w:after="0"/>
              <w:rPr>
                <w:sz w:val="9"/>
                <w:szCs w:val="9"/>
                <w:color w:val="auto"/>
              </w:rPr>
            </w:pPr>
          </w:p>
        </w:tc>
        <w:tc>
          <w:tcPr>
            <w:tcW w:w="1420" w:type="dxa"/>
            <w:vAlign w:val="bottom"/>
            <w:vMerge w:val="continue"/>
          </w:tcPr>
          <w:p>
            <w:pPr>
              <w:spacing w:after="0"/>
              <w:rPr>
                <w:sz w:val="9"/>
                <w:szCs w:val="9"/>
                <w:color w:val="auto"/>
              </w:rPr>
            </w:pPr>
          </w:p>
        </w:tc>
        <w:tc>
          <w:tcPr>
            <w:tcW w:w="1480" w:type="dxa"/>
            <w:vAlign w:val="bottom"/>
            <w:vMerge w:val="continue"/>
          </w:tcPr>
          <w:p>
            <w:pPr>
              <w:spacing w:after="0"/>
              <w:rPr>
                <w:sz w:val="9"/>
                <w:szCs w:val="9"/>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320"/>
              <w:spacing w:after="0"/>
              <w:rPr>
                <w:sz w:val="20"/>
                <w:szCs w:val="20"/>
                <w:color w:val="auto"/>
              </w:rPr>
            </w:pPr>
            <w:r>
              <w:rPr>
                <w:rFonts w:ascii="Times New Roman" w:cs="Times New Roman" w:eastAsia="Times New Roman" w:hAnsi="Times New Roman"/>
                <w:sz w:val="18"/>
                <w:szCs w:val="18"/>
                <w:color w:val="0000FF"/>
              </w:rPr>
              <w:t>Executive 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420" w:type="dxa"/>
            <w:vAlign w:val="bottom"/>
          </w:tcPr>
          <w:p>
            <w:pPr>
              <w:spacing w:after="0"/>
              <w:rPr>
                <w:sz w:val="20"/>
                <w:szCs w:val="20"/>
                <w:color w:val="auto"/>
              </w:rPr>
            </w:pPr>
          </w:p>
        </w:tc>
        <w:tc>
          <w:tcPr>
            <w:tcW w:w="29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26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spacing w:after="0" w:line="4"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0" w:right="239" w:bottom="0" w:gutter="0" w:footer="0" w:header="0"/>
          <w:type w:val="continuous"/>
        </w:sectPr>
      </w:pPr>
    </w:p>
    <w:p>
      <w:pPr>
        <w:spacing w:after="0" w:line="5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8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90"/>
        </w:trPr>
        <w:tc>
          <w:tcPr>
            <w:tcW w:w="2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6"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356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356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41"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41"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Date</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3"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186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vMerge w:val="continue"/>
          </w:tcPr>
          <w:p>
            <w:pPr>
              <w:spacing w:after="0"/>
              <w:rPr>
                <w:sz w:val="16"/>
                <w:szCs w:val="16"/>
                <w:color w:val="auto"/>
              </w:rPr>
            </w:pP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35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Restricted Stock Units</w:t>
            </w:r>
            <w:r>
              <w:rPr>
                <w:rFonts w:ascii="Times New Roman" w:cs="Times New Roman" w:eastAsia="Times New Roman" w:hAnsi="Times New Roman"/>
                <w:sz w:val="22"/>
                <w:szCs w:val="22"/>
                <w:color w:val="008000"/>
                <w:vertAlign w:val="superscript"/>
              </w:rPr>
              <w:t>(1)(2)</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w w:val="96"/>
              </w:rPr>
              <w:t>10,027</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Restricted Stock Units</w:t>
            </w:r>
            <w:r>
              <w:rPr>
                <w:rFonts w:ascii="Times New Roman" w:cs="Times New Roman" w:eastAsia="Times New Roman" w:hAnsi="Times New Roman"/>
                <w:sz w:val="22"/>
                <w:szCs w:val="22"/>
                <w:color w:val="008000"/>
                <w:vertAlign w:val="superscript"/>
              </w:rPr>
              <w:t>(1)(3)</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(1)</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(1)</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w w:val="96"/>
              </w:rPr>
              <w:t>15,402</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(1)</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(4)(5)</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779</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(4)(6)</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801</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(4)(7)</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w w:val="98"/>
              </w:rPr>
              <w:t>1,200</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(4)(8)</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w w:val="98"/>
              </w:rPr>
              <w:t>1,205</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(4)(9)</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714</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(4)(10)</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714</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(4)(11)</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w w:val="88"/>
              </w:rPr>
              <w:t>611</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(4)(12)</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496</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(4)(13)</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631</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(4)(14)</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632</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(4)(15)</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584</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Salary Stock Units</w:t>
            </w:r>
            <w:r>
              <w:rPr>
                <w:rFonts w:ascii="Times New Roman" w:cs="Times New Roman" w:eastAsia="Times New Roman" w:hAnsi="Times New Roman"/>
                <w:sz w:val="22"/>
                <w:szCs w:val="22"/>
                <w:color w:val="008000"/>
                <w:vertAlign w:val="superscript"/>
              </w:rPr>
              <w:t>(4)(16)</w:t>
            </w:r>
          </w:p>
        </w:tc>
        <w:tc>
          <w:tcPr>
            <w:tcW w:w="880" w:type="dxa"/>
            <w:vAlign w:val="bottom"/>
            <w:tcBorders>
              <w:bottom w:val="single" w:sz="8" w:color="2C2C2C"/>
            </w:tcBorders>
          </w:tcPr>
          <w:p>
            <w:pPr>
              <w:jc w:val="right"/>
              <w:ind w:right="321"/>
              <w:spacing w:after="0"/>
              <w:rPr>
                <w:sz w:val="20"/>
                <w:szCs w:val="20"/>
                <w:color w:val="auto"/>
              </w:rPr>
            </w:pPr>
            <w:r>
              <w:rPr>
                <w:rFonts w:ascii="Times New Roman" w:cs="Times New Roman" w:eastAsia="Times New Roman" w:hAnsi="Times New Roman"/>
                <w:sz w:val="11"/>
                <w:szCs w:val="11"/>
                <w:color w:val="008000"/>
              </w:rPr>
              <w:t>(4)</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1860" w:type="dxa"/>
            <w:vAlign w:val="bottom"/>
            <w:tcBorders>
              <w:bottom w:val="single" w:sz="8" w:color="2C2C2C"/>
            </w:tcBorders>
          </w:tcPr>
          <w:p>
            <w:pPr>
              <w:ind w:left="500"/>
              <w:spacing w:after="0"/>
              <w:rPr>
                <w:sz w:val="20"/>
                <w:szCs w:val="20"/>
                <w:color w:val="auto"/>
              </w:rPr>
            </w:pPr>
            <w:r>
              <w:rPr>
                <w:rFonts w:ascii="Times New Roman" w:cs="Times New Roman" w:eastAsia="Times New Roman" w:hAnsi="Times New Roman"/>
                <w:sz w:val="18"/>
                <w:szCs w:val="18"/>
                <w:color w:val="0000FF"/>
              </w:rPr>
              <w:t>Common Stock</w:t>
            </w:r>
          </w:p>
        </w:tc>
        <w:tc>
          <w:tcPr>
            <w:tcW w:w="900" w:type="dxa"/>
            <w:vAlign w:val="bottom"/>
            <w:tcBorders>
              <w:bottom w:val="single" w:sz="8" w:color="2C2C2C"/>
            </w:tcBorders>
          </w:tcPr>
          <w:p>
            <w:pPr>
              <w:jc w:val="center"/>
              <w:ind w:left="138"/>
              <w:spacing w:after="0"/>
              <w:rPr>
                <w:sz w:val="20"/>
                <w:szCs w:val="20"/>
                <w:color w:val="auto"/>
              </w:rPr>
            </w:pPr>
            <w:r>
              <w:rPr>
                <w:rFonts w:ascii="Times New Roman" w:cs="Times New Roman" w:eastAsia="Times New Roman" w:hAnsi="Times New Roman"/>
                <w:sz w:val="18"/>
                <w:szCs w:val="18"/>
                <w:color w:val="0000FF"/>
              </w:rPr>
              <w:t>515</w:t>
            </w:r>
          </w:p>
        </w:tc>
        <w:tc>
          <w:tcPr>
            <w:tcW w:w="880" w:type="dxa"/>
            <w:vAlign w:val="bottom"/>
            <w:tcBorders>
              <w:bottom w:val="single" w:sz="8" w:color="2C2C2C"/>
            </w:tcBorders>
          </w:tcPr>
          <w:p>
            <w:pPr>
              <w:jc w:val="right"/>
              <w:ind w:right="320"/>
              <w:spacing w:after="0"/>
              <w:rPr>
                <w:sz w:val="20"/>
                <w:szCs w:val="20"/>
                <w:color w:val="auto"/>
              </w:rPr>
            </w:pPr>
            <w:r>
              <w:rPr>
                <w:rFonts w:ascii="Times New Roman" w:cs="Times New Roman" w:eastAsia="Times New Roman" w:hAnsi="Times New Roman"/>
                <w:sz w:val="11"/>
                <w:szCs w:val="11"/>
                <w:color w:val="008000"/>
              </w:rPr>
              <w:t>(4)</w:t>
            </w:r>
          </w:p>
        </w:tc>
        <w:tc>
          <w:tcPr>
            <w:tcW w:w="88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5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8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8" w:lineRule="exact"/>
        <w:rPr>
          <w:sz w:val="24"/>
          <w:szCs w:val="24"/>
          <w:color w:val="auto"/>
        </w:rPr>
      </w:pPr>
    </w:p>
    <w:p>
      <w:pPr>
        <w:ind w:left="40" w:right="80" w:firstLine="9"/>
        <w:spacing w:after="0" w:line="234"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Restricted Stock Units ("RSUs") are awarded under the General Motors Company 2009 Long-Term Incentive Plan (the "GMLTIP"). Each RSU represents a right to receive one share of the Company 's common stock ("Stock") upon settlement. The RSUs do not have an expiration date or carry a conversion or exercise price. RSUs are settled when they vest provided that all the conditions in the GMLTIP have been satisfied.</w:t>
      </w:r>
    </w:p>
    <w:p>
      <w:pPr>
        <w:spacing w:after="0" w:line="28" w:lineRule="exact"/>
        <w:rPr>
          <w:rFonts w:ascii="Times New Roman" w:cs="Times New Roman" w:eastAsia="Times New Roman" w:hAnsi="Times New Roman"/>
          <w:sz w:val="14"/>
          <w:szCs w:val="14"/>
          <w:color w:val="008000"/>
        </w:rPr>
      </w:pPr>
    </w:p>
    <w:p>
      <w:pPr>
        <w:ind w:left="40" w:right="42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RSUs reported in this item were awarded on March 15, 2012 pursuant to the GMLTIP. Of these RSUs, 6,685 will vest on March 15, 2014, and 3,342 will vest on March 15, 2015, provided that the reporting person remains continuously employed through the vesting date.</w:t>
      </w:r>
    </w:p>
    <w:p>
      <w:pPr>
        <w:spacing w:after="0" w:line="27" w:lineRule="exact"/>
        <w:rPr>
          <w:rFonts w:ascii="Times New Roman" w:cs="Times New Roman" w:eastAsia="Times New Roman" w:hAnsi="Times New Roman"/>
          <w:sz w:val="14"/>
          <w:szCs w:val="14"/>
          <w:color w:val="008000"/>
        </w:rPr>
      </w:pPr>
    </w:p>
    <w:p>
      <w:pPr>
        <w:ind w:left="40" w:right="180" w:firstLine="9"/>
        <w:spacing w:after="0" w:line="241" w:lineRule="auto"/>
        <w:tabs>
          <w:tab w:leader="none" w:pos="175"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RSUs reported in this item were awarded on March 1, 2013 pursuant to the GMLTIP. Of these RSUs, 249 will vest on March 1, 2014, 7,436 will vest on March 15, 2015, and 717 will vest on March 1, 2015, provided that the reporting person remains continuously employed through the vesting date.</w:t>
      </w:r>
    </w:p>
    <w:p>
      <w:pPr>
        <w:spacing w:after="0" w:line="27" w:lineRule="exact"/>
        <w:rPr>
          <w:rFonts w:ascii="Times New Roman" w:cs="Times New Roman" w:eastAsia="Times New Roman" w:hAnsi="Times New Roman"/>
          <w:sz w:val="14"/>
          <w:szCs w:val="14"/>
          <w:color w:val="008000"/>
        </w:rPr>
      </w:pPr>
    </w:p>
    <w:p>
      <w:pPr>
        <w:jc w:val="both"/>
        <w:ind w:left="40" w:right="80" w:firstLine="9"/>
        <w:spacing w:after="0" w:line="279" w:lineRule="auto"/>
        <w:tabs>
          <w:tab w:leader="none" w:pos="175"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Salary Stock Units ("SSUs") are awarded under the General Motors Company Salary Stock Plan. Each SSU is the economic equivalent of one share of the Stock. Grants of SSUs are fully vested when made and will be settled in three equal, annual installments beginning one year after the date of grant. The GMSSP gives the employee the option of having a settlement made by delivery of the Stock or of cash in an amount equal to the fair market value of the Stock as of the applicable anniversary date of the SSUs' grant. Under the GMSSP, the fair value of the Stock is the average of the high and low trading prices for the Stock as reported on the New York Stock Exchange, on which it is listed, on the date of the transaction. SSUs do not have an exercisable or expiration date or an exercise or conversion price.</w:t>
      </w:r>
    </w:p>
    <w:p>
      <w:pPr>
        <w:spacing w:after="0" w:line="6" w:lineRule="exact"/>
        <w:rPr>
          <w:rFonts w:ascii="Times New Roman" w:cs="Times New Roman" w:eastAsia="Times New Roman" w:hAnsi="Times New Roman"/>
          <w:sz w:val="12"/>
          <w:szCs w:val="12"/>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March 31, 2011 and will be settled on March 31, 2014.</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June 30, 2011 and will be settled on June 30, 2014.</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September 30, 2011 and will be settled on September 30, 2014.</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December 31, 2011 and will be settled on December 31, 2014.</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The SSUs reported in this item were attributable nunc pro tunc to the first quarter of 2012 and granted on June 30, 2012, and will be settled in equal installments on March 31, 2014 and March 31, 2015.</w:t>
      </w:r>
    </w:p>
    <w:p>
      <w:pPr>
        <w:spacing w:after="0" w:line="64" w:lineRule="exact"/>
        <w:rPr>
          <w:rFonts w:ascii="Times New Roman" w:cs="Times New Roman" w:eastAsia="Times New Roman" w:hAnsi="Times New Roman"/>
          <w:sz w:val="12"/>
          <w:szCs w:val="12"/>
          <w:color w:val="008000"/>
        </w:rPr>
      </w:pPr>
    </w:p>
    <w:p>
      <w:pPr>
        <w:ind w:left="260" w:hanging="211"/>
        <w:spacing w:after="0"/>
        <w:tabs>
          <w:tab w:leader="none" w:pos="26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June 30, 2012 and will be settled in equal installments on June 30, 2014 and June 30, 2015.</w:t>
      </w:r>
    </w:p>
    <w:p>
      <w:pPr>
        <w:spacing w:after="0" w:line="41" w:lineRule="exact"/>
        <w:rPr>
          <w:rFonts w:ascii="Times New Roman" w:cs="Times New Roman" w:eastAsia="Times New Roman" w:hAnsi="Times New Roman"/>
          <w:sz w:val="14"/>
          <w:szCs w:val="14"/>
          <w:color w:val="008000"/>
        </w:rPr>
      </w:pPr>
    </w:p>
    <w:p>
      <w:pPr>
        <w:ind w:left="240" w:hanging="191"/>
        <w:spacing w:after="0"/>
        <w:tabs>
          <w:tab w:leader="none" w:pos="240" w:val="left"/>
        </w:tabs>
        <w:numPr>
          <w:ilvl w:val="0"/>
          <w:numId w:val="1"/>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September 30, 2012; 306 will be settled on September 30, 2014 and the remainder on September 30, 2015.</w:t>
      </w:r>
    </w:p>
    <w:p>
      <w:pPr>
        <w:sectPr>
          <w:pgSz w:w="11900" w:h="16838" w:orient="portrait"/>
          <w:cols w:equalWidth="0" w:num="1">
            <w:col w:w="11420"/>
          </w:cols>
          <w:pgMar w:left="240" w:top="220" w:right="239" w:bottom="0" w:gutter="0" w:footer="0" w:header="0"/>
          <w:type w:val="continuous"/>
        </w:sectPr>
      </w:pPr>
    </w:p>
    <w:bookmarkStart w:id="1" w:name="page2"/>
    <w:bookmarkEnd w:id="1"/>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December 31, 2012 and will be settled in equal installments on December 31, 2014 and December 31, 2015.</w:t>
      </w:r>
    </w:p>
    <w:p>
      <w:pPr>
        <w:spacing w:after="0" w:line="41" w:lineRule="exact"/>
        <w:rPr>
          <w:rFonts w:ascii="Times New Roman" w:cs="Times New Roman" w:eastAsia="Times New Roman" w:hAnsi="Times New Roman"/>
          <w:sz w:val="14"/>
          <w:szCs w:val="14"/>
          <w:color w:val="008000"/>
        </w:rPr>
      </w:pPr>
    </w:p>
    <w:p>
      <w:pPr>
        <w:ind w:right="200" w:firstLine="9"/>
        <w:spacing w:after="0" w:line="241" w:lineRule="auto"/>
        <w:tabs>
          <w:tab w:leader="none" w:pos="20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attributable nunc pro tunc to the first quarter of 2013 and granted on June 30, 2013. Of these RSUs, 211 will be settled on March 31, 2014 and the remainder will be settled in equal installments on March 31, 2015, and March 31, 2016.</w:t>
      </w:r>
    </w:p>
    <w:p>
      <w:pPr>
        <w:spacing w:after="0" w:line="27" w:lineRule="exact"/>
        <w:rPr>
          <w:rFonts w:ascii="Times New Roman" w:cs="Times New Roman" w:eastAsia="Times New Roman" w:hAnsi="Times New Roman"/>
          <w:sz w:val="14"/>
          <w:szCs w:val="14"/>
          <w:color w:val="008000"/>
        </w:rPr>
      </w:pPr>
    </w:p>
    <w:p>
      <w:pPr>
        <w:ind w:left="220" w:hanging="211"/>
        <w:spacing w:after="0"/>
        <w:tabs>
          <w:tab w:leader="none" w:pos="22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June 30, 2013. Of these RSUs, 211 will be settled on June 30, 2014 and on June 30, 2015, and 210 will be settled on June 30, 2016.</w:t>
      </w:r>
    </w:p>
    <w:p>
      <w:pPr>
        <w:spacing w:after="0" w:line="41" w:lineRule="exact"/>
        <w:rPr>
          <w:rFonts w:ascii="Times New Roman" w:cs="Times New Roman" w:eastAsia="Times New Roman" w:hAnsi="Times New Roman"/>
          <w:sz w:val="14"/>
          <w:szCs w:val="14"/>
          <w:color w:val="008000"/>
        </w:rPr>
      </w:pPr>
    </w:p>
    <w:p>
      <w:pPr>
        <w:ind w:firstLine="9"/>
        <w:spacing w:after="0" w:line="241" w:lineRule="auto"/>
        <w:tabs>
          <w:tab w:leader="none" w:pos="20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September 30, 2013. Of these RSUs, 195 will be settled on September 30, 2014 and on September 30, 2015, and the remainder will be settled September 30, 2016.</w:t>
      </w:r>
    </w:p>
    <w:p>
      <w:pPr>
        <w:spacing w:after="0" w:line="27" w:lineRule="exact"/>
        <w:rPr>
          <w:rFonts w:ascii="Times New Roman" w:cs="Times New Roman" w:eastAsia="Times New Roman" w:hAnsi="Times New Roman"/>
          <w:sz w:val="14"/>
          <w:szCs w:val="14"/>
          <w:color w:val="008000"/>
        </w:rPr>
      </w:pPr>
    </w:p>
    <w:p>
      <w:pPr>
        <w:ind w:right="80" w:firstLine="9"/>
        <w:spacing w:after="0" w:line="241" w:lineRule="auto"/>
        <w:tabs>
          <w:tab w:leader="none" w:pos="203"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SSUs reported in this item were granted on December 31, 2013. Of these RSUs, 172 will be settled on December 31, 2014 and on December 31, 2015, and the remainder will be settled December 31, 2016.</w:t>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00" w:lineRule="exact"/>
        <w:rPr>
          <w:sz w:val="20"/>
          <w:szCs w:val="20"/>
          <w:color w:val="auto"/>
        </w:rPr>
      </w:pPr>
    </w:p>
    <w:tbl>
      <w:tblPr>
        <w:tblLayout w:type="fixed"/>
        <w:tblInd w:w="6820" w:type="dxa"/>
        <w:tblCellMar>
          <w:top w:w="0" w:type="dxa"/>
          <w:left w:w="0" w:type="dxa"/>
          <w:bottom w:w="0" w:type="dxa"/>
          <w:right w:w="0" w:type="dxa"/>
        </w:tblCellMar>
      </w:tblPr>
      <w:tr>
        <w:trPr>
          <w:trHeight w:val="227"/>
        </w:trPr>
        <w:tc>
          <w:tcPr>
            <w:tcW w:w="21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6"/>
              </w:rPr>
              <w:t>/s/ Anne T. Larin, attorney-in-</w:t>
            </w:r>
          </w:p>
        </w:tc>
        <w:tc>
          <w:tcPr>
            <w:tcW w:w="80" w:type="dxa"/>
            <w:vAlign w:val="bottom"/>
          </w:tcPr>
          <w:p>
            <w:pPr>
              <w:spacing w:after="0"/>
              <w:rPr>
                <w:sz w:val="19"/>
                <w:szCs w:val="19"/>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8"/>
                <w:szCs w:val="18"/>
                <w:color w:val="0000FF"/>
                <w:w w:val="95"/>
              </w:rPr>
              <w:t>02/04/2014</w:t>
            </w:r>
          </w:p>
        </w:tc>
        <w:tc>
          <w:tcPr>
            <w:tcW w:w="0" w:type="dxa"/>
            <w:vAlign w:val="bottom"/>
          </w:tcPr>
          <w:p>
            <w:pPr>
              <w:spacing w:after="0"/>
              <w:rPr>
                <w:sz w:val="1"/>
                <w:szCs w:val="1"/>
                <w:color w:val="auto"/>
              </w:rPr>
            </w:pPr>
          </w:p>
        </w:tc>
      </w:tr>
      <w:tr>
        <w:trPr>
          <w:trHeight w:val="88"/>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6"/>
              </w:rPr>
              <w:t>fact for Mr. DeLuca</w:t>
            </w:r>
          </w:p>
        </w:tc>
        <w:tc>
          <w:tcPr>
            <w:tcW w:w="7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420" w:type="dxa"/>
            <w:vAlign w:val="bottom"/>
            <w:tcBorders>
              <w:bottom w:val="single" w:sz="8" w:color="auto"/>
            </w:tcBorders>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48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280"/>
      </w:cols>
      <w:pgMar w:left="280" w:top="12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1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598560" TargetMode="External"/><Relationship Id="rId12"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2019-12-18T14:48:09Z</dcterms:created>
  <dcterms:modified xsi:type="dcterms:W3CDTF">2019-12-18T14:48:09Z</dcterms:modified>
</cp:coreProperties>
</file>