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137160</wp:posOffset>
            </wp:positionH>
            <wp:positionV relativeFrom="page">
              <wp:posOffset>459105</wp:posOffset>
            </wp:positionV>
            <wp:extent cx="728662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6625" cy="40640"/>
                    </a:xfrm>
                    <a:prstGeom prst="rect">
                      <a:avLst/>
                    </a:prstGeom>
                    <a:noFill/>
                  </pic:spPr>
                </pic:pic>
              </a:graphicData>
            </a:graphic>
          </wp:anchor>
        </w:drawing>
        <w:t>UNITED STATES</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23"/>
          <w:szCs w:val="23"/>
          <w:b w:val="1"/>
          <w:bCs w:val="1"/>
          <w:color w:val="auto"/>
        </w:rPr>
        <w:t>SECURITIES AND EXCHANGE COMMISSION</w:t>
      </w:r>
    </w:p>
    <w:p>
      <w:pPr>
        <w:spacing w:after="0" w:line="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Washington, DC 20549-1004</w:t>
      </w:r>
    </w:p>
    <w:p>
      <w:pPr>
        <w:spacing w:after="0" w:line="14"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0" w:lineRule="exact"/>
        <w:rPr>
          <w:sz w:val="24"/>
          <w:szCs w:val="24"/>
          <w:color w:val="auto"/>
        </w:rPr>
      </w:pPr>
    </w:p>
    <w:p>
      <w:pPr>
        <w:jc w:val="center"/>
        <w:ind w:right="-599"/>
        <w:spacing w:after="0"/>
        <w:rPr>
          <w:sz w:val="20"/>
          <w:szCs w:val="20"/>
          <w:color w:val="auto"/>
        </w:rPr>
      </w:pPr>
      <w:r>
        <w:rPr>
          <w:rFonts w:ascii="Arial" w:cs="Arial" w:eastAsia="Arial" w:hAnsi="Arial"/>
          <w:sz w:val="29"/>
          <w:szCs w:val="29"/>
          <w:b w:val="1"/>
          <w:bCs w:val="1"/>
          <w:color w:val="auto"/>
        </w:rPr>
        <w:t>FORM 8-K</w:t>
      </w:r>
    </w:p>
    <w:p>
      <w:pPr>
        <w:spacing w:after="0" w:line="38"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82"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CURRENT REPORT</w:t>
      </w:r>
    </w:p>
    <w:p>
      <w:pPr>
        <w:spacing w:after="0" w:line="33"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PURSUANT TO SECTION 13 OR 15(d) OF</w:t>
      </w:r>
    </w:p>
    <w:p>
      <w:pPr>
        <w:spacing w:after="0" w:line="11" w:lineRule="exact"/>
        <w:rPr>
          <w:sz w:val="24"/>
          <w:szCs w:val="24"/>
          <w:color w:val="auto"/>
        </w:rPr>
      </w:pPr>
    </w:p>
    <w:p>
      <w:pPr>
        <w:jc w:val="center"/>
        <w:ind w:right="-599"/>
        <w:spacing w:after="0"/>
        <w:rPr>
          <w:sz w:val="20"/>
          <w:szCs w:val="20"/>
          <w:color w:val="auto"/>
        </w:rPr>
      </w:pPr>
      <w:r>
        <w:rPr>
          <w:rFonts w:ascii="Arial" w:cs="Arial" w:eastAsia="Arial" w:hAnsi="Arial"/>
          <w:sz w:val="19"/>
          <w:szCs w:val="19"/>
          <w:b w:val="1"/>
          <w:bCs w:val="1"/>
          <w:color w:val="auto"/>
        </w:rPr>
        <w:t>THE SECURITIES EXCHANGE ACT OF 1934</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Date of Report (Date of earliest event reported) May 3, 2012</w:t>
      </w:r>
    </w:p>
    <w:p>
      <w:pPr>
        <w:spacing w:after="0" w:line="2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78" w:lineRule="exact"/>
        <w:rPr>
          <w:sz w:val="24"/>
          <w:szCs w:val="24"/>
          <w:color w:val="auto"/>
        </w:rPr>
      </w:pPr>
    </w:p>
    <w:p>
      <w:pPr>
        <w:jc w:val="center"/>
        <w:ind w:right="-599"/>
        <w:spacing w:after="0"/>
        <w:rPr>
          <w:sz w:val="20"/>
          <w:szCs w:val="20"/>
          <w:color w:val="auto"/>
        </w:rPr>
      </w:pPr>
      <w:r>
        <w:rPr>
          <w:rFonts w:ascii="Arial" w:cs="Arial" w:eastAsia="Arial" w:hAnsi="Arial"/>
          <w:sz w:val="39"/>
          <w:szCs w:val="39"/>
          <w:b w:val="1"/>
          <w:bCs w:val="1"/>
          <w:color w:val="auto"/>
        </w:rPr>
        <w:t>GENERAL MOTORS COMPANY</w:t>
      </w:r>
    </w:p>
    <w:p>
      <w:pPr>
        <w:spacing w:after="0" w:line="37"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(Exact Name of Registrant as Specified in its Charter)</w:t>
      </w:r>
    </w:p>
    <w:p>
      <w:pPr>
        <w:spacing w:after="0" w:line="7"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200" w:lineRule="exact"/>
        <w:rPr>
          <w:sz w:val="24"/>
          <w:szCs w:val="24"/>
          <w:color w:val="auto"/>
        </w:rPr>
      </w:pPr>
    </w:p>
    <w:p>
      <w:pPr>
        <w:spacing w:after="0" w:line="325" w:lineRule="exact"/>
        <w:rPr>
          <w:sz w:val="24"/>
          <w:szCs w:val="24"/>
          <w:color w:val="auto"/>
        </w:rPr>
      </w:pPr>
    </w:p>
    <w:tbl>
      <w:tblPr>
        <w:tblLayout w:type="fixed"/>
        <w:tblInd w:w="1460" w:type="dxa"/>
        <w:tblCellMar>
          <w:top w:w="0" w:type="dxa"/>
          <w:left w:w="0" w:type="dxa"/>
          <w:bottom w:w="0" w:type="dxa"/>
          <w:right w:w="0" w:type="dxa"/>
        </w:tblCellMar>
      </w:tblPr>
      <w:tr>
        <w:trPr>
          <w:trHeight w:val="197"/>
        </w:trPr>
        <w:tc>
          <w:tcPr>
            <w:tcW w:w="3300" w:type="dxa"/>
            <w:vAlign w:val="bottom"/>
          </w:tcPr>
          <w:p>
            <w:pPr>
              <w:ind w:left="480"/>
              <w:spacing w:after="0"/>
              <w:rPr>
                <w:sz w:val="20"/>
                <w:szCs w:val="20"/>
                <w:color w:val="auto"/>
              </w:rPr>
            </w:pPr>
            <w:r>
              <w:rPr>
                <w:rFonts w:ascii="Arial" w:cs="Arial" w:eastAsia="Arial" w:hAnsi="Arial"/>
                <w:sz w:val="16"/>
                <w:szCs w:val="16"/>
                <w:b w:val="1"/>
                <w:bCs w:val="1"/>
                <w:color w:val="auto"/>
              </w:rPr>
              <w:t>DELAWARE</w:t>
            </w:r>
          </w:p>
        </w:tc>
        <w:tc>
          <w:tcPr>
            <w:tcW w:w="2440" w:type="dxa"/>
            <w:vAlign w:val="bottom"/>
            <w:vMerge w:val="restart"/>
          </w:tcPr>
          <w:p>
            <w:pPr>
              <w:jc w:val="right"/>
              <w:ind w:right="1060"/>
              <w:spacing w:after="0"/>
              <w:rPr>
                <w:sz w:val="20"/>
                <w:szCs w:val="20"/>
                <w:color w:val="auto"/>
              </w:rPr>
            </w:pPr>
            <w:r>
              <w:rPr>
                <w:rFonts w:ascii="Arial" w:cs="Arial" w:eastAsia="Arial" w:hAnsi="Arial"/>
                <w:sz w:val="16"/>
                <w:szCs w:val="16"/>
                <w:b w:val="1"/>
                <w:bCs w:val="1"/>
                <w:color w:val="auto"/>
              </w:rPr>
              <w:t>001-34960</w:t>
            </w:r>
          </w:p>
        </w:tc>
        <w:tc>
          <w:tcPr>
            <w:tcW w:w="244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27-0756180</w:t>
            </w:r>
          </w:p>
        </w:tc>
        <w:tc>
          <w:tcPr>
            <w:tcW w:w="0" w:type="dxa"/>
            <w:vAlign w:val="bottom"/>
          </w:tcPr>
          <w:p>
            <w:pPr>
              <w:spacing w:after="0"/>
              <w:rPr>
                <w:sz w:val="1"/>
                <w:szCs w:val="1"/>
                <w:color w:val="auto"/>
              </w:rPr>
            </w:pPr>
          </w:p>
        </w:tc>
      </w:tr>
      <w:tr>
        <w:trPr>
          <w:trHeight w:val="193"/>
        </w:trPr>
        <w:tc>
          <w:tcPr>
            <w:tcW w:w="3300" w:type="dxa"/>
            <w:vAlign w:val="bottom"/>
          </w:tcPr>
          <w:p>
            <w:pPr>
              <w:spacing w:after="0"/>
              <w:rPr>
                <w:sz w:val="20"/>
                <w:szCs w:val="20"/>
                <w:color w:val="auto"/>
              </w:rPr>
            </w:pPr>
            <w:r>
              <w:rPr>
                <w:rFonts w:ascii="Arial" w:cs="Arial" w:eastAsia="Arial" w:hAnsi="Arial"/>
                <w:sz w:val="16"/>
                <w:szCs w:val="16"/>
                <w:color w:val="auto"/>
              </w:rPr>
              <w:t>(State or other jurisdiction of</w:t>
            </w:r>
          </w:p>
        </w:tc>
        <w:tc>
          <w:tcPr>
            <w:tcW w:w="2440" w:type="dxa"/>
            <w:vAlign w:val="bottom"/>
            <w:vMerge w:val="continue"/>
          </w:tcPr>
          <w:p>
            <w:pPr>
              <w:spacing w:after="0"/>
              <w:rPr>
                <w:sz w:val="16"/>
                <w:szCs w:val="16"/>
                <w:color w:val="auto"/>
              </w:rPr>
            </w:pPr>
          </w:p>
        </w:tc>
        <w:tc>
          <w:tcPr>
            <w:tcW w:w="2440" w:type="dxa"/>
            <w:vAlign w:val="bottom"/>
          </w:tcPr>
          <w:p>
            <w:pPr>
              <w:jc w:val="center"/>
              <w:ind w:left="1140"/>
              <w:spacing w:after="0"/>
              <w:rPr>
                <w:sz w:val="20"/>
                <w:szCs w:val="20"/>
                <w:color w:val="auto"/>
              </w:rPr>
            </w:pPr>
            <w:r>
              <w:rPr>
                <w:rFonts w:ascii="Arial" w:cs="Arial" w:eastAsia="Arial" w:hAnsi="Arial"/>
                <w:sz w:val="16"/>
                <w:szCs w:val="16"/>
                <w:color w:val="auto"/>
                <w:w w:val="93"/>
              </w:rPr>
              <w:t>(I.R.S. Employer</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rPr>
              <w:t>incorporation)</w:t>
            </w:r>
          </w:p>
        </w:tc>
        <w:tc>
          <w:tcPr>
            <w:tcW w:w="2440" w:type="dxa"/>
            <w:vAlign w:val="bottom"/>
          </w:tcPr>
          <w:p>
            <w:pPr>
              <w:jc w:val="center"/>
              <w:ind w:right="440"/>
              <w:spacing w:after="0"/>
              <w:rPr>
                <w:sz w:val="20"/>
                <w:szCs w:val="20"/>
                <w:color w:val="auto"/>
              </w:rPr>
            </w:pPr>
            <w:r>
              <w:rPr>
                <w:rFonts w:ascii="Arial" w:cs="Arial" w:eastAsia="Arial" w:hAnsi="Arial"/>
                <w:sz w:val="16"/>
                <w:szCs w:val="16"/>
                <w:color w:val="auto"/>
                <w:w w:val="92"/>
              </w:rPr>
              <w:t>(Commission File Number)</w:t>
            </w:r>
          </w:p>
        </w:tc>
        <w:tc>
          <w:tcPr>
            <w:tcW w:w="2440" w:type="dxa"/>
            <w:vAlign w:val="bottom"/>
          </w:tcPr>
          <w:p>
            <w:pPr>
              <w:jc w:val="center"/>
              <w:ind w:left="1160"/>
              <w:spacing w:after="0"/>
              <w:rPr>
                <w:sz w:val="20"/>
                <w:szCs w:val="20"/>
                <w:color w:val="auto"/>
              </w:rPr>
            </w:pPr>
            <w:r>
              <w:rPr>
                <w:rFonts w:ascii="Arial" w:cs="Arial" w:eastAsia="Arial" w:hAnsi="Arial"/>
                <w:sz w:val="16"/>
                <w:szCs w:val="16"/>
                <w:color w:val="auto"/>
                <w:w w:val="96"/>
              </w:rPr>
              <w:t>Identification No.)</w:t>
            </w:r>
          </w:p>
        </w:tc>
        <w:tc>
          <w:tcPr>
            <w:tcW w:w="0" w:type="dxa"/>
            <w:vAlign w:val="bottom"/>
          </w:tcPr>
          <w:p>
            <w:pPr>
              <w:spacing w:after="0"/>
              <w:rPr>
                <w:sz w:val="1"/>
                <w:szCs w:val="1"/>
                <w:color w:val="auto"/>
              </w:rPr>
            </w:pPr>
          </w:p>
        </w:tc>
      </w:tr>
      <w:tr>
        <w:trPr>
          <w:trHeight w:val="422"/>
        </w:trPr>
        <w:tc>
          <w:tcPr>
            <w:tcW w:w="3300" w:type="dxa"/>
            <w:vAlign w:val="bottom"/>
          </w:tcPr>
          <w:p>
            <w:pPr>
              <w:ind w:left="320"/>
              <w:spacing w:after="0"/>
              <w:rPr>
                <w:sz w:val="20"/>
                <w:szCs w:val="20"/>
                <w:color w:val="auto"/>
              </w:rPr>
            </w:pPr>
            <w:r>
              <w:rPr>
                <w:rFonts w:ascii="Arial" w:cs="Arial" w:eastAsia="Arial" w:hAnsi="Arial"/>
                <w:sz w:val="16"/>
                <w:szCs w:val="16"/>
                <w:b w:val="1"/>
                <w:bCs w:val="1"/>
                <w:color w:val="auto"/>
                <w:w w:val="91"/>
              </w:rPr>
              <w:t>300 Renaissance Center, Detroit, Michigan</w:t>
            </w:r>
          </w:p>
        </w:tc>
        <w:tc>
          <w:tcPr>
            <w:tcW w:w="2440" w:type="dxa"/>
            <w:vAlign w:val="bottom"/>
          </w:tcPr>
          <w:p>
            <w:pPr>
              <w:spacing w:after="0"/>
              <w:rPr>
                <w:sz w:val="24"/>
                <w:szCs w:val="24"/>
                <w:color w:val="auto"/>
              </w:rPr>
            </w:pPr>
          </w:p>
        </w:tc>
        <w:tc>
          <w:tcPr>
            <w:tcW w:w="2440" w:type="dxa"/>
            <w:vAlign w:val="bottom"/>
          </w:tcPr>
          <w:p>
            <w:pPr>
              <w:jc w:val="right"/>
              <w:ind w:right="980"/>
              <w:spacing w:after="0"/>
              <w:rPr>
                <w:sz w:val="20"/>
                <w:szCs w:val="20"/>
                <w:color w:val="auto"/>
              </w:rPr>
            </w:pPr>
            <w:r>
              <w:rPr>
                <w:rFonts w:ascii="Arial" w:cs="Arial" w:eastAsia="Arial" w:hAnsi="Arial"/>
                <w:sz w:val="16"/>
                <w:szCs w:val="16"/>
                <w:b w:val="1"/>
                <w:bCs w:val="1"/>
                <w:color w:val="auto"/>
              </w:rPr>
              <w:t>48265-3000</w:t>
            </w:r>
          </w:p>
        </w:tc>
        <w:tc>
          <w:tcPr>
            <w:tcW w:w="0" w:type="dxa"/>
            <w:vAlign w:val="bottom"/>
          </w:tcPr>
          <w:p>
            <w:pPr>
              <w:spacing w:after="0"/>
              <w:rPr>
                <w:sz w:val="1"/>
                <w:szCs w:val="1"/>
                <w:color w:val="auto"/>
              </w:rPr>
            </w:pPr>
          </w:p>
        </w:tc>
      </w:tr>
      <w:tr>
        <w:trPr>
          <w:trHeight w:val="205"/>
        </w:trPr>
        <w:tc>
          <w:tcPr>
            <w:tcW w:w="3300" w:type="dxa"/>
            <w:vAlign w:val="bottom"/>
          </w:tcPr>
          <w:p>
            <w:pPr>
              <w:ind w:left="480"/>
              <w:spacing w:after="0"/>
              <w:rPr>
                <w:sz w:val="20"/>
                <w:szCs w:val="20"/>
                <w:color w:val="auto"/>
              </w:rPr>
            </w:pPr>
            <w:r>
              <w:rPr>
                <w:rFonts w:ascii="Arial" w:cs="Arial" w:eastAsia="Arial" w:hAnsi="Arial"/>
                <w:sz w:val="16"/>
                <w:szCs w:val="16"/>
                <w:color w:val="auto"/>
                <w:w w:val="99"/>
              </w:rPr>
              <w:t>(Address of Principal Executive Offices)</w:t>
            </w:r>
          </w:p>
        </w:tc>
        <w:tc>
          <w:tcPr>
            <w:tcW w:w="2440" w:type="dxa"/>
            <w:vAlign w:val="bottom"/>
          </w:tcPr>
          <w:p>
            <w:pPr>
              <w:spacing w:after="0"/>
              <w:rPr>
                <w:sz w:val="17"/>
                <w:szCs w:val="17"/>
                <w:color w:val="auto"/>
              </w:rPr>
            </w:pPr>
          </w:p>
        </w:tc>
        <w:tc>
          <w:tcPr>
            <w:tcW w:w="2440" w:type="dxa"/>
            <w:vAlign w:val="bottom"/>
          </w:tcPr>
          <w:p>
            <w:pPr>
              <w:jc w:val="center"/>
              <w:ind w:right="360"/>
              <w:spacing w:after="0"/>
              <w:rPr>
                <w:sz w:val="20"/>
                <w:szCs w:val="20"/>
                <w:color w:val="auto"/>
              </w:rPr>
            </w:pPr>
            <w:r>
              <w:rPr>
                <w:rFonts w:ascii="Arial" w:cs="Arial" w:eastAsia="Arial" w:hAnsi="Arial"/>
                <w:sz w:val="16"/>
                <w:szCs w:val="16"/>
                <w:color w:val="auto"/>
                <w:w w:val="95"/>
              </w:rPr>
              <w:t>(Zip Code)</w:t>
            </w:r>
          </w:p>
        </w:tc>
        <w:tc>
          <w:tcPr>
            <w:tcW w:w="0" w:type="dxa"/>
            <w:vAlign w:val="bottom"/>
          </w:tcPr>
          <w:p>
            <w:pPr>
              <w:spacing w:after="0"/>
              <w:rPr>
                <w:sz w:val="1"/>
                <w:szCs w:val="1"/>
                <w:color w:val="auto"/>
              </w:rPr>
            </w:pPr>
          </w:p>
        </w:tc>
      </w:tr>
    </w:tbl>
    <w:p>
      <w:pPr>
        <w:spacing w:after="0" w:line="394"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313</w:t>
      </w:r>
      <w:r>
        <w:rPr>
          <w:rFonts w:ascii="Arial" w:cs="Arial" w:eastAsia="Arial" w:hAnsi="Arial"/>
          <w:sz w:val="16"/>
          <w:szCs w:val="16"/>
          <w:color w:val="auto"/>
        </w:rPr>
        <w:t xml:space="preserve">) </w:t>
      </w:r>
      <w:r>
        <w:rPr>
          <w:rFonts w:ascii="Arial" w:cs="Arial" w:eastAsia="Arial" w:hAnsi="Arial"/>
          <w:sz w:val="16"/>
          <w:szCs w:val="16"/>
          <w:b w:val="1"/>
          <w:bCs w:val="1"/>
          <w:color w:val="auto"/>
        </w:rPr>
        <w:t>556-5000</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(Registrant's telephone number, including area code)</w:t>
      </w:r>
    </w:p>
    <w:p>
      <w:pPr>
        <w:spacing w:after="0" w:line="186" w:lineRule="exact"/>
        <w:rPr>
          <w:sz w:val="24"/>
          <w:szCs w:val="24"/>
          <w:color w:val="auto"/>
        </w:rPr>
      </w:pPr>
    </w:p>
    <w:p>
      <w:pPr>
        <w:jc w:val="center"/>
        <w:ind w:right="-59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right="-599"/>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195" w:lineRule="exact"/>
        <w:rPr>
          <w:sz w:val="24"/>
          <w:szCs w:val="24"/>
          <w:color w:val="auto"/>
        </w:rPr>
      </w:pPr>
    </w:p>
    <w:p>
      <w:pPr>
        <w:ind w:left="4800"/>
        <w:spacing w:after="0"/>
        <w:rPr>
          <w:sz w:val="20"/>
          <w:szCs w:val="20"/>
          <w:color w:val="auto"/>
        </w:rPr>
      </w:pPr>
      <w:r>
        <w:rPr>
          <w:rFonts w:ascii="Arial" w:cs="Arial" w:eastAsia="Arial" w:hAnsi="Arial"/>
          <w:sz w:val="19"/>
          <w:szCs w:val="19"/>
          <w:color w:val="auto"/>
        </w:rPr>
        <w:t>___________________</w:t>
      </w:r>
    </w:p>
    <w:p>
      <w:pPr>
        <w:spacing w:after="0" w:line="198"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200" w:lineRule="exact"/>
        <w:rPr>
          <w:sz w:val="24"/>
          <w:szCs w:val="24"/>
          <w:color w:val="auto"/>
        </w:rPr>
      </w:pPr>
    </w:p>
    <w:p>
      <w:pPr>
        <w:spacing w:after="0" w:line="218" w:lineRule="exact"/>
        <w:rPr>
          <w:sz w:val="24"/>
          <w:szCs w:val="24"/>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(17-CFR 240.14a-12)</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298" w:lineRule="exact"/>
        <w:rPr>
          <w:rFonts w:ascii="MS PGothic" w:cs="MS PGothic" w:eastAsia="MS PGothic" w:hAnsi="MS PGothic"/>
          <w:sz w:val="16"/>
          <w:szCs w:val="16"/>
          <w:color w:val="auto"/>
        </w:rPr>
      </w:pPr>
    </w:p>
    <w:p>
      <w:pPr>
        <w:ind w:left="620" w:hanging="587"/>
        <w:spacing w:after="0"/>
        <w:tabs>
          <w:tab w:leader="none" w:pos="6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-14605</wp:posOffset>
            </wp:positionH>
            <wp:positionV relativeFrom="paragraph">
              <wp:posOffset>77470</wp:posOffset>
            </wp:positionV>
            <wp:extent cx="728662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6625" cy="40640"/>
                    </a:xfrm>
                    <a:prstGeom prst="rect">
                      <a:avLst/>
                    </a:prstGeom>
                    <a:noFill/>
                  </pic:spPr>
                </pic:pic>
              </a:graphicData>
            </a:graphic>
          </wp:anchor>
        </w:drawing>
      </w:r>
    </w:p>
    <w:p>
      <w:pPr>
        <w:sectPr>
          <w:pgSz w:w="11900" w:h="16838" w:orient="portrait"/>
          <w:cols w:equalWidth="0" w:num="1">
            <w:col w:w="10840"/>
          </w:cols>
          <w:pgMar w:left="240" w:top="1035" w:right="819" w:bottom="1440" w:gutter="0" w:footer="0" w:header="0"/>
        </w:sectPr>
      </w:pPr>
    </w:p>
    <w:bookmarkStart w:id="1" w:name="page2"/>
    <w:bookmarkEnd w:id="1"/>
    <w:p>
      <w:pPr>
        <w:ind w:left="4860"/>
        <w:spacing w:after="0"/>
        <w:rPr>
          <w:sz w:val="20"/>
          <w:szCs w:val="20"/>
          <w:color w:val="auto"/>
        </w:rPr>
      </w:pPr>
      <w:r>
        <w:rPr>
          <w:rFonts w:ascii="Arial" w:cs="Arial" w:eastAsia="Arial" w:hAnsi="Arial"/>
          <w:sz w:val="15"/>
          <w:szCs w:val="15"/>
          <w:b w:val="1"/>
          <w:bCs w:val="1"/>
          <w:u w:val="single" w:color="auto"/>
          <w:color w:val="auto"/>
        </w:rPr>
        <w:t>TABLE OF CONTENTS</w:t>
      </w:r>
    </w:p>
    <w:p>
      <w:pPr>
        <w:spacing w:after="0" w:line="214" w:lineRule="exact"/>
        <w:rPr>
          <w:sz w:val="20"/>
          <w:szCs w:val="20"/>
          <w:color w:val="auto"/>
        </w:rPr>
      </w:pPr>
    </w:p>
    <w:p>
      <w:pPr>
        <w:ind w:right="5039"/>
        <w:spacing w:after="0" w:line="277" w:lineRule="auto"/>
        <w:rPr>
          <w:sz w:val="20"/>
          <w:szCs w:val="20"/>
          <w:color w:val="auto"/>
        </w:rPr>
      </w:pPr>
      <w:r>
        <w:rPr>
          <w:rFonts w:ascii="Arial" w:cs="Arial" w:eastAsia="Arial" w:hAnsi="Arial"/>
          <w:sz w:val="16"/>
          <w:szCs w:val="16"/>
          <w:b w:val="1"/>
          <w:bCs w:val="1"/>
          <w:color w:val="auto"/>
        </w:rPr>
        <w:t>ITEM 2.02 RESULTS OF OPERATIONS AND FINANCIAL CONDITION ITEM 9.01 FINANCIAL STATEMENTS AND EXHIBITS SIGNATURE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INDEX TO EXHIBITS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News Release Dated May 3, 2012 and Financial Statements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Charts Furnished to Securities Analysts</w:t>
      </w:r>
    </w:p>
    <w:p>
      <w:pPr>
        <w:sectPr>
          <w:pgSz w:w="11900" w:h="16838" w:orient="portrait"/>
          <w:cols w:equalWidth="0" w:num="1">
            <w:col w:w="10219"/>
          </w:cols>
          <w:pgMar w:left="240" w:top="726" w:right="1440"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25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On May 3, 2012 a news release was issued on the subject of 2012 first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Charts furnished to securities analysts in connection with GM's 2012 first quarter earnings release are attached as Exhibit 99.2.</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38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511"/>
        </w:trPr>
        <w:tc>
          <w:tcPr>
            <w:tcW w:w="480" w:type="dxa"/>
            <w:vAlign w:val="bottom"/>
          </w:tcPr>
          <w:p>
            <w:pPr>
              <w:spacing w:after="0"/>
              <w:rPr>
                <w:sz w:val="20"/>
                <w:szCs w:val="20"/>
                <w:color w:val="auto"/>
              </w:rPr>
            </w:pPr>
            <w:r>
              <w:rPr>
                <w:rFonts w:ascii="Arial" w:cs="Arial" w:eastAsia="Arial" w:hAnsi="Arial"/>
                <w:sz w:val="16"/>
                <w:szCs w:val="16"/>
                <w:color w:val="auto"/>
                <w:w w:val="95"/>
              </w:rPr>
              <w:t>Exhibit</w:t>
            </w:r>
          </w:p>
        </w:tc>
        <w:tc>
          <w:tcPr>
            <w:tcW w:w="342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6"/>
                <w:szCs w:val="16"/>
                <w:color w:val="auto"/>
              </w:rPr>
              <w:t>Description</w:t>
            </w:r>
          </w:p>
        </w:tc>
        <w:tc>
          <w:tcPr>
            <w:tcW w:w="780" w:type="dxa"/>
            <w:vAlign w:val="bottom"/>
            <w:tcBorders>
              <w:top w:val="single" w:sz="8" w:color="auto"/>
            </w:tcBorders>
          </w:tcPr>
          <w:p>
            <w:pPr>
              <w:spacing w:after="0"/>
              <w:rPr>
                <w:sz w:val="24"/>
                <w:szCs w:val="24"/>
                <w:color w:val="auto"/>
              </w:rPr>
            </w:pPr>
          </w:p>
        </w:tc>
        <w:tc>
          <w:tcPr>
            <w:tcW w:w="1820" w:type="dxa"/>
            <w:vAlign w:val="bottom"/>
          </w:tcPr>
          <w:p>
            <w:pPr>
              <w:spacing w:after="0"/>
              <w:rPr>
                <w:sz w:val="24"/>
                <w:szCs w:val="24"/>
                <w:color w:val="auto"/>
              </w:rPr>
            </w:pPr>
          </w:p>
        </w:tc>
        <w:tc>
          <w:tcPr>
            <w:tcW w:w="1260" w:type="dxa"/>
            <w:vAlign w:val="bottom"/>
            <w:gridSpan w:val="2"/>
          </w:tcPr>
          <w:p>
            <w:pPr>
              <w:spacing w:after="0"/>
              <w:rPr>
                <w:sz w:val="20"/>
                <w:szCs w:val="20"/>
                <w:color w:val="auto"/>
              </w:rPr>
            </w:pPr>
            <w:r>
              <w:rPr>
                <w:rFonts w:ascii="Arial" w:cs="Arial" w:eastAsia="Arial" w:hAnsi="Arial"/>
                <w:sz w:val="16"/>
                <w:szCs w:val="16"/>
                <w:color w:val="auto"/>
              </w:rPr>
              <w:t>Method of Filing</w:t>
            </w:r>
          </w:p>
        </w:tc>
      </w:tr>
      <w:tr>
        <w:trPr>
          <w:trHeight w:val="20"/>
        </w:trPr>
        <w:tc>
          <w:tcPr>
            <w:tcW w:w="480" w:type="dxa"/>
            <w:vAlign w:val="bottom"/>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60" w:type="dxa"/>
            <w:vAlign w:val="bottom"/>
            <w:gridSpan w:val="3"/>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57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99.1</w:t>
            </w:r>
          </w:p>
        </w:tc>
        <w:tc>
          <w:tcPr>
            <w:tcW w:w="4000" w:type="dxa"/>
            <w:vAlign w:val="bottom"/>
            <w:gridSpan w:val="4"/>
          </w:tcPr>
          <w:p>
            <w:pPr>
              <w:spacing w:after="0"/>
              <w:rPr>
                <w:sz w:val="20"/>
                <w:szCs w:val="20"/>
                <w:color w:val="auto"/>
              </w:rPr>
            </w:pPr>
            <w:r>
              <w:rPr>
                <w:rFonts w:ascii="Arial" w:cs="Arial" w:eastAsia="Arial" w:hAnsi="Arial"/>
                <w:sz w:val="16"/>
                <w:szCs w:val="16"/>
                <w:color w:val="auto"/>
                <w:w w:val="93"/>
              </w:rPr>
              <w:t>News Release Dated May 3, 2012 and Financial Statements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r>
        <w:trPr>
          <w:trHeight w:val="241"/>
        </w:trPr>
        <w:tc>
          <w:tcPr>
            <w:tcW w:w="3900" w:type="dxa"/>
            <w:vAlign w:val="bottom"/>
            <w:gridSpan w:val="2"/>
          </w:tcPr>
          <w:p>
            <w:pPr>
              <w:spacing w:after="0"/>
              <w:rPr>
                <w:sz w:val="20"/>
                <w:szCs w:val="20"/>
                <w:color w:val="auto"/>
              </w:rPr>
            </w:pPr>
            <w:r>
              <w:rPr>
                <w:rFonts w:ascii="Arial" w:cs="Arial" w:eastAsia="Arial" w:hAnsi="Arial"/>
                <w:sz w:val="16"/>
                <w:szCs w:val="16"/>
                <w:color w:val="auto"/>
              </w:rPr>
              <w:t>Exhibit 99.2</w:t>
            </w:r>
          </w:p>
        </w:tc>
        <w:tc>
          <w:tcPr>
            <w:tcW w:w="4000" w:type="dxa"/>
            <w:vAlign w:val="bottom"/>
            <w:gridSpan w:val="4"/>
          </w:tcPr>
          <w:p>
            <w:pPr>
              <w:spacing w:after="0"/>
              <w:rPr>
                <w:sz w:val="20"/>
                <w:szCs w:val="20"/>
                <w:color w:val="auto"/>
              </w:rPr>
            </w:pPr>
            <w:r>
              <w:rPr>
                <w:rFonts w:ascii="Arial" w:cs="Arial" w:eastAsia="Arial" w:hAnsi="Arial"/>
                <w:sz w:val="16"/>
                <w:szCs w:val="16"/>
                <w:color w:val="auto"/>
              </w:rPr>
              <w:t>Charts Furnished to Securities Analysts</w:t>
            </w:r>
          </w:p>
        </w:tc>
        <w:tc>
          <w:tcPr>
            <w:tcW w:w="1260" w:type="dxa"/>
            <w:vAlign w:val="bottom"/>
            <w:gridSpan w:val="2"/>
          </w:tcPr>
          <w:p>
            <w:pPr>
              <w:spacing w:after="0"/>
              <w:rPr>
                <w:sz w:val="20"/>
                <w:szCs w:val="20"/>
                <w:color w:val="auto"/>
              </w:rPr>
            </w:pPr>
            <w:r>
              <w:rPr>
                <w:rFonts w:ascii="Arial" w:cs="Arial" w:eastAsia="Arial" w:hAnsi="Arial"/>
                <w:sz w:val="16"/>
                <w:szCs w:val="16"/>
                <w:color w:val="auto"/>
                <w:w w:val="90"/>
              </w:rPr>
              <w:t>Attached as Exhibit</w:t>
            </w:r>
          </w:p>
        </w:tc>
      </w:tr>
    </w:tbl>
    <w:p>
      <w:pPr>
        <w:sectPr>
          <w:pgSz w:w="11900" w:h="16838" w:orient="portrait"/>
          <w:cols w:equalWidth="0" w:num="1">
            <w:col w:w="11260"/>
          </w:cols>
          <w:pgMar w:left="240" w:top="726" w:right="399" w:bottom="1440" w:gutter="0" w:footer="0" w:header="0"/>
        </w:sectPr>
      </w:pPr>
    </w:p>
    <w:bookmarkStart w:id="3" w:name="page4"/>
    <w:bookmarkEnd w:id="3"/>
    <w:p>
      <w:pPr>
        <w:jc w:val="center"/>
        <w:ind w:right="-379"/>
        <w:spacing w:after="0"/>
        <w:rPr>
          <w:sz w:val="20"/>
          <w:szCs w:val="20"/>
          <w:color w:val="auto"/>
        </w:rPr>
      </w:pPr>
      <w:r>
        <w:rPr>
          <w:rFonts w:ascii="Arial" w:cs="Arial" w:eastAsia="Arial" w:hAnsi="Arial"/>
          <w:sz w:val="16"/>
          <w:szCs w:val="16"/>
          <w:b w:val="1"/>
          <w:bCs w:val="1"/>
          <w:color w:val="auto"/>
        </w:rPr>
        <w:t>SIGNATURE</w:t>
      </w:r>
    </w:p>
    <w:p>
      <w:pPr>
        <w:spacing w:after="0" w:line="200" w:lineRule="exact"/>
        <w:rPr>
          <w:sz w:val="20"/>
          <w:szCs w:val="20"/>
          <w:color w:val="auto"/>
        </w:rPr>
      </w:pPr>
    </w:p>
    <w:p>
      <w:pPr>
        <w:spacing w:after="0" w:line="392"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42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5"/>
              </w:rPr>
              <w:t>GENERAL MOTORS COMPANY</w:t>
            </w: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0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(Registrant)</w:t>
            </w:r>
          </w:p>
        </w:tc>
        <w:tc>
          <w:tcPr>
            <w:tcW w:w="0" w:type="dxa"/>
            <w:vAlign w:val="bottom"/>
          </w:tcPr>
          <w:p>
            <w:pPr>
              <w:spacing w:after="0"/>
              <w:rPr>
                <w:sz w:val="1"/>
                <w:szCs w:val="1"/>
                <w:color w:val="auto"/>
              </w:rPr>
            </w:pPr>
          </w:p>
        </w:tc>
      </w:tr>
      <w:tr>
        <w:trPr>
          <w:trHeight w:val="627"/>
        </w:trPr>
        <w:tc>
          <w:tcPr>
            <w:tcW w:w="30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/s/ Nick S. Cyprus</w:t>
            </w:r>
          </w:p>
        </w:tc>
        <w:tc>
          <w:tcPr>
            <w:tcW w:w="0" w:type="dxa"/>
            <w:vAlign w:val="bottom"/>
          </w:tcPr>
          <w:p>
            <w:pPr>
              <w:spacing w:after="0"/>
              <w:rPr>
                <w:sz w:val="1"/>
                <w:szCs w:val="1"/>
                <w:color w:val="auto"/>
              </w:rPr>
            </w:pPr>
          </w:p>
        </w:tc>
      </w:tr>
      <w:tr>
        <w:trPr>
          <w:trHeight w:val="24"/>
        </w:trPr>
        <w:tc>
          <w:tcPr>
            <w:tcW w:w="3000" w:type="dxa"/>
            <w:vAlign w:val="bottom"/>
            <w:vMerge w:val="restart"/>
          </w:tcPr>
          <w:p>
            <w:pPr>
              <w:spacing w:after="0"/>
              <w:rPr>
                <w:sz w:val="20"/>
                <w:szCs w:val="20"/>
                <w:color w:val="auto"/>
              </w:rPr>
            </w:pPr>
            <w:r>
              <w:rPr>
                <w:rFonts w:ascii="Arial" w:cs="Arial" w:eastAsia="Arial" w:hAnsi="Arial"/>
                <w:sz w:val="16"/>
                <w:szCs w:val="16"/>
                <w:color w:val="auto"/>
              </w:rPr>
              <w:t>Date: May 3, 2012</w:t>
            </w:r>
          </w:p>
        </w:tc>
        <w:tc>
          <w:tcPr>
            <w:tcW w:w="2420" w:type="dxa"/>
            <w:vAlign w:val="bottom"/>
            <w:vMerge w:val="restart"/>
          </w:tcPr>
          <w:p>
            <w:pPr>
              <w:ind w:left="1800"/>
              <w:spacing w:after="0"/>
              <w:rPr>
                <w:sz w:val="20"/>
                <w:szCs w:val="20"/>
                <w:color w:val="auto"/>
              </w:rPr>
            </w:pPr>
            <w:r>
              <w:rPr>
                <w:rFonts w:ascii="Arial" w:cs="Arial" w:eastAsia="Arial" w:hAnsi="Arial"/>
                <w:sz w:val="16"/>
                <w:szCs w:val="16"/>
                <w:color w:val="auto"/>
              </w:rPr>
              <w:t>By:</w:t>
            </w:r>
          </w:p>
        </w:tc>
        <w:tc>
          <w:tcPr>
            <w:tcW w:w="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3000" w:type="dxa"/>
            <w:vAlign w:val="bottom"/>
            <w:vMerge w:val="continue"/>
          </w:tcPr>
          <w:p>
            <w:pPr>
              <w:spacing w:after="0"/>
              <w:rPr>
                <w:sz w:val="17"/>
                <w:szCs w:val="17"/>
                <w:color w:val="auto"/>
              </w:rPr>
            </w:pPr>
          </w:p>
        </w:tc>
        <w:tc>
          <w:tcPr>
            <w:tcW w:w="24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Nick S. Cyprus</w:t>
            </w:r>
          </w:p>
        </w:tc>
        <w:tc>
          <w:tcPr>
            <w:tcW w:w="0" w:type="dxa"/>
            <w:vAlign w:val="bottom"/>
          </w:tcPr>
          <w:p>
            <w:pPr>
              <w:spacing w:after="0"/>
              <w:rPr>
                <w:sz w:val="1"/>
                <w:szCs w:val="1"/>
                <w:color w:val="auto"/>
              </w:rPr>
            </w:pPr>
          </w:p>
        </w:tc>
      </w:tr>
      <w:tr>
        <w:trPr>
          <w:trHeight w:val="205"/>
        </w:trPr>
        <w:tc>
          <w:tcPr>
            <w:tcW w:w="30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80" w:type="dxa"/>
            <w:vAlign w:val="bottom"/>
            <w:gridSpan w:val="2"/>
          </w:tcPr>
          <w:p>
            <w:pPr>
              <w:spacing w:after="0"/>
              <w:rPr>
                <w:sz w:val="20"/>
                <w:szCs w:val="20"/>
                <w:color w:val="auto"/>
              </w:rPr>
            </w:pPr>
            <w:r>
              <w:rPr>
                <w:rFonts w:ascii="Arial" w:cs="Arial" w:eastAsia="Arial" w:hAnsi="Arial"/>
                <w:sz w:val="16"/>
                <w:szCs w:val="16"/>
                <w:color w:val="auto"/>
              </w:rPr>
              <w:t>Vice President, Controller and Chief Accounting Officer</w:t>
            </w:r>
          </w:p>
        </w:tc>
        <w:tc>
          <w:tcPr>
            <w:tcW w:w="0" w:type="dxa"/>
            <w:vAlign w:val="bottom"/>
          </w:tcPr>
          <w:p>
            <w:pPr>
              <w:spacing w:after="0"/>
              <w:rPr>
                <w:sz w:val="1"/>
                <w:szCs w:val="1"/>
                <w:color w:val="auto"/>
              </w:rPr>
            </w:pPr>
          </w:p>
        </w:tc>
      </w:tr>
    </w:tbl>
    <w:p>
      <w:pPr>
        <w:sectPr>
          <w:pgSz w:w="11900" w:h="16838" w:orient="portrait"/>
          <w:cols w:equalWidth="0" w:num="1">
            <w:col w:w="11040"/>
          </w:cols>
          <w:pgMar w:left="240" w:top="726" w:right="61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349250</wp:posOffset>
            </wp:positionV>
            <wp:extent cx="7286625" cy="8401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6625" cy="84010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940"/>
        <w:spacing w:after="0"/>
        <w:rPr>
          <w:sz w:val="20"/>
          <w:szCs w:val="20"/>
          <w:color w:val="auto"/>
        </w:rPr>
      </w:pPr>
      <w:r>
        <w:rPr>
          <w:rFonts w:ascii="Arial" w:cs="Arial" w:eastAsia="Arial" w:hAnsi="Arial"/>
          <w:sz w:val="19"/>
          <w:szCs w:val="19"/>
          <w:b w:val="1"/>
          <w:bCs w:val="1"/>
          <w:color w:val="auto"/>
        </w:rPr>
        <w:t>Exhibit 99.1</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For Release: May 3, 7:30 a.m. EDT</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GM Reports First Quarter Net Income of $1.0 Billion</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and EBIT-adjusted of $2.2 billion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Net income of $0.60 per share after net loss from special items of $0.33 per share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DETROIT - General Motors Co. (NYSE: GM) today announced first quarter net income attributable to common stockholders of $1.0 billion, or</w:t>
      </w:r>
    </w:p>
    <w:p>
      <w:pPr>
        <w:ind w:right="240"/>
        <w:spacing w:after="0" w:line="243" w:lineRule="auto"/>
        <w:rPr>
          <w:sz w:val="20"/>
          <w:szCs w:val="20"/>
          <w:color w:val="auto"/>
        </w:rPr>
      </w:pPr>
      <w:r>
        <w:rPr>
          <w:rFonts w:ascii="Arial" w:cs="Arial" w:eastAsia="Arial" w:hAnsi="Arial"/>
          <w:sz w:val="18"/>
          <w:szCs w:val="18"/>
          <w:color w:val="auto"/>
        </w:rPr>
        <w:t>$0.60 per fully-diluted share. These results include a net loss from special items related to goodwill impairment that reduced net income by $0.6 billion, or $0.33 per fully-diluted share.</w:t>
      </w:r>
    </w:p>
    <w:p>
      <w:pPr>
        <w:spacing w:after="0" w:line="184" w:lineRule="exact"/>
        <w:rPr>
          <w:sz w:val="20"/>
          <w:szCs w:val="20"/>
          <w:color w:val="auto"/>
        </w:rPr>
      </w:pPr>
    </w:p>
    <w:p>
      <w:pPr>
        <w:ind w:right="120"/>
        <w:spacing w:after="0" w:line="243" w:lineRule="auto"/>
        <w:rPr>
          <w:sz w:val="20"/>
          <w:szCs w:val="20"/>
          <w:color w:val="auto"/>
        </w:rPr>
      </w:pPr>
      <w:r>
        <w:rPr>
          <w:rFonts w:ascii="Arial" w:cs="Arial" w:eastAsia="Arial" w:hAnsi="Arial"/>
          <w:sz w:val="18"/>
          <w:szCs w:val="18"/>
          <w:color w:val="auto"/>
        </w:rPr>
        <w:t>In the first quarter of 2011, GM's net income attributable to common stockholders was $3.2 billion, or $1.77 per fully-diluted share, including a net gain from special items of $1.5 billion or $0.82 per share.</w:t>
      </w:r>
    </w:p>
    <w:p>
      <w:pPr>
        <w:spacing w:after="0" w:line="184" w:lineRule="exact"/>
        <w:rPr>
          <w:sz w:val="20"/>
          <w:szCs w:val="20"/>
          <w:color w:val="auto"/>
        </w:rPr>
      </w:pPr>
    </w:p>
    <w:p>
      <w:pPr>
        <w:ind w:right="540"/>
        <w:spacing w:after="0" w:line="243" w:lineRule="auto"/>
        <w:rPr>
          <w:sz w:val="20"/>
          <w:szCs w:val="20"/>
          <w:color w:val="auto"/>
        </w:rPr>
      </w:pPr>
      <w:r>
        <w:rPr>
          <w:rFonts w:ascii="Arial" w:cs="Arial" w:eastAsia="Arial" w:hAnsi="Arial"/>
          <w:sz w:val="18"/>
          <w:szCs w:val="18"/>
          <w:color w:val="auto"/>
        </w:rPr>
        <w:t>Net revenue in the first quarter of 2012 was $37.8 billion, an increase of $1.6 billion compared with the first quarter of 2011. Earnings before interest and tax (EBIT) adjusted was $2.2 billion, an increase of $0.2 billion compared with the first quarter of 2011.</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U.S. economic recovery, record demand for GM vehicles in China and the global growth of the Chevrolet brand helped deliver solid earnings for General Motors,” said Dan Akerson, chairman and CEO. “New products are starting to make a difference in South America but Europe remains a work in progress. We'll continue to work on both revenue and cost opportunities until we have brought GM to competitive levels of profitability.”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r>
              <w:rPr>
                <w:rFonts w:ascii="Arial" w:cs="Arial" w:eastAsia="Arial" w:hAnsi="Arial"/>
                <w:sz w:val="18"/>
                <w:szCs w:val="18"/>
                <w:b w:val="1"/>
                <w:bCs w:val="1"/>
                <w:color w:val="auto"/>
              </w:rPr>
              <w:t xml:space="preserve">GM Results Overview </w:t>
            </w:r>
            <w:r>
              <w:rPr>
                <w:rFonts w:ascii="Arial" w:cs="Arial" w:eastAsia="Arial" w:hAnsi="Arial"/>
                <w:sz w:val="12"/>
                <w:szCs w:val="12"/>
                <w:color w:val="auto"/>
              </w:rPr>
              <w:t>(in billions except for per share amounts)</w:t>
            </w:r>
          </w:p>
        </w:tc>
        <w:tc>
          <w:tcPr>
            <w:tcW w:w="1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46"/>
        </w:trPr>
        <w:tc>
          <w:tcPr>
            <w:tcW w:w="6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Q1 2012</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Q1 2011</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Revenue</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37.8</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36.2</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Earnings per share (EPS) fully diluted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0.60</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1.77</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Impact of special items on EPS fully diluted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(0.33)</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0.82</w:t>
            </w:r>
          </w:p>
        </w:tc>
      </w:tr>
      <w:tr>
        <w:trPr>
          <w:trHeight w:val="446"/>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EBIT-adjusted</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2.2</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446"/>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Automotive net cash flow from operating activities</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41"/>
        </w:trPr>
        <w:tc>
          <w:tcPr>
            <w:tcW w:w="6140" w:type="dxa"/>
            <w:vAlign w:val="bottom"/>
          </w:tcPr>
          <w:p>
            <w:pPr>
              <w:ind w:left="1480"/>
              <w:spacing w:after="0"/>
              <w:rPr>
                <w:sz w:val="20"/>
                <w:szCs w:val="20"/>
                <w:color w:val="auto"/>
              </w:rPr>
            </w:pPr>
            <w:r>
              <w:rPr>
                <w:rFonts w:ascii="Arial" w:cs="Arial" w:eastAsia="Arial" w:hAnsi="Arial"/>
                <w:sz w:val="16"/>
                <w:szCs w:val="16"/>
                <w:b w:val="1"/>
                <w:bCs w:val="1"/>
                <w:color w:val="auto"/>
              </w:rPr>
              <w:t>Automotive free cash flow</w:t>
            </w: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0.3</w:t>
            </w:r>
          </w:p>
        </w:tc>
        <w:tc>
          <w:tcPr>
            <w:tcW w:w="420" w:type="dxa"/>
            <w:vAlign w:val="bottom"/>
          </w:tcPr>
          <w:p>
            <w:pPr>
              <w:jc w:val="right"/>
              <w:ind w:right="240"/>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(1.9)</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20" w:lineRule="exact"/>
        <w:rPr>
          <w:sz w:val="20"/>
          <w:szCs w:val="20"/>
          <w:color w:val="auto"/>
        </w:rPr>
      </w:pPr>
    </w:p>
    <w:p>
      <w:pPr>
        <w:ind w:left="580" w:right="400" w:hanging="294"/>
        <w:spacing w:after="0" w:line="237" w:lineRule="auto"/>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North America (GMNA) reported EBIT-adjusted of $1.7 billion, including restructuring costs of $0.1 billion, an improvement of $0.4 billion compared with the first quarter of 2011.</w:t>
      </w:r>
    </w:p>
    <w:p>
      <w:pPr>
        <w:spacing w:after="0" w:line="1" w:lineRule="exact"/>
        <w:rPr>
          <w:rFonts w:ascii="Arial" w:cs="Arial" w:eastAsia="Arial" w:hAnsi="Arial"/>
          <w:sz w:val="16"/>
          <w:szCs w:val="16"/>
          <w:color w:val="auto"/>
        </w:rPr>
      </w:pPr>
    </w:p>
    <w:p>
      <w:pPr>
        <w:ind w:left="580" w:hanging="294"/>
        <w:spacing w:after="0"/>
        <w:tabs>
          <w:tab w:leader="none" w:pos="580" w:val="left"/>
        </w:tabs>
        <w:numPr>
          <w:ilvl w:val="0"/>
          <w:numId w:val="2"/>
        </w:numPr>
        <w:rPr>
          <w:rFonts w:ascii="Arial" w:cs="Arial" w:eastAsia="Arial" w:hAnsi="Arial"/>
          <w:sz w:val="16"/>
          <w:szCs w:val="16"/>
          <w:color w:val="auto"/>
        </w:rPr>
      </w:pPr>
      <w:r>
        <w:rPr>
          <w:rFonts w:ascii="Arial" w:cs="Arial" w:eastAsia="Arial" w:hAnsi="Arial"/>
          <w:sz w:val="18"/>
          <w:szCs w:val="18"/>
          <w:color w:val="auto"/>
        </w:rPr>
        <w:t>GM Europe (GME) reported an EBIT-adjusted loss of $0.3 billion compared with break-even results in the first quarter of 2011.</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0"/>
          </w:cols>
          <w:pgMar w:left="240" w:top="1440" w:right="219" w:bottom="1440" w:gutter="0" w:footer="0" w:header="0"/>
        </w:sectPr>
      </w:pPr>
    </w:p>
    <w:bookmarkStart w:id="5" w:name="page6"/>
    <w:bookmarkEnd w:id="5"/>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International Operations (GMIO) reported EBIT-adjusted of $0.5 billion, compared with $0.6 billion in the first quarter of 2011.</w:t>
      </w:r>
    </w:p>
    <w:p>
      <w:pPr>
        <w:ind w:left="580" w:hanging="294"/>
        <w:spacing w:after="0" w:line="237" w:lineRule="auto"/>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South America's (GMSA) EBIT-adjusted of $0.1 billion was flat compared with the first quarter of 2011.</w:t>
      </w:r>
    </w:p>
    <w:p>
      <w:pPr>
        <w:ind w:left="580" w:hanging="294"/>
        <w:spacing w:after="0"/>
        <w:tabs>
          <w:tab w:leader="none" w:pos="580" w:val="left"/>
        </w:tabs>
        <w:numPr>
          <w:ilvl w:val="0"/>
          <w:numId w:val="3"/>
        </w:numPr>
        <w:rPr>
          <w:rFonts w:ascii="Arial" w:cs="Arial" w:eastAsia="Arial" w:hAnsi="Arial"/>
          <w:sz w:val="16"/>
          <w:szCs w:val="16"/>
          <w:color w:val="auto"/>
        </w:rPr>
      </w:pPr>
      <w:r>
        <w:rPr>
          <w:rFonts w:ascii="Arial" w:cs="Arial" w:eastAsia="Arial" w:hAnsi="Arial"/>
          <w:sz w:val="18"/>
          <w:szCs w:val="18"/>
          <w:color w:val="auto"/>
        </w:rPr>
        <w:t>GM Financial earnings before tax was $0.2 billion for the quarter, a $0.1 billion increase from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and Liquidity</w:t>
      </w:r>
    </w:p>
    <w:p>
      <w:pPr>
        <w:spacing w:after="0" w:line="20" w:lineRule="exact"/>
        <w:rPr>
          <w:sz w:val="20"/>
          <w:szCs w:val="20"/>
          <w:color w:val="auto"/>
        </w:rPr>
      </w:pPr>
    </w:p>
    <w:p>
      <w:pPr>
        <w:jc w:val="both"/>
        <w:ind w:right="420"/>
        <w:spacing w:after="0"/>
        <w:rPr>
          <w:sz w:val="20"/>
          <w:szCs w:val="20"/>
          <w:color w:val="auto"/>
        </w:rPr>
      </w:pPr>
      <w:r>
        <w:rPr>
          <w:rFonts w:ascii="Arial" w:cs="Arial" w:eastAsia="Arial" w:hAnsi="Arial"/>
          <w:sz w:val="18"/>
          <w:szCs w:val="18"/>
          <w:color w:val="auto"/>
        </w:rPr>
        <w:t>For the quarter, automotive cash flow from operating activities was $2.3 billion and automotive free cash flow was $0.3 billion. GM ended the quarter with very strong total automotive liquidity of $37.3 billion. Automotive cash and marketable securities was $31.5 billion compared with $31.6 billion at the end of the fourth quarter of 2011.</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2012 GMNA Outlook</w:t>
      </w:r>
    </w:p>
    <w:p>
      <w:pPr>
        <w:spacing w:after="0" w:line="20"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With the strengthening U.S. economy helping release pent-up demand, GM now expects that full-year 2012 U.S. light vehicle sales will be in the 14.0 million - 14.5 million range. Previously, the company expected sales to fall between 13.5 million - 14.0 million units.</w:t>
      </w:r>
    </w:p>
    <w:p>
      <w:pPr>
        <w:spacing w:after="0" w:line="184" w:lineRule="exact"/>
        <w:rPr>
          <w:sz w:val="20"/>
          <w:szCs w:val="20"/>
          <w:color w:val="auto"/>
        </w:rPr>
      </w:pPr>
    </w:p>
    <w:p>
      <w:pPr>
        <w:ind w:right="200"/>
        <w:spacing w:after="0" w:line="243" w:lineRule="auto"/>
        <w:rPr>
          <w:sz w:val="20"/>
          <w:szCs w:val="20"/>
          <w:color w:val="auto"/>
        </w:rPr>
      </w:pPr>
      <w:r>
        <w:rPr>
          <w:rFonts w:ascii="Arial" w:cs="Arial" w:eastAsia="Arial" w:hAnsi="Arial"/>
          <w:sz w:val="18"/>
          <w:szCs w:val="18"/>
          <w:color w:val="auto"/>
        </w:rPr>
        <w:t>Based upon the company's current outlook, GMNA's results for the second and third quarters of 2012 are expected to be comparable to the first quarter of 2012 due to the scheduled downtime at factories that produce full-size trucks.</w:t>
      </w:r>
    </w:p>
    <w:p>
      <w:pPr>
        <w:spacing w:after="0" w:line="184"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“We are aggressively eliminating complexity to reduce our costs, and at that same time, we are preparing for more than 20 major vehicle launches around the world in 2012 to drive revenue this year and farther into the future,” said Dan Ammann, senior vice president and CFO.</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 xml:space="preserve">General Motors Co. (NYSE:GM, TSX: GMM) and its partners produce vehicles in 30 countries, and the company has leadership positions in the world's largest and fastest-growing automotive markets. GM's brands include Chevrolet and Cadillac, as well as Baojun, Buick, GMC, Holden, Isuzu, Daewoo, Jiefang, Opel, Vauxhall and Wuling. More information on the company and its subsidiaries, including OnStar, a global leader in vehicle safety, security and information services, can be found at </w:t>
      </w:r>
      <w:r>
        <w:rPr>
          <w:rFonts w:ascii="Arial" w:cs="Arial" w:eastAsia="Arial" w:hAnsi="Arial"/>
          <w:sz w:val="16"/>
          <w:szCs w:val="16"/>
          <w:u w:val="single" w:color="auto"/>
          <w:color w:val="0000FF"/>
        </w:rPr>
        <w:t>http://www.gm.com</w:t>
      </w:r>
      <w:r>
        <w:rPr>
          <w:rFonts w:ascii="Arial" w:cs="Arial" w:eastAsia="Arial" w:hAnsi="Arial"/>
          <w:sz w:val="16"/>
          <w:szCs w:val="16"/>
          <w:color w:val="auto"/>
        </w:rPr>
        <w:t>.</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Contacts:</w:t>
      </w:r>
    </w:p>
    <w:p>
      <w:pPr>
        <w:sectPr>
          <w:pgSz w:w="11900" w:h="16838" w:orient="portrait"/>
          <w:cols w:equalWidth="0" w:num="1">
            <w:col w:w="11420"/>
          </w:cols>
          <w:pgMar w:left="240" w:top="544" w:right="239" w:bottom="1440" w:gutter="0" w:footer="0" w:header="0"/>
        </w:sectPr>
      </w:pPr>
    </w:p>
    <w:p>
      <w:pPr>
        <w:spacing w:after="0" w:line="77" w:lineRule="exact"/>
        <w:rPr>
          <w:sz w:val="20"/>
          <w:szCs w:val="20"/>
          <w:color w:val="auto"/>
        </w:rPr>
      </w:pPr>
    </w:p>
    <w:p>
      <w:pPr>
        <w:ind w:left="20"/>
        <w:spacing w:after="0"/>
        <w:rPr>
          <w:sz w:val="20"/>
          <w:szCs w:val="20"/>
          <w:color w:val="auto"/>
        </w:rPr>
      </w:pPr>
      <w:r>
        <w:rPr>
          <w:rFonts w:ascii="Arial" w:cs="Arial" w:eastAsia="Arial" w:hAnsi="Arial"/>
          <w:sz w:val="15"/>
          <w:szCs w:val="15"/>
          <w:color w:val="auto"/>
        </w:rPr>
        <w:t>Jim Cain</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5100"/>
        <w:spacing w:after="0"/>
        <w:rPr>
          <w:sz w:val="20"/>
          <w:szCs w:val="20"/>
          <w:color w:val="auto"/>
        </w:rPr>
      </w:pPr>
      <w:r>
        <w:rPr>
          <w:rFonts w:ascii="Arial" w:cs="Arial" w:eastAsia="Arial" w:hAnsi="Arial"/>
          <w:sz w:val="15"/>
          <w:szCs w:val="15"/>
          <w:color w:val="auto"/>
        </w:rPr>
        <w:t>Randy Arickx</w:t>
      </w:r>
    </w:p>
    <w:p>
      <w:pPr>
        <w:spacing w:after="0" w:line="69" w:lineRule="exact"/>
        <w:rPr>
          <w:sz w:val="20"/>
          <w:szCs w:val="20"/>
          <w:color w:val="auto"/>
        </w:rPr>
      </w:pPr>
    </w:p>
    <w:p>
      <w:pPr>
        <w:sectPr>
          <w:pgSz w:w="11900" w:h="16838" w:orient="portrait"/>
          <w:cols w:equalWidth="0" w:num="2">
            <w:col w:w="4660" w:space="720"/>
            <w:col w:w="6040"/>
          </w:cols>
          <w:pgMar w:left="240" w:top="54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Cell 313-407-2843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Cell 313-268-7070</w:t>
      </w:r>
    </w:p>
    <w:p>
      <w:pPr>
        <w:spacing w:after="0" w:line="57" w:lineRule="exact"/>
        <w:rPr>
          <w:sz w:val="20"/>
          <w:szCs w:val="20"/>
          <w:color w:val="auto"/>
        </w:rPr>
      </w:pPr>
    </w:p>
    <w:p>
      <w:pPr>
        <w:sectPr>
          <w:pgSz w:w="11900" w:h="16838" w:orient="portrait"/>
          <w:cols w:equalWidth="0" w:num="2">
            <w:col w:w="4660" w:space="720"/>
            <w:col w:w="6040"/>
          </w:cols>
          <w:pgMar w:left="240" w:top="54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james.cain@gm.com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randy.c.arickx@gm.com</w:t>
      </w:r>
    </w:p>
    <w:p>
      <w:pPr>
        <w:spacing w:after="0" w:line="200" w:lineRule="exact"/>
        <w:rPr>
          <w:sz w:val="20"/>
          <w:szCs w:val="20"/>
          <w:color w:val="auto"/>
        </w:rPr>
      </w:pPr>
    </w:p>
    <w:p>
      <w:pPr>
        <w:sectPr>
          <w:pgSz w:w="11900" w:h="16838" w:orient="portrait"/>
          <w:cols w:equalWidth="0" w:num="2">
            <w:col w:w="4660" w:space="720"/>
            <w:col w:w="6040"/>
          </w:cols>
          <w:pgMar w:left="240" w:top="544" w:right="239" w:bottom="1440" w:gutter="0" w:footer="0" w:header="0"/>
          <w:type w:val="continuous"/>
        </w:sectPr>
      </w:pPr>
    </w:p>
    <w:p>
      <w:pPr>
        <w:spacing w:after="0" w:line="2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liquidity and financing sources and an appropriate level of debt, including as required to fund our planned significant investment in new technology; the ability of our suppliers to timely deliver parts, components and systems; our ability to realize successful vehicle applications of new technology; and our ability to continue to attract new customers, particularly for our new products. GM's most recent annual report on Form 10-K and quarterly reports on Form 10-Q provides information about these and other factors, which we may revise or supplement in future reports to the SEC.</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544" w:right="239" w:bottom="1440" w:gutter="0" w:footer="0" w:header="0"/>
          <w:type w:val="continuous"/>
        </w:sectPr>
      </w:pPr>
    </w:p>
    <w:bookmarkStart w:id="6" w:name="page7"/>
    <w:bookmarkEnd w:id="6"/>
    <w:p>
      <w:pPr>
        <w:jc w:val="center"/>
        <w:ind w:left="880"/>
        <w:spacing w:after="0"/>
        <w:rPr>
          <w:sz w:val="20"/>
          <w:szCs w:val="20"/>
          <w:color w:val="auto"/>
        </w:rPr>
      </w:pPr>
      <w:r>
        <w:rPr>
          <w:rFonts w:ascii="Arial" w:cs="Arial" w:eastAsia="Arial" w:hAnsi="Arial"/>
          <w:sz w:val="16"/>
          <w:szCs w:val="16"/>
          <w:b w:val="1"/>
          <w:bCs w:val="1"/>
          <w:color w:val="auto"/>
        </w:rPr>
        <w:t>Exhibit 1</w:t>
      </w:r>
    </w:p>
    <w:p>
      <w:pPr>
        <w:spacing w:after="0" w:line="202"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46" w:lineRule="exact"/>
        <w:rPr>
          <w:sz w:val="20"/>
          <w:szCs w:val="20"/>
          <w:color w:val="auto"/>
        </w:rPr>
      </w:pPr>
    </w:p>
    <w:p>
      <w:pPr>
        <w:jc w:val="both"/>
        <w:ind w:left="4" w:right="80" w:firstLine="145"/>
        <w:spacing w:after="0" w:line="268" w:lineRule="auto"/>
        <w:rPr>
          <w:sz w:val="20"/>
          <w:szCs w:val="20"/>
          <w:color w:val="auto"/>
        </w:rPr>
      </w:pPr>
      <w:r>
        <w:rPr>
          <w:rFonts w:ascii="Arial" w:cs="Arial" w:eastAsia="Arial" w:hAnsi="Arial"/>
          <w:sz w:val="14"/>
          <w:szCs w:val="14"/>
          <w:color w:val="auto"/>
        </w:rPr>
        <w:t>The accompanying tables and charts include earnings before interest and taxes adjusted for special items, presented net of noncontrolling interests, and Automotive free cash flow. These metrics are not prepared in accordance with Accounting Principles Generally Accepted in the United States of America (U.S. GAAP) and have not been audited or reviewed by GM's independent auditors. EBIT-adjusted and Automotive free cash flow are considered non-GAAP financial measures.</w:t>
      </w:r>
    </w:p>
    <w:p>
      <w:pPr>
        <w:spacing w:after="0" w:line="136"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24" w:lineRule="exact"/>
        <w:rPr>
          <w:sz w:val="20"/>
          <w:szCs w:val="20"/>
          <w:color w:val="auto"/>
        </w:rPr>
      </w:pPr>
    </w:p>
    <w:p>
      <w:pPr>
        <w:ind w:left="4" w:right="120" w:firstLine="145"/>
        <w:spacing w:after="0" w:line="289" w:lineRule="auto"/>
        <w:rPr>
          <w:sz w:val="20"/>
          <w:szCs w:val="20"/>
          <w:color w:val="auto"/>
        </w:rPr>
      </w:pPr>
      <w:r>
        <w:rPr>
          <w:rFonts w:ascii="Arial" w:cs="Arial" w:eastAsia="Arial" w:hAnsi="Arial"/>
          <w:sz w:val="13"/>
          <w:szCs w:val="13"/>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common stockholders. Due to these limitations, these non-GAAP financial measures are used as a supplement to U.S. GAAP measures.</w:t>
      </w:r>
    </w:p>
    <w:p>
      <w:pPr>
        <w:spacing w:after="0" w:line="136"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the reconciliation of EBIT-adjusted to its most comparable U.S. GAAP measure (dollars in millions):</w:t>
      </w:r>
    </w:p>
    <w:p>
      <w:pPr>
        <w:spacing w:after="0" w:line="161"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Three Months Ended March</w:t>
      </w:r>
    </w:p>
    <w:p>
      <w:pPr>
        <w:spacing w:after="0" w:line="26" w:lineRule="exact"/>
        <w:rPr>
          <w:sz w:val="20"/>
          <w:szCs w:val="20"/>
          <w:color w:val="auto"/>
        </w:rPr>
      </w:pPr>
    </w:p>
    <w:p>
      <w:pPr>
        <w:jc w:val="center"/>
        <w:ind w:left="9520"/>
        <w:spacing w:after="0"/>
        <w:rPr>
          <w:sz w:val="20"/>
          <w:szCs w:val="20"/>
          <w:color w:val="auto"/>
        </w:rPr>
      </w:pPr>
      <w:r>
        <w:rPr>
          <w:rFonts w:ascii="Arial" w:cs="Arial" w:eastAsia="Arial" w:hAnsi="Arial"/>
          <w:sz w:val="14"/>
          <w:szCs w:val="14"/>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6028055</wp:posOffset>
            </wp:positionH>
            <wp:positionV relativeFrom="paragraph">
              <wp:posOffset>31750</wp:posOffset>
            </wp:positionV>
            <wp:extent cx="12331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3170" cy="7620"/>
                    </a:xfrm>
                    <a:prstGeom prst="rect">
                      <a:avLst/>
                    </a:prstGeom>
                    <a:noFill/>
                  </pic:spPr>
                </pic:pic>
              </a:graphicData>
            </a:graphic>
          </wp:anchor>
        </w:drawing>
      </w:r>
    </w:p>
    <w:p>
      <w:pPr>
        <w:spacing w:after="0" w:line="66"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9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48"/>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30"/>
        </w:trPr>
        <w:tc>
          <w:tcPr>
            <w:tcW w:w="9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Operating segments</w:t>
            </w: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GMNA(a)</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1,691</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1,253</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GME(a)</w:t>
            </w:r>
          </w:p>
        </w:tc>
        <w:tc>
          <w:tcPr>
            <w:tcW w:w="2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(256)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GMIO(a)</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586</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GMSA(a)</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GM Financial(b)</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30"/>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480" w:type="dxa"/>
            <w:vAlign w:val="bottom"/>
          </w:tcPr>
          <w:p>
            <w:pPr>
              <w:ind w:left="160"/>
              <w:spacing w:after="0"/>
              <w:rPr>
                <w:sz w:val="20"/>
                <w:szCs w:val="20"/>
                <w:color w:val="auto"/>
              </w:rPr>
            </w:pPr>
            <w:r>
              <w:rPr>
                <w:rFonts w:ascii="Arial" w:cs="Arial" w:eastAsia="Arial" w:hAnsi="Arial"/>
                <w:sz w:val="14"/>
                <w:szCs w:val="14"/>
                <w:color w:val="auto"/>
              </w:rPr>
              <w:t>Total operating segments(b)</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2,228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4"/>
                <w:szCs w:val="14"/>
                <w:color w:val="auto"/>
              </w:rPr>
              <w:t>Corporate and eliminations</w:t>
            </w:r>
          </w:p>
        </w:tc>
        <w:tc>
          <w:tcPr>
            <w:tcW w:w="2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30"/>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EBIT-adjusted(b)</w:t>
            </w:r>
          </w:p>
        </w:tc>
        <w:tc>
          <w:tcPr>
            <w:tcW w:w="220" w:type="dxa"/>
            <w:vAlign w:val="bottom"/>
          </w:tcPr>
          <w:p>
            <w:pPr>
              <w:spacing w:after="0"/>
              <w:rPr>
                <w:sz w:val="16"/>
                <w:szCs w:val="16"/>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b w:val="1"/>
                <w:bCs w:val="1"/>
                <w:color w:val="auto"/>
              </w:rPr>
              <w:t>2,182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b w:val="1"/>
                <w:bCs w:val="1"/>
                <w:color w:val="auto"/>
              </w:rPr>
              <w:t>2,042</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Special items</w:t>
            </w:r>
          </w:p>
        </w:tc>
        <w:tc>
          <w:tcPr>
            <w:tcW w:w="220" w:type="dxa"/>
            <w:vAlign w:val="bottom"/>
          </w:tcPr>
          <w:p>
            <w:pPr>
              <w:spacing w:after="0"/>
              <w:rPr>
                <w:sz w:val="20"/>
                <w:szCs w:val="20"/>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1,483</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89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Automotive interest expense</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Loss on extinguishment of debt</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4"/>
                <w:szCs w:val="14"/>
                <w:color w:val="auto"/>
              </w:rPr>
              <w:t>Income tax expense</w:t>
            </w:r>
          </w:p>
        </w:tc>
        <w:tc>
          <w:tcPr>
            <w:tcW w:w="220" w:type="dxa"/>
            <w:vAlign w:val="bottom"/>
          </w:tcPr>
          <w:p>
            <w:pPr>
              <w:spacing w:after="0"/>
              <w:rPr>
                <w:sz w:val="20"/>
                <w:szCs w:val="20"/>
                <w:color w:val="auto"/>
              </w:rPr>
            </w:pPr>
          </w:p>
        </w:tc>
        <w:tc>
          <w:tcPr>
            <w:tcW w:w="720" w:type="dxa"/>
            <w:vAlign w:val="bottom"/>
          </w:tcPr>
          <w:p>
            <w:pPr>
              <w:jc w:val="right"/>
              <w:ind w:right="4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30"/>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9480" w:type="dxa"/>
            <w:vAlign w:val="bottom"/>
          </w:tcPr>
          <w:p>
            <w:pPr>
              <w:ind w:left="20"/>
              <w:spacing w:after="0"/>
              <w:rPr>
                <w:sz w:val="20"/>
                <w:szCs w:val="20"/>
                <w:color w:val="auto"/>
              </w:rPr>
            </w:pPr>
            <w:r>
              <w:rPr>
                <w:rFonts w:ascii="Arial" w:cs="Arial" w:eastAsia="Arial" w:hAnsi="Arial"/>
                <w:sz w:val="14"/>
                <w:szCs w:val="14"/>
                <w:b w:val="1"/>
                <w:bCs w:val="1"/>
                <w:color w:val="auto"/>
              </w:rPr>
              <w:t>Net income attributable to stockholders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1,315</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7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3,366</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948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284" w:right="20" w:hanging="284"/>
        <w:spacing w:after="0" w:line="251" w:lineRule="auto"/>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284" w:hanging="284"/>
        <w:spacing w:after="0"/>
        <w:tabs>
          <w:tab w:leader="none" w:pos="284" w:val="left"/>
        </w:tabs>
        <w:numPr>
          <w:ilvl w:val="0"/>
          <w:numId w:val="4"/>
        </w:numPr>
        <w:rPr>
          <w:rFonts w:ascii="Arial" w:cs="Arial" w:eastAsia="Arial" w:hAnsi="Arial"/>
          <w:sz w:val="14"/>
          <w:szCs w:val="14"/>
          <w:color w:val="auto"/>
        </w:rPr>
      </w:pPr>
      <w:r>
        <w:rPr>
          <w:rFonts w:ascii="Arial" w:cs="Arial" w:eastAsia="Arial" w:hAnsi="Arial"/>
          <w:sz w:val="14"/>
          <w:szCs w:val="14"/>
          <w:color w:val="auto"/>
        </w:rPr>
        <w:t>GM Financial amounts represent income before income taxes.</w:t>
      </w: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44"/>
          </w:cols>
          <w:pgMar w:left="236" w:top="533" w:right="219" w:bottom="1440" w:gutter="0" w:footer="0" w:header="0"/>
        </w:sectPr>
      </w:pPr>
    </w:p>
    <w:bookmarkStart w:id="7" w:name="page8"/>
    <w:bookmarkEnd w:id="7"/>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i w:val="1"/>
          <w:iCs w:val="1"/>
          <w:color w:val="auto"/>
        </w:rPr>
        <w:t>(Unaudited)</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special items: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the three months ended March 31, 2012 special items included the following:</w:t>
      </w:r>
    </w:p>
    <w:p>
      <w:pPr>
        <w:spacing w:after="0" w:line="202" w:lineRule="exact"/>
        <w:rPr>
          <w:sz w:val="20"/>
          <w:szCs w:val="20"/>
          <w:color w:val="auto"/>
        </w:rPr>
      </w:pPr>
    </w:p>
    <w:p>
      <w:pPr>
        <w:ind w:right="5460" w:firstLine="431"/>
        <w:spacing w:after="0" w:line="537" w:lineRule="auto"/>
        <w:tabs>
          <w:tab w:leader="none" w:pos="724" w:val="left"/>
        </w:tabs>
        <w:numPr>
          <w:ilvl w:val="0"/>
          <w:numId w:val="5"/>
        </w:numPr>
        <w:rPr>
          <w:rFonts w:ascii="Arial" w:cs="Arial" w:eastAsia="Arial" w:hAnsi="Arial"/>
          <w:sz w:val="15"/>
          <w:szCs w:val="15"/>
          <w:color w:val="auto"/>
        </w:rPr>
      </w:pPr>
      <w:r>
        <w:rPr>
          <w:rFonts w:ascii="Arial" w:cs="Arial" w:eastAsia="Arial" w:hAnsi="Arial"/>
          <w:sz w:val="15"/>
          <w:szCs w:val="15"/>
          <w:color w:val="auto"/>
        </w:rPr>
        <w:t>Goodwill impairment charges of $590 million in GME and $22 million in GMIO. In the three months ended March 31, 2011 special items included the following:</w:t>
      </w: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 of $1.6 billion in GMNA related to the sale of GM's Class A Membership Interests in Delphi Automotive LLP;</w:t>
      </w:r>
    </w:p>
    <w:p>
      <w:pPr>
        <w:spacing w:after="0" w:line="21" w:lineRule="exact"/>
        <w:rPr>
          <w:rFonts w:ascii="Arial" w:cs="Arial" w:eastAsia="Arial" w:hAnsi="Arial"/>
          <w:sz w:val="16"/>
          <w:szCs w:val="16"/>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 of $339 million in Corporate related to the sale of 100% of the Ally Financial, Inc. preferred stock;</w:t>
      </w:r>
    </w:p>
    <w:p>
      <w:pPr>
        <w:spacing w:after="0" w:line="9" w:lineRule="exact"/>
        <w:rPr>
          <w:rFonts w:ascii="Arial" w:cs="Arial" w:eastAsia="Arial" w:hAnsi="Arial"/>
          <w:sz w:val="16"/>
          <w:szCs w:val="16"/>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Goodwill impairment charges of $395 million in GME; and</w:t>
      </w:r>
    </w:p>
    <w:p>
      <w:pPr>
        <w:spacing w:after="0" w:line="9" w:lineRule="exact"/>
        <w:rPr>
          <w:rFonts w:ascii="Arial" w:cs="Arial" w:eastAsia="Arial" w:hAnsi="Arial"/>
          <w:sz w:val="16"/>
          <w:szCs w:val="16"/>
          <w:color w:val="auto"/>
        </w:rPr>
      </w:pPr>
    </w:p>
    <w:p>
      <w:pPr>
        <w:ind w:left="720" w:hanging="289"/>
        <w:spacing w:after="0"/>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Charges of $106 million in GMIO related to GM's India joint venture.</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The following table summarizes the reconciliation of Automotive free cash flow to Automotive net cash provided by (used in) operating activities (dollars in millions):</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49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center"/>
              <w:ind w:right="64"/>
              <w:spacing w:after="0"/>
              <w:rPr>
                <w:sz w:val="20"/>
                <w:szCs w:val="20"/>
                <w:color w:val="auto"/>
              </w:rPr>
            </w:pPr>
            <w:r>
              <w:rPr>
                <w:rFonts w:ascii="Arial" w:cs="Arial" w:eastAsia="Arial" w:hAnsi="Arial"/>
                <w:sz w:val="13"/>
                <w:szCs w:val="13"/>
                <w:b w:val="1"/>
                <w:bCs w:val="1"/>
                <w:color w:val="auto"/>
                <w:w w:val="91"/>
              </w:rPr>
              <w:t>Three Months Ended March 31,</w:t>
            </w:r>
          </w:p>
        </w:tc>
        <w:tc>
          <w:tcPr>
            <w:tcW w:w="0" w:type="dxa"/>
            <w:vAlign w:val="bottom"/>
          </w:tcPr>
          <w:p>
            <w:pPr>
              <w:spacing w:after="0"/>
              <w:rPr>
                <w:sz w:val="1"/>
                <w:szCs w:val="1"/>
                <w:color w:val="auto"/>
              </w:rPr>
            </w:pPr>
          </w:p>
        </w:tc>
      </w:tr>
      <w:tr>
        <w:trPr>
          <w:trHeight w:val="233"/>
        </w:trPr>
        <w:tc>
          <w:tcPr>
            <w:tcW w:w="496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14"/>
        </w:trPr>
        <w:tc>
          <w:tcPr>
            <w:tcW w:w="4960" w:type="dxa"/>
            <w:vAlign w:val="bottom"/>
          </w:tcPr>
          <w:p>
            <w:pPr>
              <w:spacing w:after="0"/>
              <w:rPr>
                <w:sz w:val="20"/>
                <w:szCs w:val="20"/>
                <w:color w:val="auto"/>
              </w:rPr>
            </w:pPr>
            <w:r>
              <w:rPr>
                <w:rFonts w:ascii="Arial" w:cs="Arial" w:eastAsia="Arial" w:hAnsi="Arial"/>
                <w:sz w:val="16"/>
                <w:szCs w:val="16"/>
                <w:color w:val="auto"/>
              </w:rPr>
              <w:t>Automotive free cash flow</w:t>
            </w:r>
          </w:p>
        </w:tc>
        <w:tc>
          <w:tcPr>
            <w:tcW w:w="44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46"/>
              <w:spacing w:after="0"/>
              <w:rPr>
                <w:sz w:val="20"/>
                <w:szCs w:val="20"/>
                <w:color w:val="auto"/>
              </w:rPr>
            </w:pPr>
            <w:r>
              <w:rPr>
                <w:rFonts w:ascii="Arial" w:cs="Arial" w:eastAsia="Arial" w:hAnsi="Arial"/>
                <w:sz w:val="16"/>
                <w:szCs w:val="16"/>
                <w:color w:val="auto"/>
              </w:rPr>
              <w:t>282</w:t>
            </w:r>
          </w:p>
        </w:tc>
        <w:tc>
          <w:tcPr>
            <w:tcW w:w="120" w:type="dxa"/>
            <w:vAlign w:val="bottom"/>
          </w:tcPr>
          <w:p>
            <w:pPr>
              <w:spacing w:after="0"/>
              <w:rPr>
                <w:sz w:val="18"/>
                <w:szCs w:val="18"/>
                <w:color w:val="auto"/>
              </w:rPr>
            </w:pPr>
          </w:p>
        </w:tc>
        <w:tc>
          <w:tcPr>
            <w:tcW w:w="280" w:type="dxa"/>
            <w:vAlign w:val="bottom"/>
          </w:tcPr>
          <w:p>
            <w:pPr>
              <w:jc w:val="center"/>
              <w:ind w:right="40"/>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(1,918)</w:t>
            </w:r>
          </w:p>
        </w:tc>
        <w:tc>
          <w:tcPr>
            <w:tcW w:w="0" w:type="dxa"/>
            <w:vAlign w:val="bottom"/>
          </w:tcPr>
          <w:p>
            <w:pPr>
              <w:spacing w:after="0"/>
              <w:rPr>
                <w:sz w:val="1"/>
                <w:szCs w:val="1"/>
                <w:color w:val="auto"/>
              </w:rPr>
            </w:pPr>
          </w:p>
        </w:tc>
      </w:tr>
      <w:tr>
        <w:trPr>
          <w:trHeight w:val="241"/>
        </w:trPr>
        <w:tc>
          <w:tcPr>
            <w:tcW w:w="4960" w:type="dxa"/>
            <w:vAlign w:val="bottom"/>
          </w:tcPr>
          <w:p>
            <w:pPr>
              <w:spacing w:after="0"/>
              <w:rPr>
                <w:sz w:val="20"/>
                <w:szCs w:val="20"/>
                <w:color w:val="auto"/>
              </w:rPr>
            </w:pPr>
            <w:r>
              <w:rPr>
                <w:rFonts w:ascii="Arial" w:cs="Arial" w:eastAsia="Arial" w:hAnsi="Arial"/>
                <w:sz w:val="16"/>
                <w:szCs w:val="16"/>
                <w:color w:val="auto"/>
              </w:rPr>
              <w:t>Capital expenditures</w:t>
            </w:r>
          </w:p>
        </w:tc>
        <w:tc>
          <w:tcPr>
            <w:tcW w:w="4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6"/>
              <w:spacing w:after="0"/>
              <w:rPr>
                <w:sz w:val="20"/>
                <w:szCs w:val="20"/>
                <w:color w:val="auto"/>
              </w:rPr>
            </w:pPr>
            <w:r>
              <w:rPr>
                <w:rFonts w:ascii="Arial" w:cs="Arial" w:eastAsia="Arial" w:hAnsi="Arial"/>
                <w:sz w:val="16"/>
                <w:szCs w:val="16"/>
                <w:color w:val="auto"/>
              </w:rPr>
              <w:t>1,990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jc w:val="right"/>
              <w:ind w:right="44"/>
              <w:spacing w:after="0"/>
              <w:rPr>
                <w:sz w:val="20"/>
                <w:szCs w:val="20"/>
                <w:color w:val="auto"/>
              </w:rPr>
            </w:pPr>
            <w:r>
              <w:rPr>
                <w:rFonts w:ascii="Arial" w:cs="Arial" w:eastAsia="Arial" w:hAnsi="Arial"/>
                <w:sz w:val="16"/>
                <w:szCs w:val="16"/>
                <w:color w:val="auto"/>
              </w:rPr>
              <w:t>1,322</w:t>
            </w:r>
          </w:p>
        </w:tc>
        <w:tc>
          <w:tcPr>
            <w:tcW w:w="0" w:type="dxa"/>
            <w:vAlign w:val="bottom"/>
          </w:tcPr>
          <w:p>
            <w:pPr>
              <w:spacing w:after="0"/>
              <w:rPr>
                <w:sz w:val="1"/>
                <w:szCs w:val="1"/>
                <w:color w:val="auto"/>
              </w:rPr>
            </w:pPr>
          </w:p>
        </w:tc>
      </w:tr>
      <w:tr>
        <w:trPr>
          <w:trHeight w:val="24"/>
        </w:trPr>
        <w:tc>
          <w:tcPr>
            <w:tcW w:w="4960" w:type="dxa"/>
            <w:vAlign w:val="bottom"/>
          </w:tcPr>
          <w:p>
            <w:pPr>
              <w:spacing w:after="0"/>
              <w:rPr>
                <w:sz w:val="2"/>
                <w:szCs w:val="2"/>
                <w:color w:val="auto"/>
              </w:rPr>
            </w:pPr>
          </w:p>
        </w:tc>
        <w:tc>
          <w:tcPr>
            <w:tcW w:w="42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4960" w:type="dxa"/>
            <w:vAlign w:val="bottom"/>
          </w:tcPr>
          <w:p>
            <w:pPr>
              <w:spacing w:after="0"/>
              <w:rPr>
                <w:sz w:val="20"/>
                <w:szCs w:val="20"/>
                <w:color w:val="auto"/>
              </w:rPr>
            </w:pPr>
            <w:r>
              <w:rPr>
                <w:rFonts w:ascii="Arial" w:cs="Arial" w:eastAsia="Arial" w:hAnsi="Arial"/>
                <w:sz w:val="16"/>
                <w:szCs w:val="16"/>
                <w:b w:val="1"/>
                <w:bCs w:val="1"/>
                <w:color w:val="auto"/>
              </w:rPr>
              <w:t>Automotive net cash provided by (used in) operating activities</w:t>
            </w:r>
          </w:p>
        </w:tc>
        <w:tc>
          <w:tcPr>
            <w:tcW w:w="444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760" w:type="dxa"/>
            <w:vAlign w:val="bottom"/>
          </w:tcPr>
          <w:p>
            <w:pPr>
              <w:jc w:val="right"/>
              <w:ind w:right="46"/>
              <w:spacing w:after="0"/>
              <w:rPr>
                <w:sz w:val="20"/>
                <w:szCs w:val="20"/>
                <w:color w:val="auto"/>
              </w:rPr>
            </w:pPr>
            <w:r>
              <w:rPr>
                <w:rFonts w:ascii="Arial" w:cs="Arial" w:eastAsia="Arial" w:hAnsi="Arial"/>
                <w:sz w:val="16"/>
                <w:szCs w:val="16"/>
                <w:b w:val="1"/>
                <w:bCs w:val="1"/>
                <w:color w:val="auto"/>
              </w:rPr>
              <w:t>2,272</w:t>
            </w:r>
          </w:p>
        </w:tc>
        <w:tc>
          <w:tcPr>
            <w:tcW w:w="120" w:type="dxa"/>
            <w:vAlign w:val="bottom"/>
          </w:tcPr>
          <w:p>
            <w:pPr>
              <w:spacing w:after="0"/>
              <w:rPr>
                <w:sz w:val="19"/>
                <w:szCs w:val="19"/>
                <w:color w:val="auto"/>
              </w:rPr>
            </w:pPr>
          </w:p>
        </w:tc>
        <w:tc>
          <w:tcPr>
            <w:tcW w:w="28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(596)</w:t>
            </w: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4280" w:type="dxa"/>
            <w:vAlign w:val="bottom"/>
            <w:vMerge w:val="restart"/>
          </w:tcPr>
          <w:p>
            <w:pPr>
              <w:jc w:val="right"/>
              <w:ind w:right="3420"/>
              <w:spacing w:after="0"/>
              <w:rPr>
                <w:sz w:val="20"/>
                <w:szCs w:val="20"/>
                <w:color w:val="auto"/>
              </w:rPr>
            </w:pPr>
            <w:r>
              <w:rPr>
                <w:rFonts w:ascii="Arial" w:cs="Arial" w:eastAsia="Arial" w:hAnsi="Arial"/>
                <w:sz w:val="16"/>
                <w:szCs w:val="16"/>
                <w:color w:val="auto"/>
              </w:rPr>
              <w:t>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4960" w:type="dxa"/>
            <w:vAlign w:val="bottom"/>
          </w:tcPr>
          <w:p>
            <w:pPr>
              <w:spacing w:after="0"/>
              <w:rPr>
                <w:sz w:val="24"/>
                <w:szCs w:val="24"/>
                <w:color w:val="auto"/>
              </w:rPr>
            </w:pPr>
          </w:p>
        </w:tc>
        <w:tc>
          <w:tcPr>
            <w:tcW w:w="42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33" w:right="219" w:bottom="1440" w:gutter="0" w:footer="0" w:header="0"/>
        </w:sectPr>
      </w:pPr>
    </w:p>
    <w:bookmarkStart w:id="8" w:name="page9"/>
    <w:bookmarkEnd w:id="8"/>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25" w:lineRule="exact"/>
        <w:rPr>
          <w:sz w:val="20"/>
          <w:szCs w:val="20"/>
          <w:color w:val="auto"/>
        </w:rPr>
      </w:pPr>
    </w:p>
    <w:tbl>
      <w:tblPr>
        <w:tblLayout w:type="fixed"/>
        <w:tblInd w:w="24" w:type="dxa"/>
        <w:tblCellMar>
          <w:top w:w="0" w:type="dxa"/>
          <w:left w:w="0" w:type="dxa"/>
          <w:bottom w:w="0" w:type="dxa"/>
          <w:right w:w="0" w:type="dxa"/>
        </w:tblCellMar>
      </w:tblPr>
      <w:tr>
        <w:trPr>
          <w:trHeight w:val="126"/>
        </w:trPr>
        <w:tc>
          <w:tcPr>
            <w:tcW w:w="2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20" w:type="dxa"/>
            <w:vAlign w:val="bottom"/>
          </w:tcPr>
          <w:p>
            <w:pPr>
              <w:spacing w:after="0"/>
              <w:rPr>
                <w:sz w:val="10"/>
                <w:szCs w:val="10"/>
                <w:color w:val="auto"/>
              </w:rPr>
            </w:pPr>
          </w:p>
        </w:tc>
      </w:tr>
      <w:tr>
        <w:trPr>
          <w:trHeight w:val="153"/>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GME</w:t>
            </w:r>
          </w:p>
        </w:tc>
        <w:tc>
          <w:tcPr>
            <w:tcW w:w="10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GMIO</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380" w:type="dxa"/>
            <w:vAlign w:val="bottom"/>
          </w:tcPr>
          <w:p>
            <w:pPr>
              <w:spacing w:after="0"/>
              <w:rPr>
                <w:sz w:val="20"/>
                <w:szCs w:val="20"/>
                <w:color w:val="auto"/>
              </w:rPr>
            </w:pPr>
            <w:r>
              <w:rPr>
                <w:rFonts w:ascii="Arial" w:cs="Arial" w:eastAsia="Arial" w:hAnsi="Arial"/>
                <w:sz w:val="11"/>
                <w:szCs w:val="11"/>
                <w:b w:val="1"/>
                <w:bCs w:val="1"/>
                <w:color w:val="auto"/>
              </w:rPr>
              <w:t>Three Months Ended March 31, 2012</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380" w:type="dxa"/>
            <w:vAlign w:val="bottom"/>
          </w:tcPr>
          <w:p>
            <w:pPr>
              <w:spacing w:after="0"/>
              <w:rPr>
                <w:sz w:val="20"/>
                <w:szCs w:val="20"/>
                <w:color w:val="auto"/>
              </w:rPr>
            </w:pPr>
            <w:r>
              <w:rPr>
                <w:rFonts w:ascii="Arial" w:cs="Arial" w:eastAsia="Arial" w:hAnsi="Arial"/>
                <w:sz w:val="11"/>
                <w:szCs w:val="11"/>
                <w:color w:val="auto"/>
              </w:rPr>
              <w:t>Total net sales and revenue</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24,176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4"/>
              <w:spacing w:after="0"/>
              <w:rPr>
                <w:sz w:val="20"/>
                <w:szCs w:val="20"/>
                <w:color w:val="auto"/>
              </w:rPr>
            </w:pPr>
            <w:r>
              <w:rPr>
                <w:rFonts w:ascii="Arial" w:cs="Arial" w:eastAsia="Arial" w:hAnsi="Arial"/>
                <w:sz w:val="11"/>
                <w:szCs w:val="11"/>
                <w:color w:val="auto"/>
              </w:rPr>
              <w:t>5,513</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4"/>
              <w:spacing w:after="0"/>
              <w:rPr>
                <w:sz w:val="20"/>
                <w:szCs w:val="20"/>
                <w:color w:val="auto"/>
              </w:rPr>
            </w:pPr>
            <w:r>
              <w:rPr>
                <w:rFonts w:ascii="Arial" w:cs="Arial" w:eastAsia="Arial" w:hAnsi="Arial"/>
                <w:sz w:val="11"/>
                <w:szCs w:val="11"/>
                <w:color w:val="auto"/>
              </w:rPr>
              <w:t>6,060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4"/>
              <w:spacing w:after="0"/>
              <w:rPr>
                <w:sz w:val="20"/>
                <w:szCs w:val="20"/>
                <w:color w:val="auto"/>
              </w:rPr>
            </w:pPr>
            <w:r>
              <w:rPr>
                <w:rFonts w:ascii="Arial" w:cs="Arial" w:eastAsia="Arial" w:hAnsi="Arial"/>
                <w:sz w:val="11"/>
                <w:szCs w:val="11"/>
                <w:color w:val="auto"/>
              </w:rPr>
              <w:t>3,939</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(2,375)</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37,328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431</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37,759</w:t>
            </w:r>
          </w:p>
        </w:tc>
      </w:tr>
      <w:tr>
        <w:trPr>
          <w:trHeight w:val="256"/>
        </w:trPr>
        <w:tc>
          <w:tcPr>
            <w:tcW w:w="2380" w:type="dxa"/>
            <w:vAlign w:val="bottom"/>
          </w:tcPr>
          <w:p>
            <w:pPr>
              <w:spacing w:after="0"/>
              <w:rPr>
                <w:sz w:val="20"/>
                <w:szCs w:val="20"/>
                <w:color w:val="auto"/>
              </w:rPr>
            </w:pPr>
            <w:r>
              <w:rPr>
                <w:rFonts w:ascii="Arial" w:cs="Arial" w:eastAsia="Arial" w:hAnsi="Arial"/>
                <w:sz w:val="11"/>
                <w:szCs w:val="11"/>
                <w:color w:val="auto"/>
                <w:w w:val="95"/>
              </w:rPr>
              <w:t>Depreciation, amortization and impairment of long-</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380" w:type="dxa"/>
            <w:vAlign w:val="bottom"/>
          </w:tcPr>
          <w:p>
            <w:pPr>
              <w:ind w:left="140"/>
              <w:spacing w:after="0"/>
              <w:rPr>
                <w:sz w:val="20"/>
                <w:szCs w:val="20"/>
                <w:color w:val="auto"/>
              </w:rPr>
            </w:pPr>
            <w:r>
              <w:rPr>
                <w:rFonts w:ascii="Arial" w:cs="Arial" w:eastAsia="Arial" w:hAnsi="Arial"/>
                <w:sz w:val="11"/>
                <w:szCs w:val="11"/>
                <w:color w:val="auto"/>
              </w:rPr>
              <w:t>lived assets and finite-lived intangible 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888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4"/>
              <w:spacing w:after="0"/>
              <w:rPr>
                <w:sz w:val="20"/>
                <w:szCs w:val="20"/>
                <w:color w:val="auto"/>
              </w:rPr>
            </w:pPr>
            <w:r>
              <w:rPr>
                <w:rFonts w:ascii="Arial" w:cs="Arial" w:eastAsia="Arial" w:hAnsi="Arial"/>
                <w:sz w:val="11"/>
                <w:szCs w:val="11"/>
                <w:color w:val="auto"/>
              </w:rPr>
              <w:t>280</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4"/>
              <w:spacing w:after="0"/>
              <w:rPr>
                <w:sz w:val="20"/>
                <w:szCs w:val="20"/>
                <w:color w:val="auto"/>
              </w:rPr>
            </w:pPr>
            <w:r>
              <w:rPr>
                <w:rFonts w:ascii="Arial" w:cs="Arial" w:eastAsia="Arial" w:hAnsi="Arial"/>
                <w:sz w:val="11"/>
                <w:szCs w:val="11"/>
                <w:color w:val="auto"/>
              </w:rPr>
              <w:t>129</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4"/>
              <w:spacing w:after="0"/>
              <w:rPr>
                <w:sz w:val="20"/>
                <w:szCs w:val="20"/>
                <w:color w:val="auto"/>
              </w:rPr>
            </w:pPr>
            <w:r>
              <w:rPr>
                <w:rFonts w:ascii="Arial" w:cs="Arial" w:eastAsia="Arial" w:hAnsi="Arial"/>
                <w:sz w:val="11"/>
                <w:szCs w:val="11"/>
                <w:color w:val="auto"/>
              </w:rPr>
              <w:t>118</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12</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1,427</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24"/>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1,468</w:t>
            </w:r>
          </w:p>
        </w:tc>
      </w:tr>
      <w:tr>
        <w:trPr>
          <w:trHeight w:val="350"/>
        </w:trPr>
        <w:tc>
          <w:tcPr>
            <w:tcW w:w="2380" w:type="dxa"/>
            <w:vAlign w:val="bottom"/>
          </w:tcPr>
          <w:p>
            <w:pPr>
              <w:spacing w:after="0"/>
              <w:rPr>
                <w:sz w:val="20"/>
                <w:szCs w:val="20"/>
                <w:color w:val="auto"/>
              </w:rPr>
            </w:pPr>
            <w:r>
              <w:rPr>
                <w:rFonts w:ascii="Arial" w:cs="Arial" w:eastAsia="Arial" w:hAnsi="Arial"/>
                <w:sz w:val="11"/>
                <w:szCs w:val="11"/>
                <w:color w:val="auto"/>
              </w:rPr>
              <w:t>Equity income, net of tax</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24"/>
                <w:szCs w:val="24"/>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4"/>
              <w:spacing w:after="0"/>
              <w:rPr>
                <w:sz w:val="20"/>
                <w:szCs w:val="20"/>
                <w:color w:val="auto"/>
              </w:rPr>
            </w:pPr>
            <w:r>
              <w:rPr>
                <w:rFonts w:ascii="Arial" w:cs="Arial" w:eastAsia="Arial" w:hAnsi="Arial"/>
                <w:sz w:val="11"/>
                <w:szCs w:val="11"/>
                <w:color w:val="auto"/>
              </w:rPr>
              <w:t>421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423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423</w:t>
            </w:r>
          </w:p>
        </w:tc>
      </w:tr>
      <w:tr>
        <w:trPr>
          <w:trHeight w:val="254"/>
        </w:trPr>
        <w:tc>
          <w:tcPr>
            <w:tcW w:w="2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Total</w:t>
            </w:r>
          </w:p>
        </w:tc>
        <w:tc>
          <w:tcPr>
            <w:tcW w:w="120" w:type="dxa"/>
            <w:vAlign w:val="bottom"/>
          </w:tcPr>
          <w:p>
            <w:pPr>
              <w:spacing w:after="0"/>
              <w:rPr>
                <w:sz w:val="22"/>
                <w:szCs w:val="22"/>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rPr>
              <w:t>GM</w:t>
            </w: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53"/>
        </w:trPr>
        <w:tc>
          <w:tcPr>
            <w:tcW w:w="2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1"/>
                <w:szCs w:val="11"/>
                <w:b w:val="1"/>
                <w:bCs w:val="1"/>
                <w:color w:val="auto"/>
              </w:rPr>
              <w:t>GMNA</w:t>
            </w:r>
          </w:p>
        </w:tc>
        <w:tc>
          <w:tcPr>
            <w:tcW w:w="140" w:type="dxa"/>
            <w:vAlign w:val="bottom"/>
          </w:tcPr>
          <w:p>
            <w:pPr>
              <w:spacing w:after="0"/>
              <w:rPr>
                <w:sz w:val="13"/>
                <w:szCs w:val="13"/>
                <w:color w:val="auto"/>
              </w:rPr>
            </w:pPr>
          </w:p>
        </w:tc>
        <w:tc>
          <w:tcPr>
            <w:tcW w:w="580" w:type="dxa"/>
            <w:vAlign w:val="bottom"/>
            <w:gridSpan w:val="2"/>
          </w:tcPr>
          <w:p>
            <w:pPr>
              <w:ind w:left="40"/>
              <w:spacing w:after="0"/>
              <w:rPr>
                <w:sz w:val="20"/>
                <w:szCs w:val="20"/>
                <w:color w:val="auto"/>
              </w:rPr>
            </w:pPr>
            <w:r>
              <w:rPr>
                <w:rFonts w:ascii="Arial" w:cs="Arial" w:eastAsia="Arial" w:hAnsi="Arial"/>
                <w:sz w:val="11"/>
                <w:szCs w:val="11"/>
                <w:b w:val="1"/>
                <w:bCs w:val="1"/>
                <w:color w:val="auto"/>
              </w:rPr>
              <w:t>GME</w:t>
            </w:r>
          </w:p>
        </w:tc>
        <w:tc>
          <w:tcPr>
            <w:tcW w:w="100" w:type="dxa"/>
            <w:vAlign w:val="bottom"/>
          </w:tcPr>
          <w:p>
            <w:pPr>
              <w:spacing w:after="0"/>
              <w:rPr>
                <w:sz w:val="13"/>
                <w:szCs w:val="13"/>
                <w:color w:val="auto"/>
              </w:rPr>
            </w:pPr>
          </w:p>
        </w:tc>
        <w:tc>
          <w:tcPr>
            <w:tcW w:w="620" w:type="dxa"/>
            <w:vAlign w:val="bottom"/>
            <w:gridSpan w:val="2"/>
          </w:tcPr>
          <w:p>
            <w:pPr>
              <w:ind w:left="40"/>
              <w:spacing w:after="0"/>
              <w:rPr>
                <w:sz w:val="20"/>
                <w:szCs w:val="20"/>
                <w:color w:val="auto"/>
              </w:rPr>
            </w:pPr>
            <w:r>
              <w:rPr>
                <w:rFonts w:ascii="Arial" w:cs="Arial" w:eastAsia="Arial" w:hAnsi="Arial"/>
                <w:sz w:val="11"/>
                <w:szCs w:val="11"/>
                <w:b w:val="1"/>
                <w:bCs w:val="1"/>
                <w:color w:val="auto"/>
              </w:rPr>
              <w:t>GMIO</w:t>
            </w:r>
          </w:p>
        </w:tc>
        <w:tc>
          <w:tcPr>
            <w:tcW w:w="1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GMSA</w:t>
            </w:r>
          </w:p>
        </w:tc>
        <w:tc>
          <w:tcPr>
            <w:tcW w:w="14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1"/>
                <w:szCs w:val="11"/>
                <w:b w:val="1"/>
                <w:bCs w:val="1"/>
                <w:color w:val="auto"/>
              </w:rPr>
              <w:t>Corporate</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4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Automotive</w:t>
            </w:r>
          </w:p>
        </w:tc>
        <w:tc>
          <w:tcPr>
            <w:tcW w:w="120" w:type="dxa"/>
            <w:vAlign w:val="bottom"/>
          </w:tcPr>
          <w:p>
            <w:pPr>
              <w:spacing w:after="0"/>
              <w:rPr>
                <w:sz w:val="13"/>
                <w:szCs w:val="13"/>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6"/>
              </w:rPr>
              <w:t>Financial</w:t>
            </w:r>
          </w:p>
        </w:tc>
        <w:tc>
          <w:tcPr>
            <w:tcW w:w="140" w:type="dxa"/>
            <w:vAlign w:val="bottom"/>
          </w:tcPr>
          <w:p>
            <w:pPr>
              <w:spacing w:after="0"/>
              <w:rPr>
                <w:sz w:val="13"/>
                <w:szCs w:val="13"/>
                <w:color w:val="auto"/>
              </w:rPr>
            </w:pPr>
          </w:p>
        </w:tc>
        <w:tc>
          <w:tcPr>
            <w:tcW w:w="980" w:type="dxa"/>
            <w:vAlign w:val="bottom"/>
            <w:gridSpan w:val="2"/>
          </w:tcPr>
          <w:p>
            <w:pPr>
              <w:ind w:left="60"/>
              <w:spacing w:after="0"/>
              <w:rPr>
                <w:sz w:val="20"/>
                <w:szCs w:val="20"/>
                <w:color w:val="auto"/>
              </w:rPr>
            </w:pPr>
            <w:r>
              <w:rPr>
                <w:rFonts w:ascii="Arial" w:cs="Arial" w:eastAsia="Arial" w:hAnsi="Arial"/>
                <w:sz w:val="11"/>
                <w:szCs w:val="11"/>
                <w:b w:val="1"/>
                <w:bCs w:val="1"/>
                <w:color w:val="auto"/>
              </w:rPr>
              <w:t>Eliminations</w:t>
            </w:r>
          </w:p>
        </w:tc>
        <w:tc>
          <w:tcPr>
            <w:tcW w:w="160" w:type="dxa"/>
            <w:vAlign w:val="bottom"/>
          </w:tcPr>
          <w:p>
            <w:pPr>
              <w:spacing w:after="0"/>
              <w:rPr>
                <w:sz w:val="13"/>
                <w:szCs w:val="13"/>
                <w:color w:val="auto"/>
              </w:rPr>
            </w:pPr>
          </w:p>
        </w:tc>
        <w:tc>
          <w:tcPr>
            <w:tcW w:w="520" w:type="dxa"/>
            <w:vAlign w:val="bottom"/>
          </w:tcPr>
          <w:p>
            <w:pPr>
              <w:jc w:val="right"/>
              <w:ind w:right="164"/>
              <w:spacing w:after="0"/>
              <w:rPr>
                <w:sz w:val="20"/>
                <w:szCs w:val="20"/>
                <w:color w:val="auto"/>
              </w:rPr>
            </w:pPr>
            <w:r>
              <w:rPr>
                <w:rFonts w:ascii="Arial" w:cs="Arial" w:eastAsia="Arial" w:hAnsi="Arial"/>
                <w:sz w:val="11"/>
                <w:szCs w:val="11"/>
                <w:b w:val="1"/>
                <w:bCs w:val="1"/>
                <w:color w:val="auto"/>
              </w:rPr>
              <w:t>Total</w:t>
            </w:r>
          </w:p>
        </w:tc>
      </w:tr>
      <w:tr>
        <w:trPr>
          <w:trHeight w:val="225"/>
        </w:trPr>
        <w:tc>
          <w:tcPr>
            <w:tcW w:w="2380" w:type="dxa"/>
            <w:vAlign w:val="bottom"/>
          </w:tcPr>
          <w:p>
            <w:pPr>
              <w:spacing w:after="0"/>
              <w:rPr>
                <w:sz w:val="20"/>
                <w:szCs w:val="20"/>
                <w:color w:val="auto"/>
              </w:rPr>
            </w:pPr>
            <w:r>
              <w:rPr>
                <w:rFonts w:ascii="Arial" w:cs="Arial" w:eastAsia="Arial" w:hAnsi="Arial"/>
                <w:sz w:val="11"/>
                <w:szCs w:val="11"/>
                <w:b w:val="1"/>
                <w:bCs w:val="1"/>
                <w:color w:val="auto"/>
              </w:rPr>
              <w:t>Three Months Ended March 31, 2011</w:t>
            </w: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r>
      <w:tr>
        <w:trPr>
          <w:trHeight w:val="241"/>
        </w:trPr>
        <w:tc>
          <w:tcPr>
            <w:tcW w:w="2380" w:type="dxa"/>
            <w:vAlign w:val="bottom"/>
          </w:tcPr>
          <w:p>
            <w:pPr>
              <w:spacing w:after="0"/>
              <w:rPr>
                <w:sz w:val="20"/>
                <w:szCs w:val="20"/>
                <w:color w:val="auto"/>
              </w:rPr>
            </w:pPr>
            <w:r>
              <w:rPr>
                <w:rFonts w:ascii="Arial" w:cs="Arial" w:eastAsia="Arial" w:hAnsi="Arial"/>
                <w:sz w:val="11"/>
                <w:szCs w:val="11"/>
                <w:color w:val="auto"/>
              </w:rPr>
              <w:t>Total net sales and revenue(a)</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22,110</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4"/>
              <w:spacing w:after="0"/>
              <w:rPr>
                <w:sz w:val="20"/>
                <w:szCs w:val="20"/>
                <w:color w:val="auto"/>
              </w:rPr>
            </w:pPr>
            <w:r>
              <w:rPr>
                <w:rFonts w:ascii="Arial" w:cs="Arial" w:eastAsia="Arial" w:hAnsi="Arial"/>
                <w:sz w:val="11"/>
                <w:szCs w:val="11"/>
                <w:color w:val="auto"/>
              </w:rPr>
              <w:t>6,870</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4"/>
              <w:spacing w:after="0"/>
              <w:rPr>
                <w:sz w:val="20"/>
                <w:szCs w:val="20"/>
                <w:color w:val="auto"/>
              </w:rPr>
            </w:pPr>
            <w:r>
              <w:rPr>
                <w:rFonts w:ascii="Arial" w:cs="Arial" w:eastAsia="Arial" w:hAnsi="Arial"/>
                <w:sz w:val="11"/>
                <w:szCs w:val="11"/>
                <w:color w:val="auto"/>
              </w:rPr>
              <w:t>5,208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4"/>
              <w:spacing w:after="0"/>
              <w:rPr>
                <w:sz w:val="20"/>
                <w:szCs w:val="20"/>
                <w:color w:val="auto"/>
              </w:rPr>
            </w:pPr>
            <w:r>
              <w:rPr>
                <w:rFonts w:ascii="Arial" w:cs="Arial" w:eastAsia="Arial" w:hAnsi="Arial"/>
                <w:sz w:val="11"/>
                <w:szCs w:val="11"/>
                <w:color w:val="auto"/>
              </w:rPr>
              <w:t>3,896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
              <w:spacing w:after="0"/>
              <w:rPr>
                <w:sz w:val="20"/>
                <w:szCs w:val="20"/>
                <w:color w:val="auto"/>
              </w:rPr>
            </w:pPr>
            <w:r>
              <w:rPr>
                <w:rFonts w:ascii="Arial" w:cs="Arial" w:eastAsia="Arial" w:hAnsi="Arial"/>
                <w:sz w:val="11"/>
                <w:szCs w:val="11"/>
                <w:color w:val="auto"/>
              </w:rPr>
              <w:t>(2,201)</w:t>
            </w:r>
          </w:p>
        </w:tc>
        <w:tc>
          <w:tcPr>
            <w:tcW w:w="12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35,899</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295</w:t>
            </w:r>
          </w:p>
        </w:tc>
        <w:tc>
          <w:tcPr>
            <w:tcW w:w="100" w:type="dxa"/>
            <w:vAlign w:val="bottom"/>
          </w:tcPr>
          <w:p>
            <w:pPr>
              <w:spacing w:after="0"/>
              <w:rPr>
                <w:sz w:val="20"/>
                <w:szCs w:val="20"/>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36,194</w:t>
            </w:r>
          </w:p>
        </w:tc>
      </w:tr>
      <w:tr>
        <w:trPr>
          <w:trHeight w:val="256"/>
        </w:trPr>
        <w:tc>
          <w:tcPr>
            <w:tcW w:w="2380" w:type="dxa"/>
            <w:vAlign w:val="bottom"/>
          </w:tcPr>
          <w:p>
            <w:pPr>
              <w:spacing w:after="0"/>
              <w:rPr>
                <w:sz w:val="20"/>
                <w:szCs w:val="20"/>
                <w:color w:val="auto"/>
              </w:rPr>
            </w:pPr>
            <w:r>
              <w:rPr>
                <w:rFonts w:ascii="Arial" w:cs="Arial" w:eastAsia="Arial" w:hAnsi="Arial"/>
                <w:sz w:val="11"/>
                <w:szCs w:val="11"/>
                <w:color w:val="auto"/>
                <w:w w:val="95"/>
              </w:rPr>
              <w:t>Depreciation, amortization and impairment of long-</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380" w:type="dxa"/>
            <w:vAlign w:val="bottom"/>
          </w:tcPr>
          <w:p>
            <w:pPr>
              <w:ind w:left="140"/>
              <w:spacing w:after="0"/>
              <w:rPr>
                <w:sz w:val="20"/>
                <w:szCs w:val="20"/>
                <w:color w:val="auto"/>
              </w:rPr>
            </w:pPr>
            <w:r>
              <w:rPr>
                <w:rFonts w:ascii="Arial" w:cs="Arial" w:eastAsia="Arial" w:hAnsi="Arial"/>
                <w:sz w:val="11"/>
                <w:szCs w:val="11"/>
                <w:color w:val="auto"/>
              </w:rPr>
              <w:t>lived assets and finite-lived intangible assets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977</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460" w:type="dxa"/>
            <w:vAlign w:val="bottom"/>
          </w:tcPr>
          <w:p>
            <w:pPr>
              <w:jc w:val="right"/>
              <w:ind w:right="64"/>
              <w:spacing w:after="0"/>
              <w:rPr>
                <w:sz w:val="20"/>
                <w:szCs w:val="20"/>
                <w:color w:val="auto"/>
              </w:rPr>
            </w:pPr>
            <w:r>
              <w:rPr>
                <w:rFonts w:ascii="Arial" w:cs="Arial" w:eastAsia="Arial" w:hAnsi="Arial"/>
                <w:sz w:val="11"/>
                <w:szCs w:val="11"/>
                <w:color w:val="auto"/>
              </w:rPr>
              <w:t>340</w:t>
            </w:r>
          </w:p>
        </w:tc>
        <w:tc>
          <w:tcPr>
            <w:tcW w:w="1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4"/>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80" w:type="dxa"/>
            <w:vAlign w:val="bottom"/>
          </w:tcPr>
          <w:p>
            <w:pPr>
              <w:jc w:val="right"/>
              <w:ind w:right="64"/>
              <w:spacing w:after="0"/>
              <w:rPr>
                <w:sz w:val="20"/>
                <w:szCs w:val="20"/>
                <w:color w:val="auto"/>
              </w:rPr>
            </w:pPr>
            <w:r>
              <w:rPr>
                <w:rFonts w:ascii="Arial" w:cs="Arial" w:eastAsia="Arial" w:hAnsi="Arial"/>
                <w:sz w:val="11"/>
                <w:szCs w:val="11"/>
                <w:color w:val="auto"/>
              </w:rPr>
              <w:t>116</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ind w:right="64"/>
              <w:spacing w:after="0"/>
              <w:rPr>
                <w:sz w:val="20"/>
                <w:szCs w:val="20"/>
                <w:color w:val="auto"/>
              </w:rPr>
            </w:pPr>
            <w:r>
              <w:rPr>
                <w:rFonts w:ascii="Arial" w:cs="Arial" w:eastAsia="Arial" w:hAnsi="Arial"/>
                <w:sz w:val="11"/>
                <w:szCs w:val="11"/>
                <w:color w:val="auto"/>
              </w:rPr>
              <w:t>13</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1,562</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64"/>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1,576</w:t>
            </w:r>
          </w:p>
        </w:tc>
      </w:tr>
      <w:tr>
        <w:trPr>
          <w:trHeight w:val="256"/>
        </w:trPr>
        <w:tc>
          <w:tcPr>
            <w:tcW w:w="2380" w:type="dxa"/>
            <w:vAlign w:val="bottom"/>
          </w:tcPr>
          <w:p>
            <w:pPr>
              <w:spacing w:after="0"/>
              <w:rPr>
                <w:sz w:val="20"/>
                <w:szCs w:val="20"/>
                <w:color w:val="auto"/>
              </w:rPr>
            </w:pPr>
            <w:r>
              <w:rPr>
                <w:rFonts w:ascii="Arial" w:cs="Arial" w:eastAsia="Arial" w:hAnsi="Arial"/>
                <w:sz w:val="11"/>
                <w:szCs w:val="11"/>
                <w:color w:val="auto"/>
                <w:w w:val="99"/>
              </w:rPr>
              <w:t>Equity income, net of tax and gain on disposal of</w:t>
            </w:r>
          </w:p>
        </w:tc>
        <w:tc>
          <w:tcPr>
            <w:tcW w:w="1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20" w:type="dxa"/>
            <w:vAlign w:val="bottom"/>
          </w:tcPr>
          <w:p>
            <w:pPr>
              <w:spacing w:after="0"/>
              <w:rPr>
                <w:sz w:val="22"/>
                <w:szCs w:val="22"/>
                <w:color w:val="auto"/>
              </w:rPr>
            </w:pPr>
          </w:p>
        </w:tc>
      </w:tr>
      <w:tr>
        <w:trPr>
          <w:trHeight w:val="142"/>
        </w:trPr>
        <w:tc>
          <w:tcPr>
            <w:tcW w:w="2380" w:type="dxa"/>
            <w:vAlign w:val="bottom"/>
          </w:tcPr>
          <w:p>
            <w:pPr>
              <w:ind w:left="140"/>
              <w:spacing w:after="0"/>
              <w:rPr>
                <w:sz w:val="20"/>
                <w:szCs w:val="20"/>
                <w:color w:val="auto"/>
              </w:rPr>
            </w:pPr>
            <w:r>
              <w:rPr>
                <w:rFonts w:ascii="Arial" w:cs="Arial" w:eastAsia="Arial" w:hAnsi="Arial"/>
                <w:sz w:val="11"/>
                <w:szCs w:val="11"/>
                <w:color w:val="auto"/>
              </w:rPr>
              <w:t>investments</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60" w:type="dxa"/>
            <w:vAlign w:val="bottom"/>
          </w:tcPr>
          <w:p>
            <w:pPr>
              <w:jc w:val="right"/>
              <w:ind w:right="64"/>
              <w:spacing w:after="0"/>
              <w:rPr>
                <w:sz w:val="20"/>
                <w:szCs w:val="20"/>
                <w:color w:val="auto"/>
              </w:rPr>
            </w:pPr>
            <w:r>
              <w:rPr>
                <w:rFonts w:ascii="Arial" w:cs="Arial" w:eastAsia="Arial" w:hAnsi="Arial"/>
                <w:sz w:val="11"/>
                <w:szCs w:val="11"/>
                <w:color w:val="auto"/>
              </w:rPr>
              <w:t>1,729</w:t>
            </w:r>
          </w:p>
        </w:tc>
        <w:tc>
          <w:tcPr>
            <w:tcW w:w="12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5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00" w:type="dxa"/>
            <w:vAlign w:val="bottom"/>
          </w:tcPr>
          <w:p>
            <w:pPr>
              <w:jc w:val="right"/>
              <w:ind w:right="64"/>
              <w:spacing w:after="0"/>
              <w:rPr>
                <w:sz w:val="20"/>
                <w:szCs w:val="20"/>
                <w:color w:val="auto"/>
              </w:rPr>
            </w:pPr>
            <w:r>
              <w:rPr>
                <w:rFonts w:ascii="Arial" w:cs="Arial" w:eastAsia="Arial" w:hAnsi="Arial"/>
                <w:sz w:val="11"/>
                <w:szCs w:val="11"/>
                <w:color w:val="auto"/>
              </w:rPr>
              <w:t>415</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860" w:type="dxa"/>
            <w:vAlign w:val="bottom"/>
          </w:tcPr>
          <w:p>
            <w:pPr>
              <w:jc w:val="right"/>
              <w:ind w:right="44"/>
              <w:spacing w:after="0"/>
              <w:rPr>
                <w:sz w:val="20"/>
                <w:szCs w:val="20"/>
                <w:color w:val="auto"/>
              </w:rPr>
            </w:pPr>
            <w:r>
              <w:rPr>
                <w:rFonts w:ascii="Arial" w:cs="Arial" w:eastAsia="Arial" w:hAnsi="Arial"/>
                <w:sz w:val="11"/>
                <w:szCs w:val="11"/>
                <w:color w:val="auto"/>
              </w:rPr>
              <w:t>2,144</w:t>
            </w:r>
          </w:p>
        </w:tc>
        <w:tc>
          <w:tcPr>
            <w:tcW w:w="1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98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4"/>
              <w:spacing w:after="0"/>
              <w:rPr>
                <w:sz w:val="20"/>
                <w:szCs w:val="20"/>
                <w:color w:val="auto"/>
              </w:rPr>
            </w:pPr>
            <w:r>
              <w:rPr>
                <w:rFonts w:ascii="Arial" w:cs="Arial" w:eastAsia="Arial" w:hAnsi="Arial"/>
                <w:sz w:val="11"/>
                <w:szCs w:val="11"/>
                <w:color w:val="auto"/>
              </w:rPr>
              <w:t>2,144</w:t>
            </w:r>
          </w:p>
        </w:tc>
      </w:tr>
    </w:tbl>
    <w:p>
      <w:pPr>
        <w:spacing w:after="0" w:line="112" w:lineRule="exact"/>
        <w:rPr>
          <w:sz w:val="20"/>
          <w:szCs w:val="20"/>
          <w:color w:val="auto"/>
        </w:rPr>
      </w:pPr>
    </w:p>
    <w:p>
      <w:pPr>
        <w:ind w:left="4"/>
        <w:spacing w:after="0"/>
        <w:rPr>
          <w:sz w:val="20"/>
          <w:szCs w:val="20"/>
          <w:color w:val="auto"/>
        </w:rPr>
      </w:pPr>
      <w:r>
        <w:rPr>
          <w:rFonts w:ascii="Arial" w:cs="Arial" w:eastAsia="Arial" w:hAnsi="Arial"/>
          <w:sz w:val="16"/>
          <w:szCs w:val="16"/>
          <w:color w:val="auto"/>
        </w:rPr>
        <w:t>__________</w:t>
      </w:r>
    </w:p>
    <w:p>
      <w:pPr>
        <w:spacing w:after="0" w:line="16" w:lineRule="exact"/>
        <w:rPr>
          <w:sz w:val="20"/>
          <w:szCs w:val="20"/>
          <w:color w:val="auto"/>
        </w:rPr>
      </w:pPr>
    </w:p>
    <w:p>
      <w:pPr>
        <w:ind w:left="284" w:hanging="284"/>
        <w:spacing w:after="0"/>
        <w:tabs>
          <w:tab w:leader="none" w:pos="284" w:val="left"/>
        </w:tabs>
        <w:numPr>
          <w:ilvl w:val="0"/>
          <w:numId w:val="6"/>
        </w:numPr>
        <w:rPr>
          <w:rFonts w:ascii="Arial" w:cs="Arial" w:eastAsia="Arial" w:hAnsi="Arial"/>
          <w:sz w:val="13"/>
          <w:szCs w:val="13"/>
          <w:color w:val="auto"/>
        </w:rPr>
      </w:pPr>
      <w:r>
        <w:rPr>
          <w:rFonts w:ascii="Arial" w:cs="Arial" w:eastAsia="Arial" w:hAnsi="Arial"/>
          <w:sz w:val="13"/>
          <w:szCs w:val="13"/>
          <w:color w:val="auto"/>
        </w:rPr>
        <w:t>Presentation of intersegment sales has been adjusted to conform to the current presentation.</w:t>
      </w:r>
    </w:p>
    <w:p>
      <w:pPr>
        <w:spacing w:after="0" w:line="351"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44"/>
          </w:cols>
          <w:pgMar w:left="236" w:top="533" w:right="219" w:bottom="1440" w:gutter="0" w:footer="0" w:header="0"/>
        </w:sectPr>
      </w:pPr>
    </w:p>
    <w:bookmarkStart w:id="9" w:name="page10"/>
    <w:bookmarkEnd w:id="9"/>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902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March 31, 2012</w:t>
            </w:r>
          </w:p>
        </w:tc>
        <w:tc>
          <w:tcPr>
            <w:tcW w:w="1140" w:type="dxa"/>
            <w:vAlign w:val="bottom"/>
          </w:tcPr>
          <w:p>
            <w:pPr>
              <w:jc w:val="right"/>
              <w:spacing w:after="0"/>
              <w:rPr>
                <w:sz w:val="20"/>
                <w:szCs w:val="20"/>
                <w:color w:val="auto"/>
              </w:rPr>
            </w:pPr>
            <w:r>
              <w:rPr>
                <w:rFonts w:ascii="Arial" w:cs="Arial" w:eastAsia="Arial" w:hAnsi="Arial"/>
                <w:sz w:val="13"/>
                <w:szCs w:val="13"/>
                <w:b w:val="1"/>
                <w:bCs w:val="1"/>
                <w:color w:val="auto"/>
                <w:w w:val="90"/>
              </w:rPr>
              <w:t>December 31, 2011</w:t>
            </w:r>
          </w:p>
        </w:tc>
      </w:tr>
      <w:tr>
        <w:trPr>
          <w:trHeight w:val="217"/>
        </w:trPr>
        <w:tc>
          <w:tcPr>
            <w:tcW w:w="9020" w:type="dxa"/>
            <w:vAlign w:val="bottom"/>
          </w:tcPr>
          <w:p>
            <w:pPr>
              <w:spacing w:after="0"/>
              <w:rPr>
                <w:sz w:val="20"/>
                <w:szCs w:val="20"/>
                <w:color w:val="auto"/>
              </w:rPr>
            </w:pPr>
            <w:r>
              <w:rPr>
                <w:rFonts w:ascii="Arial" w:cs="Arial" w:eastAsia="Arial" w:hAnsi="Arial"/>
                <w:sz w:val="16"/>
                <w:szCs w:val="16"/>
                <w:b w:val="1"/>
                <w:bCs w:val="1"/>
                <w:color w:val="auto"/>
              </w:rPr>
              <w:t>Worldwide Employment (thousands)</w:t>
            </w: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41"/>
        </w:trPr>
        <w:tc>
          <w:tcPr>
            <w:tcW w:w="9020" w:type="dxa"/>
            <w:vAlign w:val="bottom"/>
          </w:tcPr>
          <w:p>
            <w:pPr>
              <w:spacing w:after="0"/>
              <w:rPr>
                <w:sz w:val="20"/>
                <w:szCs w:val="20"/>
                <w:color w:val="auto"/>
              </w:rPr>
            </w:pPr>
            <w:r>
              <w:rPr>
                <w:rFonts w:ascii="Arial" w:cs="Arial" w:eastAsia="Arial" w:hAnsi="Arial"/>
                <w:sz w:val="16"/>
                <w:szCs w:val="16"/>
                <w:color w:val="auto"/>
              </w:rPr>
              <w:t>GMNA</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98</w:t>
            </w:r>
          </w:p>
        </w:tc>
      </w:tr>
      <w:tr>
        <w:trPr>
          <w:trHeight w:val="241"/>
        </w:trPr>
        <w:tc>
          <w:tcPr>
            <w:tcW w:w="9020" w:type="dxa"/>
            <w:vAlign w:val="bottom"/>
          </w:tcPr>
          <w:p>
            <w:pPr>
              <w:spacing w:after="0"/>
              <w:rPr>
                <w:sz w:val="20"/>
                <w:szCs w:val="20"/>
                <w:color w:val="auto"/>
              </w:rPr>
            </w:pPr>
            <w:r>
              <w:rPr>
                <w:rFonts w:ascii="Arial" w:cs="Arial" w:eastAsia="Arial" w:hAnsi="Arial"/>
                <w:sz w:val="16"/>
                <w:szCs w:val="16"/>
                <w:color w:val="auto"/>
              </w:rPr>
              <w:t>GME</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39</w:t>
            </w:r>
          </w:p>
        </w:tc>
      </w:tr>
      <w:tr>
        <w:trPr>
          <w:trHeight w:val="241"/>
        </w:trPr>
        <w:tc>
          <w:tcPr>
            <w:tcW w:w="9020" w:type="dxa"/>
            <w:vAlign w:val="bottom"/>
          </w:tcPr>
          <w:p>
            <w:pPr>
              <w:spacing w:after="0"/>
              <w:rPr>
                <w:sz w:val="20"/>
                <w:szCs w:val="20"/>
                <w:color w:val="auto"/>
              </w:rPr>
            </w:pPr>
            <w:r>
              <w:rPr>
                <w:rFonts w:ascii="Arial" w:cs="Arial" w:eastAsia="Arial" w:hAnsi="Arial"/>
                <w:sz w:val="16"/>
                <w:szCs w:val="16"/>
                <w:color w:val="auto"/>
              </w:rPr>
              <w:t>GMIO</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34</w:t>
            </w:r>
          </w:p>
        </w:tc>
      </w:tr>
      <w:tr>
        <w:trPr>
          <w:trHeight w:val="241"/>
        </w:trPr>
        <w:tc>
          <w:tcPr>
            <w:tcW w:w="9020" w:type="dxa"/>
            <w:vAlign w:val="bottom"/>
          </w:tcPr>
          <w:p>
            <w:pPr>
              <w:spacing w:after="0"/>
              <w:rPr>
                <w:sz w:val="20"/>
                <w:szCs w:val="20"/>
                <w:color w:val="auto"/>
              </w:rPr>
            </w:pPr>
            <w:r>
              <w:rPr>
                <w:rFonts w:ascii="Arial" w:cs="Arial" w:eastAsia="Arial" w:hAnsi="Arial"/>
                <w:sz w:val="16"/>
                <w:szCs w:val="16"/>
                <w:color w:val="auto"/>
              </w:rPr>
              <w:t>GMSA</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33</w:t>
            </w:r>
          </w:p>
        </w:tc>
      </w:tr>
      <w:tr>
        <w:trPr>
          <w:trHeight w:val="241"/>
        </w:trPr>
        <w:tc>
          <w:tcPr>
            <w:tcW w:w="9020" w:type="dxa"/>
            <w:vAlign w:val="bottom"/>
          </w:tcPr>
          <w:p>
            <w:pPr>
              <w:spacing w:after="0"/>
              <w:rPr>
                <w:sz w:val="20"/>
                <w:szCs w:val="20"/>
                <w:color w:val="auto"/>
              </w:rPr>
            </w:pPr>
            <w:r>
              <w:rPr>
                <w:rFonts w:ascii="Arial" w:cs="Arial" w:eastAsia="Arial" w:hAnsi="Arial"/>
                <w:sz w:val="16"/>
                <w:szCs w:val="16"/>
                <w:color w:val="auto"/>
              </w:rPr>
              <w:t>GM Financial</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3</w:t>
            </w:r>
          </w:p>
        </w:tc>
      </w:tr>
      <w:tr>
        <w:trPr>
          <w:trHeight w:val="24"/>
        </w:trPr>
        <w:tc>
          <w:tcPr>
            <w:tcW w:w="90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27"/>
        </w:trPr>
        <w:tc>
          <w:tcPr>
            <w:tcW w:w="9020" w:type="dxa"/>
            <w:vAlign w:val="bottom"/>
          </w:tcPr>
          <w:p>
            <w:pPr>
              <w:spacing w:after="0"/>
              <w:rPr>
                <w:sz w:val="20"/>
                <w:szCs w:val="20"/>
                <w:color w:val="auto"/>
              </w:rPr>
            </w:pPr>
            <w:r>
              <w:rPr>
                <w:rFonts w:ascii="Arial" w:cs="Arial" w:eastAsia="Arial" w:hAnsi="Arial"/>
                <w:sz w:val="16"/>
                <w:szCs w:val="16"/>
                <w:b w:val="1"/>
                <w:bCs w:val="1"/>
                <w:color w:val="auto"/>
              </w:rPr>
              <w:t>Total Worldwide</w:t>
            </w: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209</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207</w:t>
            </w:r>
          </w:p>
        </w:tc>
      </w:tr>
      <w:tr>
        <w:trPr>
          <w:trHeight w:val="20"/>
        </w:trPr>
        <w:tc>
          <w:tcPr>
            <w:tcW w:w="90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40"/>
        </w:trPr>
        <w:tc>
          <w:tcPr>
            <w:tcW w:w="9020" w:type="dxa"/>
            <w:vAlign w:val="bottom"/>
          </w:tcPr>
          <w:p>
            <w:pPr>
              <w:spacing w:after="0"/>
              <w:rPr>
                <w:sz w:val="20"/>
                <w:szCs w:val="20"/>
                <w:color w:val="auto"/>
              </w:rPr>
            </w:pPr>
            <w:r>
              <w:rPr>
                <w:rFonts w:ascii="Arial" w:cs="Arial" w:eastAsia="Arial" w:hAnsi="Arial"/>
                <w:sz w:val="16"/>
                <w:szCs w:val="16"/>
                <w:color w:val="auto"/>
              </w:rPr>
              <w:t>U.S. - Salaried</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24"/>
                <w:szCs w:val="24"/>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29</w:t>
            </w:r>
          </w:p>
        </w:tc>
      </w:tr>
      <w:tr>
        <w:trPr>
          <w:trHeight w:val="241"/>
        </w:trPr>
        <w:tc>
          <w:tcPr>
            <w:tcW w:w="9020" w:type="dxa"/>
            <w:vAlign w:val="bottom"/>
          </w:tcPr>
          <w:p>
            <w:pPr>
              <w:spacing w:after="0"/>
              <w:rPr>
                <w:sz w:val="20"/>
                <w:szCs w:val="20"/>
                <w:color w:val="auto"/>
              </w:rPr>
            </w:pPr>
            <w:r>
              <w:rPr>
                <w:rFonts w:ascii="Arial" w:cs="Arial" w:eastAsia="Arial" w:hAnsi="Arial"/>
                <w:sz w:val="16"/>
                <w:szCs w:val="16"/>
                <w:color w:val="auto"/>
              </w:rPr>
              <w:t>U.S. - Hourly</w:t>
            </w: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0"/>
                <w:szCs w:val="20"/>
                <w:color w:val="auto"/>
              </w:rPr>
            </w:pPr>
          </w:p>
        </w:tc>
        <w:tc>
          <w:tcPr>
            <w:tcW w:w="1140" w:type="dxa"/>
            <w:vAlign w:val="bottom"/>
          </w:tcPr>
          <w:p>
            <w:pPr>
              <w:jc w:val="right"/>
              <w:ind w:right="41"/>
              <w:spacing w:after="0"/>
              <w:rPr>
                <w:sz w:val="20"/>
                <w:szCs w:val="20"/>
                <w:color w:val="auto"/>
              </w:rPr>
            </w:pPr>
            <w:r>
              <w:rPr>
                <w:rFonts w:ascii="Arial" w:cs="Arial" w:eastAsia="Arial" w:hAnsi="Arial"/>
                <w:sz w:val="16"/>
                <w:szCs w:val="16"/>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60" w:top="726" w:right="219" w:bottom="1440" w:gutter="0" w:footer="0" w:header="0"/>
        </w:sectPr>
      </w:pPr>
    </w:p>
    <w:bookmarkStart w:id="10" w:name="page11"/>
    <w:bookmarkEnd w:id="10"/>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1960" w:type="dxa"/>
            <w:vAlign w:val="bottom"/>
            <w:tcBorders>
              <w:bottom w:val="single" w:sz="8" w:color="auto"/>
            </w:tcBorders>
            <w:gridSpan w:val="3"/>
          </w:tcPr>
          <w:p>
            <w:pPr>
              <w:jc w:val="right"/>
              <w:ind w:right="1"/>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p>
        </w:tc>
        <w:tc>
          <w:tcPr>
            <w:tcW w:w="940" w:type="dxa"/>
            <w:vAlign w:val="bottom"/>
            <w:tcBorders>
              <w:bottom w:val="single" w:sz="8" w:color="auto"/>
            </w:tcBorders>
          </w:tcPr>
          <w:p>
            <w:pPr>
              <w:jc w:val="right"/>
              <w:ind w:right="263"/>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Production Volume (units in thousands)(a)</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GMNA - Cars</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GMNA - Trucks</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541</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502</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color w:val="auto"/>
              </w:rPr>
              <w:t>Total GMNA</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862</w:t>
            </w:r>
          </w:p>
        </w:tc>
        <w:tc>
          <w:tcPr>
            <w:tcW w:w="1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786</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GME</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292</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GMIO - Consolidated Entities</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GMIO - Joint Ventures(b)</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709</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20"/>
              <w:spacing w:after="0"/>
              <w:rPr>
                <w:sz w:val="20"/>
                <w:szCs w:val="20"/>
                <w:color w:val="auto"/>
              </w:rPr>
            </w:pPr>
            <w:r>
              <w:rPr>
                <w:rFonts w:ascii="Arial" w:cs="Arial" w:eastAsia="Arial" w:hAnsi="Arial"/>
                <w:sz w:val="16"/>
                <w:szCs w:val="16"/>
                <w:color w:val="auto"/>
              </w:rPr>
              <w:t>Total GMIO</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1,067</w:t>
            </w:r>
          </w:p>
        </w:tc>
        <w:tc>
          <w:tcPr>
            <w:tcW w:w="10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966</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GMSA</w:t>
            </w:r>
          </w:p>
        </w:tc>
        <w:tc>
          <w:tcPr>
            <w:tcW w:w="940" w:type="dxa"/>
            <w:vAlign w:val="bottom"/>
          </w:tcPr>
          <w:p>
            <w:pPr>
              <w:jc w:val="right"/>
              <w:ind w:right="43"/>
              <w:spacing w:after="0"/>
              <w:rPr>
                <w:sz w:val="20"/>
                <w:szCs w:val="20"/>
                <w:color w:val="auto"/>
              </w:rPr>
            </w:pPr>
            <w:r>
              <w:rPr>
                <w:rFonts w:ascii="Arial" w:cs="Arial" w:eastAsia="Arial" w:hAnsi="Arial"/>
                <w:sz w:val="16"/>
                <w:szCs w:val="16"/>
                <w:color w:val="auto"/>
              </w:rPr>
              <w:t>203</w:t>
            </w:r>
          </w:p>
        </w:tc>
        <w:tc>
          <w:tcPr>
            <w:tcW w:w="100" w:type="dxa"/>
            <w:vAlign w:val="bottom"/>
          </w:tcPr>
          <w:p>
            <w:pPr>
              <w:spacing w:after="0"/>
              <w:rPr>
                <w:sz w:val="20"/>
                <w:szCs w:val="20"/>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231</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2,424</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2,327</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hanging="284"/>
        <w:spacing w:after="0" w:line="232" w:lineRule="auto"/>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Production volume includes vehicles produced by certain joint ventures.</w:t>
      </w:r>
    </w:p>
    <w:p>
      <w:pPr>
        <w:ind w:left="284" w:hanging="284"/>
        <w:spacing w:after="0"/>
        <w:tabs>
          <w:tab w:leader="none" w:pos="284"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joint venture agreements with SGMW and FAW-GM allow for significant rights as a member as well as the contractual right to report SGMW and FAW-GM joint venture production in China.</w:t>
      </w:r>
    </w:p>
    <w:p>
      <w:pPr>
        <w:spacing w:after="0" w:line="200" w:lineRule="exact"/>
        <w:rPr>
          <w:sz w:val="20"/>
          <w:szCs w:val="20"/>
          <w:color w:val="auto"/>
        </w:rPr>
      </w:pPr>
    </w:p>
    <w:p>
      <w:pPr>
        <w:spacing w:after="0" w:line="392"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44"/>
          </w:cols>
          <w:pgMar w:left="236" w:top="726" w:right="219" w:bottom="1440" w:gutter="0" w:footer="0" w:header="0"/>
        </w:sectPr>
      </w:pPr>
    </w:p>
    <w:bookmarkStart w:id="11" w:name="page12"/>
    <w:bookmarkEnd w:id="11"/>
    <w:p>
      <w:pPr>
        <w:jc w:val="center"/>
        <w:ind w:left="88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88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p>
        </w:tc>
        <w:tc>
          <w:tcPr>
            <w:tcW w:w="94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20"/>
                <w:szCs w:val="20"/>
                <w:color w:val="auto"/>
              </w:rPr>
            </w:pPr>
          </w:p>
        </w:tc>
        <w:tc>
          <w:tcPr>
            <w:tcW w:w="920" w:type="dxa"/>
            <w:vAlign w:val="bottom"/>
            <w:tcBorders>
              <w:bottom w:val="single" w:sz="8" w:color="auto"/>
            </w:tcBorders>
          </w:tcPr>
          <w:p>
            <w:pPr>
              <w:jc w:val="right"/>
              <w:ind w:right="260"/>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Vehicle Sales (units in thousands)(a)(b)(c)</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United States</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Chevrolet - Cars</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Chevrolet - Trucks</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Chevrolet - Crossovers</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Cadillac</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Buick</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37</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GMC</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92</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United States</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608</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593</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Canada, Mexico and Other</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GMNA</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703</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684</w:t>
            </w:r>
          </w:p>
        </w:tc>
        <w:tc>
          <w:tcPr>
            <w:tcW w:w="0" w:type="dxa"/>
            <w:vAlign w:val="bottom"/>
          </w:tcPr>
          <w:p>
            <w:pPr>
              <w:spacing w:after="0"/>
              <w:rPr>
                <w:sz w:val="1"/>
                <w:szCs w:val="1"/>
                <w:color w:val="auto"/>
              </w:rPr>
            </w:pPr>
          </w:p>
        </w:tc>
      </w:tr>
      <w:tr>
        <w:trPr>
          <w:trHeight w:val="24"/>
        </w:trPr>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GME</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Opel/Vauxhall</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122</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Other</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GME</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398</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434</w:t>
            </w:r>
          </w:p>
        </w:tc>
        <w:tc>
          <w:tcPr>
            <w:tcW w:w="0" w:type="dxa"/>
            <w:vAlign w:val="bottom"/>
          </w:tcPr>
          <w:p>
            <w:pPr>
              <w:spacing w:after="0"/>
              <w:rPr>
                <w:sz w:val="1"/>
                <w:szCs w:val="1"/>
                <w:color w:val="auto"/>
              </w:rPr>
            </w:pPr>
          </w:p>
        </w:tc>
      </w:tr>
      <w:tr>
        <w:trPr>
          <w:trHeight w:val="24"/>
        </w:trPr>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GMIO</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Wuling</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355</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Buick</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GM Daewoo</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Holden</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GMC</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Cadillac</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Other</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GMIO(d)</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928</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852</w:t>
            </w:r>
          </w:p>
        </w:tc>
        <w:tc>
          <w:tcPr>
            <w:tcW w:w="0" w:type="dxa"/>
            <w:vAlign w:val="bottom"/>
          </w:tcPr>
          <w:p>
            <w:pPr>
              <w:spacing w:after="0"/>
              <w:rPr>
                <w:sz w:val="1"/>
                <w:szCs w:val="1"/>
                <w:color w:val="auto"/>
              </w:rPr>
            </w:pPr>
          </w:p>
        </w:tc>
      </w:tr>
      <w:tr>
        <w:trPr>
          <w:trHeight w:val="24"/>
        </w:trPr>
        <w:tc>
          <w:tcPr>
            <w:tcW w:w="9480" w:type="dxa"/>
            <w:vAlign w:val="bottom"/>
            <w:vMerge w:val="restart"/>
          </w:tcPr>
          <w:p>
            <w:pPr>
              <w:ind w:left="20"/>
              <w:spacing w:after="0"/>
              <w:rPr>
                <w:sz w:val="20"/>
                <w:szCs w:val="20"/>
                <w:color w:val="auto"/>
              </w:rPr>
            </w:pPr>
            <w:r>
              <w:rPr>
                <w:rFonts w:ascii="Arial" w:cs="Arial" w:eastAsia="Arial" w:hAnsi="Arial"/>
                <w:sz w:val="16"/>
                <w:szCs w:val="16"/>
                <w:color w:val="auto"/>
              </w:rPr>
              <w:t>GMSA</w:t>
            </w: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Chevrolet</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Other</w:t>
            </w:r>
          </w:p>
        </w:tc>
        <w:tc>
          <w:tcPr>
            <w:tcW w:w="940" w:type="dxa"/>
            <w:vAlign w:val="bottom"/>
          </w:tcPr>
          <w:p>
            <w:pPr>
              <w:jc w:val="right"/>
              <w:ind w:right="4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GMSA</w:t>
            </w:r>
          </w:p>
        </w:tc>
        <w:tc>
          <w:tcPr>
            <w:tcW w:w="940" w:type="dxa"/>
            <w:vAlign w:val="bottom"/>
          </w:tcPr>
          <w:p>
            <w:pPr>
              <w:jc w:val="right"/>
              <w:ind w:right="41"/>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18"/>
                <w:szCs w:val="18"/>
                <w:color w:val="auto"/>
              </w:rPr>
            </w:pPr>
          </w:p>
        </w:tc>
        <w:tc>
          <w:tcPr>
            <w:tcW w:w="920" w:type="dxa"/>
            <w:vAlign w:val="bottom"/>
          </w:tcPr>
          <w:p>
            <w:pPr>
              <w:jc w:val="right"/>
              <w:ind w:right="40"/>
              <w:spacing w:after="0"/>
              <w:rPr>
                <w:sz w:val="20"/>
                <w:szCs w:val="20"/>
                <w:color w:val="auto"/>
              </w:rPr>
            </w:pPr>
            <w:r>
              <w:rPr>
                <w:rFonts w:ascii="Arial" w:cs="Arial" w:eastAsia="Arial" w:hAnsi="Arial"/>
                <w:sz w:val="16"/>
                <w:szCs w:val="16"/>
                <w:b w:val="1"/>
                <w:bCs w:val="1"/>
                <w:color w:val="auto"/>
              </w:rPr>
              <w:t>248</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Total Worldwide</w:t>
            </w: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2,278</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2,218</w:t>
            </w:r>
          </w:p>
        </w:tc>
        <w:tc>
          <w:tcPr>
            <w:tcW w:w="0" w:type="dxa"/>
            <w:vAlign w:val="bottom"/>
          </w:tcPr>
          <w:p>
            <w:pPr>
              <w:spacing w:after="0"/>
              <w:rPr>
                <w:sz w:val="1"/>
                <w:szCs w:val="1"/>
                <w:color w:val="auto"/>
              </w:rPr>
            </w:pPr>
          </w:p>
        </w:tc>
      </w:tr>
      <w:tr>
        <w:trPr>
          <w:trHeight w:val="20"/>
        </w:trPr>
        <w:tc>
          <w:tcPr>
            <w:tcW w:w="948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948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284" w:right="20"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Certain fleet sales that are accounted for as operating leases are included in vehicle sales at the time of delivery to the daily rental car companies.</w:t>
      </w:r>
    </w:p>
    <w:p>
      <w:pPr>
        <w:ind w:left="284" w:hanging="284"/>
        <w:spacing w:after="0" w:line="232" w:lineRule="auto"/>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Vehicle sales data may include rounding differences.</w:t>
      </w:r>
    </w:p>
    <w:p>
      <w:pPr>
        <w:ind w:left="284" w:hanging="284"/>
        <w:spacing w:after="0"/>
        <w:tabs>
          <w:tab w:leader="none" w:pos="284"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the following joint venture sales:</w:t>
      </w:r>
    </w:p>
    <w:p>
      <w:pPr>
        <w:spacing w:after="0" w:line="186" w:lineRule="exact"/>
        <w:rPr>
          <w:sz w:val="20"/>
          <w:szCs w:val="20"/>
          <w:color w:val="auto"/>
        </w:rPr>
      </w:pPr>
    </w:p>
    <w:p>
      <w:pPr>
        <w:ind w:left="8144"/>
        <w:spacing w:after="0"/>
        <w:rPr>
          <w:sz w:val="20"/>
          <w:szCs w:val="20"/>
          <w:color w:val="auto"/>
        </w:rPr>
      </w:pPr>
      <w:r>
        <w:rPr>
          <w:rFonts w:ascii="Arial" w:cs="Arial" w:eastAsia="Arial" w:hAnsi="Arial"/>
          <w:sz w:val="13"/>
          <w:szCs w:val="13"/>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5101590</wp:posOffset>
            </wp:positionH>
            <wp:positionV relativeFrom="paragraph">
              <wp:posOffset>17145</wp:posOffset>
            </wp:positionV>
            <wp:extent cx="12484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8410" cy="7620"/>
                    </a:xfrm>
                    <a:prstGeom prst="rect">
                      <a:avLst/>
                    </a:prstGeom>
                    <a:noFill/>
                  </pic:spPr>
                </pic:pic>
              </a:graphicData>
            </a:graphic>
          </wp:anchor>
        </w:drawing>
      </w:r>
    </w:p>
    <w:p>
      <w:pPr>
        <w:spacing w:after="0" w:line="84" w:lineRule="exact"/>
        <w:rPr>
          <w:sz w:val="20"/>
          <w:szCs w:val="20"/>
          <w:color w:val="auto"/>
        </w:rPr>
      </w:pPr>
    </w:p>
    <w:tbl>
      <w:tblPr>
        <w:tblLayout w:type="fixed"/>
        <w:tblInd w:w="1464" w:type="dxa"/>
        <w:tblCellMar>
          <w:top w:w="0" w:type="dxa"/>
          <w:left w:w="0" w:type="dxa"/>
          <w:bottom w:w="0" w:type="dxa"/>
          <w:right w:w="0" w:type="dxa"/>
        </w:tblCellMar>
      </w:tblPr>
      <w:tr>
        <w:trPr>
          <w:trHeight w:val="172"/>
        </w:trPr>
        <w:tc>
          <w:tcPr>
            <w:tcW w:w="65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2012</w:t>
            </w:r>
          </w:p>
        </w:tc>
        <w:tc>
          <w:tcPr>
            <w:tcW w:w="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b w:val="1"/>
                <w:bCs w:val="1"/>
                <w:color w:val="auto"/>
              </w:rPr>
              <w:t>2011</w:t>
            </w:r>
          </w:p>
        </w:tc>
      </w:tr>
      <w:tr>
        <w:trPr>
          <w:trHeight w:val="228"/>
        </w:trPr>
        <w:tc>
          <w:tcPr>
            <w:tcW w:w="7200" w:type="dxa"/>
            <w:vAlign w:val="bottom"/>
            <w:gridSpan w:val="2"/>
          </w:tcPr>
          <w:p>
            <w:pPr>
              <w:spacing w:after="0"/>
              <w:rPr>
                <w:sz w:val="20"/>
                <w:szCs w:val="20"/>
                <w:color w:val="auto"/>
              </w:rPr>
            </w:pPr>
            <w:r>
              <w:rPr>
                <w:rFonts w:ascii="Arial" w:cs="Arial" w:eastAsia="Arial" w:hAnsi="Arial"/>
                <w:sz w:val="13"/>
                <w:szCs w:val="13"/>
                <w:color w:val="auto"/>
              </w:rPr>
              <w:t>Joint venture sales in China</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1"/>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SGM</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337</w:t>
            </w:r>
          </w:p>
        </w:tc>
        <w:tc>
          <w:tcPr>
            <w:tcW w:w="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310</w:t>
            </w:r>
          </w:p>
        </w:tc>
      </w:tr>
      <w:tr>
        <w:trPr>
          <w:trHeight w:val="241"/>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SGMW and FAW-GM</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w w:val="92"/>
              </w:rPr>
              <w:t>407</w:t>
            </w:r>
          </w:p>
        </w:tc>
        <w:tc>
          <w:tcPr>
            <w:tcW w:w="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376</w:t>
            </w:r>
          </w:p>
        </w:tc>
      </w:tr>
      <w:tr>
        <w:trPr>
          <w:trHeight w:val="241"/>
        </w:trPr>
        <w:tc>
          <w:tcPr>
            <w:tcW w:w="7200" w:type="dxa"/>
            <w:vAlign w:val="bottom"/>
            <w:gridSpan w:val="2"/>
          </w:tcPr>
          <w:p>
            <w:pPr>
              <w:spacing w:after="0"/>
              <w:rPr>
                <w:sz w:val="20"/>
                <w:szCs w:val="20"/>
                <w:color w:val="auto"/>
              </w:rPr>
            </w:pPr>
            <w:r>
              <w:rPr>
                <w:rFonts w:ascii="Arial" w:cs="Arial" w:eastAsia="Arial" w:hAnsi="Arial"/>
                <w:sz w:val="13"/>
                <w:szCs w:val="13"/>
                <w:color w:val="auto"/>
              </w:rPr>
              <w:t>Joint venture sales in India</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1"/>
        </w:trPr>
        <w:tc>
          <w:tcPr>
            <w:tcW w:w="7200" w:type="dxa"/>
            <w:vAlign w:val="bottom"/>
            <w:gridSpan w:val="2"/>
          </w:tcPr>
          <w:p>
            <w:pPr>
              <w:ind w:left="140"/>
              <w:spacing w:after="0"/>
              <w:rPr>
                <w:sz w:val="20"/>
                <w:szCs w:val="20"/>
                <w:color w:val="auto"/>
              </w:rPr>
            </w:pPr>
            <w:r>
              <w:rPr>
                <w:rFonts w:ascii="Arial" w:cs="Arial" w:eastAsia="Arial" w:hAnsi="Arial"/>
                <w:sz w:val="13"/>
                <w:szCs w:val="13"/>
                <w:color w:val="auto"/>
              </w:rPr>
              <w:t>HKJV</w:t>
            </w:r>
          </w:p>
        </w:tc>
        <w:tc>
          <w:tcPr>
            <w:tcW w:w="320" w:type="dxa"/>
            <w:vAlign w:val="bottom"/>
          </w:tcPr>
          <w:p>
            <w:pPr>
              <w:jc w:val="right"/>
              <w:ind w:right="36"/>
              <w:spacing w:after="0"/>
              <w:rPr>
                <w:sz w:val="20"/>
                <w:szCs w:val="20"/>
                <w:color w:val="auto"/>
              </w:rPr>
            </w:pPr>
            <w:r>
              <w:rPr>
                <w:rFonts w:ascii="Arial" w:cs="Arial" w:eastAsia="Arial" w:hAnsi="Arial"/>
                <w:sz w:val="13"/>
                <w:szCs w:val="13"/>
                <w:color w:val="auto"/>
              </w:rPr>
              <w:t>28</w:t>
            </w:r>
          </w:p>
        </w:tc>
        <w:tc>
          <w:tcPr>
            <w:tcW w:w="80" w:type="dxa"/>
            <w:vAlign w:val="bottom"/>
          </w:tcPr>
          <w:p>
            <w:pPr>
              <w:spacing w:after="0"/>
              <w:rPr>
                <w:sz w:val="20"/>
                <w:szCs w:val="20"/>
                <w:color w:val="auto"/>
              </w:rPr>
            </w:pPr>
          </w:p>
        </w:tc>
        <w:tc>
          <w:tcPr>
            <w:tcW w:w="940" w:type="dxa"/>
            <w:vAlign w:val="bottom"/>
          </w:tcPr>
          <w:p>
            <w:pPr>
              <w:jc w:val="right"/>
              <w:ind w:right="36"/>
              <w:spacing w:after="0"/>
              <w:rPr>
                <w:sz w:val="20"/>
                <w:szCs w:val="20"/>
                <w:color w:val="auto"/>
              </w:rPr>
            </w:pPr>
            <w:r>
              <w:rPr>
                <w:rFonts w:ascii="Arial" w:cs="Arial" w:eastAsia="Arial" w:hAnsi="Arial"/>
                <w:sz w:val="13"/>
                <w:szCs w:val="13"/>
                <w:color w:val="auto"/>
              </w:rPr>
              <w:t>29</w:t>
            </w:r>
          </w:p>
        </w:tc>
      </w:tr>
    </w:tbl>
    <w:p>
      <w:pPr>
        <w:spacing w:after="0" w:line="215"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44"/>
          </w:cols>
          <w:pgMar w:left="236" w:top="533" w:right="219" w:bottom="1440" w:gutter="0" w:footer="0" w:header="0"/>
        </w:sectPr>
      </w:pPr>
    </w:p>
    <w:bookmarkStart w:id="12" w:name="page13"/>
    <w:bookmarkEnd w:id="12"/>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Supplemental Material</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1960" w:type="dxa"/>
            <w:vAlign w:val="bottom"/>
            <w:tcBorders>
              <w:bottom w:val="single" w:sz="8" w:color="auto"/>
            </w:tcBorders>
            <w:gridSpan w:val="3"/>
          </w:tcPr>
          <w:p>
            <w:pPr>
              <w:ind w:left="100"/>
              <w:spacing w:after="0"/>
              <w:rPr>
                <w:sz w:val="20"/>
                <w:szCs w:val="20"/>
                <w:color w:val="auto"/>
              </w:rPr>
            </w:pPr>
            <w:r>
              <w:rPr>
                <w:rFonts w:ascii="Arial" w:cs="Arial" w:eastAsia="Arial" w:hAnsi="Arial"/>
                <w:sz w:val="13"/>
                <w:szCs w:val="13"/>
                <w:b w:val="1"/>
                <w:bCs w:val="1"/>
                <w:color w:val="auto"/>
                <w:w w:val="95"/>
              </w:rPr>
              <w:t>Three Months Ended March 31,</w:t>
            </w:r>
          </w:p>
        </w:tc>
      </w:tr>
      <w:tr>
        <w:trPr>
          <w:trHeight w:val="230"/>
        </w:trPr>
        <w:tc>
          <w:tcPr>
            <w:tcW w:w="948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2012</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2011</w:t>
            </w: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Market Share(a)(b)</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United States - Cars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14.3%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15.5%</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United States - Trucks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22.8%</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24.8%</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United States - Crossovers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17.3%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19.8%</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Total United States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19.0%</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Total GMNA</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16.7%</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18.3%</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Total GME</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8.2%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8.4%</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Total GMIO(c)</w:t>
            </w:r>
          </w:p>
        </w:tc>
        <w:tc>
          <w:tcPr>
            <w:tcW w:w="920" w:type="dxa"/>
            <w:vAlign w:val="bottom"/>
          </w:tcPr>
          <w:p>
            <w:pPr>
              <w:jc w:val="center"/>
              <w:spacing w:after="0"/>
              <w:rPr>
                <w:sz w:val="20"/>
                <w:szCs w:val="20"/>
                <w:color w:val="auto"/>
              </w:rPr>
            </w:pPr>
            <w:r>
              <w:rPr>
                <w:rFonts w:ascii="Arial" w:cs="Arial" w:eastAsia="Arial" w:hAnsi="Arial"/>
                <w:sz w:val="16"/>
                <w:szCs w:val="16"/>
                <w:color w:val="auto"/>
                <w:w w:val="93"/>
              </w:rPr>
              <w:t>9.4%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7"/>
              </w:rPr>
              <w:t>9.3%</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Total GMSA</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18.4%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18.8%</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Worldwide</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2"/>
              </w:rPr>
              <w:t>11.3%</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11.4%</w:t>
            </w:r>
          </w:p>
        </w:tc>
      </w:tr>
      <w:tr>
        <w:trPr>
          <w:trHeight w:val="482"/>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U.S. Retail/Fleet Mix</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 Fleet Sales - Cars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33.4%</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28.6%</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 Fleet Sales - Trucks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25.0%</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21.1%</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color w:val="auto"/>
              </w:rPr>
              <w:t>% Fleet Sales - Crossovers</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17.2%</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19.7%</w:t>
            </w:r>
          </w:p>
        </w:tc>
      </w:tr>
      <w:tr>
        <w:trPr>
          <w:trHeight w:val="241"/>
        </w:trPr>
        <w:tc>
          <w:tcPr>
            <w:tcW w:w="9480" w:type="dxa"/>
            <w:vAlign w:val="bottom"/>
          </w:tcPr>
          <w:p>
            <w:pPr>
              <w:ind w:left="160"/>
              <w:spacing w:after="0"/>
              <w:rPr>
                <w:sz w:val="20"/>
                <w:szCs w:val="20"/>
                <w:color w:val="auto"/>
              </w:rPr>
            </w:pPr>
            <w:r>
              <w:rPr>
                <w:rFonts w:ascii="Arial" w:cs="Arial" w:eastAsia="Arial" w:hAnsi="Arial"/>
                <w:sz w:val="16"/>
                <w:szCs w:val="16"/>
                <w:b w:val="1"/>
                <w:bCs w:val="1"/>
                <w:color w:val="auto"/>
              </w:rPr>
              <w:t>Total Vehicles</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26.7%</w:t>
            </w: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6"/>
              </w:rPr>
              <w:t>23.6%</w:t>
            </w:r>
          </w:p>
        </w:tc>
      </w:tr>
      <w:tr>
        <w:trPr>
          <w:trHeight w:val="482"/>
        </w:trPr>
        <w:tc>
          <w:tcPr>
            <w:tcW w:w="9480" w:type="dxa"/>
            <w:vAlign w:val="bottom"/>
          </w:tcPr>
          <w:p>
            <w:pPr>
              <w:ind w:left="20"/>
              <w:spacing w:after="0"/>
              <w:rPr>
                <w:sz w:val="20"/>
                <w:szCs w:val="20"/>
                <w:color w:val="auto"/>
              </w:rPr>
            </w:pPr>
            <w:r>
              <w:rPr>
                <w:rFonts w:ascii="Arial" w:cs="Arial" w:eastAsia="Arial" w:hAnsi="Arial"/>
                <w:sz w:val="16"/>
                <w:szCs w:val="16"/>
                <w:color w:val="auto"/>
              </w:rPr>
              <w:t>GMNA Capacity Utilization(d)</w:t>
            </w:r>
          </w:p>
        </w:tc>
        <w:tc>
          <w:tcPr>
            <w:tcW w:w="920" w:type="dxa"/>
            <w:vAlign w:val="bottom"/>
          </w:tcPr>
          <w:p>
            <w:pPr>
              <w:jc w:val="center"/>
              <w:spacing w:after="0"/>
              <w:rPr>
                <w:sz w:val="20"/>
                <w:szCs w:val="20"/>
                <w:color w:val="auto"/>
              </w:rPr>
            </w:pPr>
            <w:r>
              <w:rPr>
                <w:rFonts w:ascii="Arial" w:cs="Arial" w:eastAsia="Arial" w:hAnsi="Arial"/>
                <w:sz w:val="16"/>
                <w:szCs w:val="16"/>
                <w:color w:val="auto"/>
                <w:w w:val="92"/>
              </w:rPr>
              <w:t>103.0%</w:t>
            </w:r>
          </w:p>
        </w:tc>
        <w:tc>
          <w:tcPr>
            <w:tcW w:w="1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97.3%</w:t>
            </w:r>
          </w:p>
        </w:tc>
      </w:tr>
      <w:tr>
        <w:trPr>
          <w:trHeight w:val="211"/>
        </w:trPr>
        <w:tc>
          <w:tcPr>
            <w:tcW w:w="9480" w:type="dxa"/>
            <w:vAlign w:val="bottom"/>
          </w:tcPr>
          <w:p>
            <w:pPr>
              <w:spacing w:after="0"/>
              <w:rPr>
                <w:sz w:val="20"/>
                <w:szCs w:val="20"/>
                <w:color w:val="auto"/>
              </w:rPr>
            </w:pPr>
            <w:r>
              <w:rPr>
                <w:rFonts w:ascii="Arial" w:cs="Arial" w:eastAsia="Arial" w:hAnsi="Arial"/>
                <w:sz w:val="16"/>
                <w:szCs w:val="16"/>
                <w:color w:val="auto"/>
              </w:rPr>
              <w:t>__________</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r>
    </w:tbl>
    <w:p>
      <w:pPr>
        <w:ind w:left="284" w:hanging="284"/>
        <w:spacing w:after="0" w:line="232" w:lineRule="auto"/>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Market share information is based on vehicle sales volume.</w:t>
      </w:r>
    </w:p>
    <w:p>
      <w:pPr>
        <w:ind w:left="284" w:right="140" w:hanging="284"/>
        <w:spacing w:after="0" w:line="232" w:lineRule="auto"/>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GMNA vehicle sales primarily represent sales to the end customer. GME, GMIO and GMSA vehicle sales primarily represent estimated sales to the end customer. In countries where end customer data is not readily available other data sources, such as wholesale or forecast volumes, are used to estimate vehicle sales.</w:t>
      </w:r>
    </w:p>
    <w:p>
      <w:pPr>
        <w:ind w:left="284" w:hanging="284"/>
        <w:spacing w:after="0"/>
        <w:tabs>
          <w:tab w:leader="none" w:pos="284"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Includes the following joint venture sales:</w:t>
      </w:r>
    </w:p>
    <w:p>
      <w:pPr>
        <w:spacing w:after="0" w:line="123" w:lineRule="exact"/>
        <w:rPr>
          <w:sz w:val="20"/>
          <w:szCs w:val="20"/>
          <w:color w:val="auto"/>
        </w:rPr>
      </w:pPr>
    </w:p>
    <w:p>
      <w:pPr>
        <w:jc w:val="center"/>
        <w:ind w:left="4760"/>
        <w:spacing w:after="0"/>
        <w:rPr>
          <w:sz w:val="20"/>
          <w:szCs w:val="20"/>
          <w:color w:val="auto"/>
        </w:rPr>
      </w:pPr>
      <w:r>
        <w:rPr>
          <w:rFonts w:ascii="Arial" w:cs="Arial" w:eastAsia="Arial" w:hAnsi="Arial"/>
          <w:sz w:val="13"/>
          <w:szCs w:val="13"/>
          <w:b w:val="1"/>
          <w:bCs w:val="1"/>
          <w:color w:val="auto"/>
        </w:rPr>
        <w:t>Three Months Ended</w:t>
      </w:r>
    </w:p>
    <w:p>
      <w:pPr>
        <w:jc w:val="center"/>
        <w:ind w:left="4760"/>
        <w:spacing w:after="0"/>
        <w:rPr>
          <w:sz w:val="20"/>
          <w:szCs w:val="20"/>
          <w:color w:val="auto"/>
        </w:rPr>
      </w:pPr>
      <w:r>
        <w:rPr>
          <w:rFonts w:ascii="Arial" w:cs="Arial" w:eastAsia="Arial" w:hAnsi="Arial"/>
          <w:sz w:val="13"/>
          <w:szCs w:val="13"/>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8255</wp:posOffset>
            </wp:positionV>
            <wp:extent cx="9036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3605" cy="7620"/>
                    </a:xfrm>
                    <a:prstGeom prst="rect">
                      <a:avLst/>
                    </a:prstGeom>
                    <a:noFill/>
                  </pic:spPr>
                </pic:pic>
              </a:graphicData>
            </a:graphic>
          </wp:anchor>
        </w:drawing>
      </w:r>
    </w:p>
    <w:p>
      <w:pPr>
        <w:spacing w:after="0" w:line="70" w:lineRule="exact"/>
        <w:rPr>
          <w:sz w:val="20"/>
          <w:szCs w:val="20"/>
          <w:color w:val="auto"/>
        </w:rPr>
      </w:pPr>
    </w:p>
    <w:tbl>
      <w:tblPr>
        <w:tblLayout w:type="fixed"/>
        <w:tblInd w:w="2664" w:type="dxa"/>
        <w:tblCellMar>
          <w:top w:w="0" w:type="dxa"/>
          <w:left w:w="0" w:type="dxa"/>
          <w:bottom w:w="0" w:type="dxa"/>
          <w:right w:w="0" w:type="dxa"/>
        </w:tblCellMar>
      </w:tblPr>
      <w:tr>
        <w:trPr>
          <w:trHeight w:val="169"/>
        </w:trPr>
        <w:tc>
          <w:tcPr>
            <w:tcW w:w="4700" w:type="dxa"/>
            <w:vAlign w:val="bottom"/>
          </w:tcPr>
          <w:p>
            <w:pPr>
              <w:spacing w:after="0"/>
              <w:rPr>
                <w:sz w:val="14"/>
                <w:szCs w:val="14"/>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2012</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ind w:right="136"/>
              <w:spacing w:after="0"/>
              <w:rPr>
                <w:sz w:val="20"/>
                <w:szCs w:val="20"/>
                <w:color w:val="auto"/>
              </w:rPr>
            </w:pPr>
            <w:r>
              <w:rPr>
                <w:rFonts w:ascii="Arial" w:cs="Arial" w:eastAsia="Arial" w:hAnsi="Arial"/>
                <w:sz w:val="13"/>
                <w:szCs w:val="13"/>
                <w:b w:val="1"/>
                <w:bCs w:val="1"/>
                <w:color w:val="auto"/>
              </w:rPr>
              <w:t>2011</w:t>
            </w:r>
          </w:p>
        </w:tc>
      </w:tr>
      <w:tr>
        <w:trPr>
          <w:trHeight w:val="231"/>
        </w:trPr>
        <w:tc>
          <w:tcPr>
            <w:tcW w:w="4700" w:type="dxa"/>
            <w:vAlign w:val="bottom"/>
          </w:tcPr>
          <w:p>
            <w:pPr>
              <w:spacing w:after="0"/>
              <w:rPr>
                <w:sz w:val="20"/>
                <w:szCs w:val="20"/>
                <w:color w:val="auto"/>
              </w:rPr>
            </w:pPr>
            <w:r>
              <w:rPr>
                <w:rFonts w:ascii="Arial" w:cs="Arial" w:eastAsia="Arial" w:hAnsi="Arial"/>
                <w:sz w:val="13"/>
                <w:szCs w:val="13"/>
                <w:color w:val="auto"/>
              </w:rPr>
              <w:t>Joint venture sales in China</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1"/>
        </w:trPr>
        <w:tc>
          <w:tcPr>
            <w:tcW w:w="4700" w:type="dxa"/>
            <w:vAlign w:val="bottom"/>
          </w:tcPr>
          <w:p>
            <w:pPr>
              <w:ind w:left="140"/>
              <w:spacing w:after="0"/>
              <w:rPr>
                <w:sz w:val="20"/>
                <w:szCs w:val="20"/>
                <w:color w:val="auto"/>
              </w:rPr>
            </w:pPr>
            <w:r>
              <w:rPr>
                <w:rFonts w:ascii="Arial" w:cs="Arial" w:eastAsia="Arial" w:hAnsi="Arial"/>
                <w:sz w:val="13"/>
                <w:szCs w:val="13"/>
                <w:color w:val="auto"/>
              </w:rPr>
              <w:t>SGM</w:t>
            </w:r>
          </w:p>
        </w:tc>
        <w:tc>
          <w:tcPr>
            <w:tcW w:w="660" w:type="dxa"/>
            <w:vAlign w:val="bottom"/>
          </w:tcPr>
          <w:p>
            <w:pPr>
              <w:jc w:val="right"/>
              <w:spacing w:after="0"/>
              <w:rPr>
                <w:sz w:val="20"/>
                <w:szCs w:val="20"/>
                <w:color w:val="auto"/>
              </w:rPr>
            </w:pPr>
            <w:r>
              <w:rPr>
                <w:rFonts w:ascii="Arial" w:cs="Arial" w:eastAsia="Arial" w:hAnsi="Arial"/>
                <w:sz w:val="13"/>
                <w:szCs w:val="13"/>
                <w:color w:val="auto"/>
              </w:rPr>
              <w:t>337</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310</w:t>
            </w:r>
          </w:p>
        </w:tc>
      </w:tr>
      <w:tr>
        <w:trPr>
          <w:trHeight w:val="241"/>
        </w:trPr>
        <w:tc>
          <w:tcPr>
            <w:tcW w:w="4700" w:type="dxa"/>
            <w:vAlign w:val="bottom"/>
          </w:tcPr>
          <w:p>
            <w:pPr>
              <w:ind w:left="140"/>
              <w:spacing w:after="0"/>
              <w:rPr>
                <w:sz w:val="20"/>
                <w:szCs w:val="20"/>
                <w:color w:val="auto"/>
              </w:rPr>
            </w:pPr>
            <w:r>
              <w:rPr>
                <w:rFonts w:ascii="Arial" w:cs="Arial" w:eastAsia="Arial" w:hAnsi="Arial"/>
                <w:sz w:val="13"/>
                <w:szCs w:val="13"/>
                <w:color w:val="auto"/>
              </w:rPr>
              <w:t>SGMW and FAW-GM</w:t>
            </w:r>
          </w:p>
        </w:tc>
        <w:tc>
          <w:tcPr>
            <w:tcW w:w="660" w:type="dxa"/>
            <w:vAlign w:val="bottom"/>
          </w:tcPr>
          <w:p>
            <w:pPr>
              <w:jc w:val="right"/>
              <w:spacing w:after="0"/>
              <w:rPr>
                <w:sz w:val="20"/>
                <w:szCs w:val="20"/>
                <w:color w:val="auto"/>
              </w:rPr>
            </w:pPr>
            <w:r>
              <w:rPr>
                <w:rFonts w:ascii="Arial" w:cs="Arial" w:eastAsia="Arial" w:hAnsi="Arial"/>
                <w:sz w:val="13"/>
                <w:szCs w:val="13"/>
                <w:color w:val="auto"/>
              </w:rPr>
              <w:t>407</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376</w:t>
            </w:r>
          </w:p>
        </w:tc>
      </w:tr>
      <w:tr>
        <w:trPr>
          <w:trHeight w:val="241"/>
        </w:trPr>
        <w:tc>
          <w:tcPr>
            <w:tcW w:w="4700" w:type="dxa"/>
            <w:vAlign w:val="bottom"/>
          </w:tcPr>
          <w:p>
            <w:pPr>
              <w:spacing w:after="0"/>
              <w:rPr>
                <w:sz w:val="20"/>
                <w:szCs w:val="20"/>
                <w:color w:val="auto"/>
              </w:rPr>
            </w:pPr>
            <w:r>
              <w:rPr>
                <w:rFonts w:ascii="Arial" w:cs="Arial" w:eastAsia="Arial" w:hAnsi="Arial"/>
                <w:sz w:val="13"/>
                <w:szCs w:val="13"/>
                <w:color w:val="auto"/>
              </w:rPr>
              <w:t>Joint venture sales in India</w:t>
            </w: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r>
      <w:tr>
        <w:trPr>
          <w:trHeight w:val="241"/>
        </w:trPr>
        <w:tc>
          <w:tcPr>
            <w:tcW w:w="4700" w:type="dxa"/>
            <w:vAlign w:val="bottom"/>
          </w:tcPr>
          <w:p>
            <w:pPr>
              <w:ind w:left="140"/>
              <w:spacing w:after="0"/>
              <w:rPr>
                <w:sz w:val="20"/>
                <w:szCs w:val="20"/>
                <w:color w:val="auto"/>
              </w:rPr>
            </w:pPr>
            <w:r>
              <w:rPr>
                <w:rFonts w:ascii="Arial" w:cs="Arial" w:eastAsia="Arial" w:hAnsi="Arial"/>
                <w:sz w:val="13"/>
                <w:szCs w:val="13"/>
                <w:color w:val="auto"/>
              </w:rPr>
              <w:t>HKJV</w:t>
            </w:r>
          </w:p>
        </w:tc>
        <w:tc>
          <w:tcPr>
            <w:tcW w:w="660" w:type="dxa"/>
            <w:vAlign w:val="bottom"/>
          </w:tcPr>
          <w:p>
            <w:pPr>
              <w:jc w:val="right"/>
              <w:spacing w:after="0"/>
              <w:rPr>
                <w:sz w:val="20"/>
                <w:szCs w:val="20"/>
                <w:color w:val="auto"/>
              </w:rPr>
            </w:pPr>
            <w:r>
              <w:rPr>
                <w:rFonts w:ascii="Arial" w:cs="Arial" w:eastAsia="Arial" w:hAnsi="Arial"/>
                <w:sz w:val="13"/>
                <w:szCs w:val="13"/>
                <w:color w:val="auto"/>
              </w:rPr>
              <w:t>28</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29</w:t>
            </w:r>
          </w:p>
        </w:tc>
      </w:tr>
    </w:tbl>
    <w:p>
      <w:pPr>
        <w:ind w:left="284" w:hanging="284"/>
        <w:spacing w:after="0"/>
        <w:tabs>
          <w:tab w:leader="none" w:pos="284" w:val="left"/>
        </w:tabs>
        <w:numPr>
          <w:ilvl w:val="0"/>
          <w:numId w:val="10"/>
        </w:numPr>
        <w:rPr>
          <w:rFonts w:ascii="Arial" w:cs="Arial" w:eastAsia="Arial" w:hAnsi="Arial"/>
          <w:sz w:val="13"/>
          <w:szCs w:val="13"/>
          <w:color w:val="auto"/>
        </w:rPr>
      </w:pPr>
      <w:r>
        <w:rPr>
          <w:rFonts w:ascii="Arial" w:cs="Arial" w:eastAsia="Arial" w:hAnsi="Arial"/>
          <w:sz w:val="13"/>
          <w:szCs w:val="13"/>
          <w:color w:val="auto"/>
        </w:rPr>
        <w:t>Two shift rated, annualized.</w:t>
      </w:r>
    </w:p>
    <w:p>
      <w:pPr>
        <w:spacing w:after="0" w:line="21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44"/>
          </w:cols>
          <w:pgMar w:left="236" w:top="726" w:right="219" w:bottom="1440" w:gutter="0" w:footer="0" w:header="0"/>
        </w:sectPr>
      </w:pPr>
    </w:p>
    <w:bookmarkStart w:id="13" w:name="page14"/>
    <w:bookmarkEnd w:id="13"/>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Condensed Consolidated Income Statements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(In millions, except per share amounts)</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9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3"/>
                <w:szCs w:val="13"/>
                <w:b w:val="1"/>
                <w:bCs w:val="1"/>
                <w:color w:val="auto"/>
                <w:w w:val="93"/>
              </w:rPr>
              <w:t>Three Months Ended March 31,</w:t>
            </w:r>
          </w:p>
        </w:tc>
        <w:tc>
          <w:tcPr>
            <w:tcW w:w="0" w:type="dxa"/>
            <w:vAlign w:val="bottom"/>
          </w:tcPr>
          <w:p>
            <w:pPr>
              <w:spacing w:after="0"/>
              <w:rPr>
                <w:sz w:val="1"/>
                <w:szCs w:val="1"/>
                <w:color w:val="auto"/>
              </w:rPr>
            </w:pPr>
          </w:p>
        </w:tc>
      </w:tr>
      <w:tr>
        <w:trPr>
          <w:trHeight w:val="230"/>
        </w:trPr>
        <w:tc>
          <w:tcPr>
            <w:tcW w:w="9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17"/>
        </w:trPr>
        <w:tc>
          <w:tcPr>
            <w:tcW w:w="9240" w:type="dxa"/>
            <w:vAlign w:val="bottom"/>
          </w:tcPr>
          <w:p>
            <w:pPr>
              <w:spacing w:after="0"/>
              <w:rPr>
                <w:sz w:val="20"/>
                <w:szCs w:val="20"/>
                <w:color w:val="auto"/>
              </w:rPr>
            </w:pPr>
            <w:r>
              <w:rPr>
                <w:rFonts w:ascii="Arial" w:cs="Arial" w:eastAsia="Arial" w:hAnsi="Arial"/>
                <w:sz w:val="16"/>
                <w:szCs w:val="16"/>
                <w:b w:val="1"/>
                <w:bCs w:val="1"/>
                <w:color w:val="auto"/>
              </w:rPr>
              <w:t>Net sales and revenue</w:t>
            </w: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Automotive sales and revenue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37,328</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35,899</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GM Financial revenue</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431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4"/>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40" w:type="dxa"/>
            <w:vAlign w:val="bottom"/>
          </w:tcPr>
          <w:p>
            <w:pPr>
              <w:ind w:left="140"/>
              <w:spacing w:after="0"/>
              <w:rPr>
                <w:sz w:val="20"/>
                <w:szCs w:val="20"/>
                <w:color w:val="auto"/>
              </w:rPr>
            </w:pPr>
            <w:r>
              <w:rPr>
                <w:rFonts w:ascii="Arial" w:cs="Arial" w:eastAsia="Arial" w:hAnsi="Arial"/>
                <w:sz w:val="16"/>
                <w:szCs w:val="16"/>
                <w:color w:val="auto"/>
              </w:rPr>
              <w:t>Total net sales and revenue</w:t>
            </w: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37,759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36,194</w:t>
            </w:r>
          </w:p>
        </w:tc>
        <w:tc>
          <w:tcPr>
            <w:tcW w:w="0" w:type="dxa"/>
            <w:vAlign w:val="bottom"/>
          </w:tcPr>
          <w:p>
            <w:pPr>
              <w:spacing w:after="0"/>
              <w:rPr>
                <w:sz w:val="1"/>
                <w:szCs w:val="1"/>
                <w:color w:val="auto"/>
              </w:rPr>
            </w:pPr>
          </w:p>
        </w:tc>
      </w:tr>
      <w:tr>
        <w:trPr>
          <w:trHeight w:val="24"/>
        </w:trPr>
        <w:tc>
          <w:tcPr>
            <w:tcW w:w="9240" w:type="dxa"/>
            <w:vAlign w:val="bottom"/>
            <w:vMerge w:val="restart"/>
          </w:tcPr>
          <w:p>
            <w:pPr>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Automotive cost of sales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32,910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31,685</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GM Financial operating and other expenses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248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Automotive selling, general and administrative expense</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2,973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2,994</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Other automotive expenses, net</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Goodwill impairment charges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617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4"/>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40" w:type="dxa"/>
            <w:vAlign w:val="bottom"/>
          </w:tcPr>
          <w:p>
            <w:pPr>
              <w:ind w:left="140"/>
              <w:spacing w:after="0"/>
              <w:rPr>
                <w:sz w:val="20"/>
                <w:szCs w:val="20"/>
                <w:color w:val="auto"/>
              </w:rPr>
            </w:pPr>
            <w:r>
              <w:rPr>
                <w:rFonts w:ascii="Arial" w:cs="Arial" w:eastAsia="Arial" w:hAnsi="Arial"/>
                <w:sz w:val="16"/>
                <w:szCs w:val="16"/>
                <w:color w:val="auto"/>
              </w:rPr>
              <w:t>Total costs and expenses</w:t>
            </w: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36,763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35,245</w:t>
            </w:r>
          </w:p>
        </w:tc>
        <w:tc>
          <w:tcPr>
            <w:tcW w:w="0" w:type="dxa"/>
            <w:vAlign w:val="bottom"/>
          </w:tcPr>
          <w:p>
            <w:pPr>
              <w:spacing w:after="0"/>
              <w:rPr>
                <w:sz w:val="1"/>
                <w:szCs w:val="1"/>
                <w:color w:val="auto"/>
              </w:rPr>
            </w:pPr>
          </w:p>
        </w:tc>
      </w:tr>
      <w:tr>
        <w:trPr>
          <w:trHeight w:val="24"/>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40" w:type="dxa"/>
            <w:vAlign w:val="bottom"/>
          </w:tcPr>
          <w:p>
            <w:pPr>
              <w:ind w:left="300"/>
              <w:spacing w:after="0"/>
              <w:rPr>
                <w:sz w:val="20"/>
                <w:szCs w:val="20"/>
                <w:color w:val="auto"/>
              </w:rPr>
            </w:pPr>
            <w:r>
              <w:rPr>
                <w:rFonts w:ascii="Arial" w:cs="Arial" w:eastAsia="Arial" w:hAnsi="Arial"/>
                <w:sz w:val="16"/>
                <w:szCs w:val="16"/>
                <w:color w:val="auto"/>
              </w:rPr>
              <w:t>Operating income</w:t>
            </w: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996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949</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color w:val="auto"/>
              </w:rPr>
              <w:t>Automotive interest expense</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color w:val="auto"/>
              </w:rPr>
              <w:t>Interest income and other non-operating income, net</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604</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color w:val="auto"/>
              </w:rPr>
              <w:t>Loss on extinguishment of debt</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40" w:type="dxa"/>
            <w:vAlign w:val="bottom"/>
          </w:tcPr>
          <w:p>
            <w:pPr>
              <w:spacing w:after="0"/>
              <w:rPr>
                <w:sz w:val="20"/>
                <w:szCs w:val="20"/>
                <w:color w:val="auto"/>
              </w:rPr>
            </w:pPr>
            <w:r>
              <w:rPr>
                <w:rFonts w:ascii="Arial" w:cs="Arial" w:eastAsia="Arial" w:hAnsi="Arial"/>
                <w:sz w:val="16"/>
                <w:szCs w:val="16"/>
                <w:color w:val="auto"/>
              </w:rPr>
              <w:t>Income before income taxes and equity income</w:t>
            </w: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1,143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1,404</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color w:val="auto"/>
              </w:rPr>
              <w:t>Income tax expense</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color w:val="auto"/>
              </w:rPr>
              <w:t>Equity income, net of tax and gain on disposal of investments</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423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2,144</w:t>
            </w:r>
          </w:p>
        </w:tc>
        <w:tc>
          <w:tcPr>
            <w:tcW w:w="0" w:type="dxa"/>
            <w:vAlign w:val="bottom"/>
          </w:tcPr>
          <w:p>
            <w:pPr>
              <w:spacing w:after="0"/>
              <w:rPr>
                <w:sz w:val="1"/>
                <w:szCs w:val="1"/>
                <w:color w:val="auto"/>
              </w:rPr>
            </w:pPr>
          </w:p>
        </w:tc>
      </w:tr>
      <w:tr>
        <w:trPr>
          <w:trHeight w:val="24"/>
        </w:trPr>
        <w:tc>
          <w:tcPr>
            <w:tcW w:w="9240" w:type="dxa"/>
            <w:vAlign w:val="bottom"/>
            <w:vMerge w:val="restart"/>
          </w:tcPr>
          <w:p>
            <w:pPr>
              <w:spacing w:after="0"/>
              <w:rPr>
                <w:sz w:val="20"/>
                <w:szCs w:val="20"/>
                <w:color w:val="auto"/>
              </w:rPr>
            </w:pPr>
            <w:r>
              <w:rPr>
                <w:rFonts w:ascii="Arial" w:cs="Arial" w:eastAsia="Arial" w:hAnsi="Arial"/>
                <w:sz w:val="16"/>
                <w:szCs w:val="16"/>
                <w:b w:val="1"/>
                <w:bCs w:val="1"/>
                <w:color w:val="auto"/>
              </w:rPr>
              <w:t>Net income</w:t>
            </w: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92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1,350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3,411</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color w:val="auto"/>
              </w:rPr>
              <w:t>Net income attributable to noncontrolling interests</w:t>
            </w: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24"/>
        </w:trPr>
        <w:tc>
          <w:tcPr>
            <w:tcW w:w="9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9240" w:type="dxa"/>
            <w:vAlign w:val="bottom"/>
          </w:tcPr>
          <w:p>
            <w:pPr>
              <w:spacing w:after="0"/>
              <w:rPr>
                <w:sz w:val="20"/>
                <w:szCs w:val="20"/>
                <w:color w:val="auto"/>
              </w:rPr>
            </w:pPr>
            <w:r>
              <w:rPr>
                <w:rFonts w:ascii="Arial" w:cs="Arial" w:eastAsia="Arial" w:hAnsi="Arial"/>
                <w:sz w:val="16"/>
                <w:szCs w:val="16"/>
                <w:b w:val="1"/>
                <w:bCs w:val="1"/>
                <w:color w:val="auto"/>
              </w:rPr>
              <w:t>Net income attributable to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1,315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
        </w:trPr>
        <w:tc>
          <w:tcPr>
            <w:tcW w:w="924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2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b w:val="1"/>
                <w:bCs w:val="1"/>
                <w:color w:val="auto"/>
              </w:rPr>
              <w:t>Basic</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41"/>
        </w:trPr>
        <w:tc>
          <w:tcPr>
            <w:tcW w:w="9240" w:type="dxa"/>
            <w:vAlign w:val="bottom"/>
          </w:tcPr>
          <w:p>
            <w:pPr>
              <w:spacing w:after="0"/>
              <w:rPr>
                <w:sz w:val="20"/>
                <w:szCs w:val="20"/>
                <w:color w:val="auto"/>
              </w:rPr>
            </w:pPr>
            <w:r>
              <w:rPr>
                <w:rFonts w:ascii="Arial" w:cs="Arial" w:eastAsia="Arial" w:hAnsi="Arial"/>
                <w:sz w:val="16"/>
                <w:szCs w:val="16"/>
                <w:b w:val="1"/>
                <w:bCs w:val="1"/>
                <w:color w:val="auto"/>
              </w:rPr>
              <w:t>Diluted</w:t>
            </w: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20"/>
                <w:szCs w:val="20"/>
                <w:color w:val="auto"/>
              </w:rPr>
            </w:pPr>
          </w:p>
        </w:tc>
        <w:tc>
          <w:tcPr>
            <w:tcW w:w="240" w:type="dxa"/>
            <w:vAlign w:val="bottom"/>
          </w:tcPr>
          <w:p>
            <w:pPr>
              <w:jc w:val="right"/>
              <w:ind w:right="60"/>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41"/>
        </w:trPr>
        <w:tc>
          <w:tcPr>
            <w:tcW w:w="9240" w:type="dxa"/>
            <w:vAlign w:val="bottom"/>
          </w:tcPr>
          <w:p>
            <w:pPr>
              <w:ind w:left="140"/>
              <w:spacing w:after="0"/>
              <w:rPr>
                <w:sz w:val="20"/>
                <w:szCs w:val="20"/>
                <w:color w:val="auto"/>
              </w:rPr>
            </w:pPr>
            <w:r>
              <w:rPr>
                <w:rFonts w:ascii="Arial" w:cs="Arial" w:eastAsia="Arial" w:hAnsi="Arial"/>
                <w:sz w:val="16"/>
                <w:szCs w:val="16"/>
                <w:color w:val="auto"/>
              </w:rPr>
              <w:t>Weighted-average common shares outstanding</w:t>
            </w:r>
          </w:p>
        </w:tc>
        <w:tc>
          <w:tcPr>
            <w:tcW w:w="160" w:type="dxa"/>
            <w:vAlign w:val="bottom"/>
          </w:tcPr>
          <w:p>
            <w:pPr>
              <w:spacing w:after="0"/>
              <w:rPr>
                <w:sz w:val="20"/>
                <w:szCs w:val="20"/>
                <w:color w:val="auto"/>
              </w:rPr>
            </w:pPr>
          </w:p>
        </w:tc>
        <w:tc>
          <w:tcPr>
            <w:tcW w:w="880" w:type="dxa"/>
            <w:vAlign w:val="bottom"/>
          </w:tcPr>
          <w:p>
            <w:pPr>
              <w:jc w:val="right"/>
              <w:ind w:right="41"/>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60" w:top="726" w:right="219" w:bottom="1440" w:gutter="0" w:footer="0" w:header="0"/>
        </w:sectPr>
      </w:pPr>
    </w:p>
    <w:bookmarkStart w:id="14" w:name="page15"/>
    <w:bookmarkEnd w:id="14"/>
    <w:p>
      <w:pPr>
        <w:jc w:val="center"/>
        <w:ind w:left="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440"/>
        <w:spacing w:after="0"/>
        <w:rPr>
          <w:sz w:val="20"/>
          <w:szCs w:val="20"/>
          <w:color w:val="auto"/>
        </w:rPr>
      </w:pPr>
      <w:r>
        <w:rPr>
          <w:rFonts w:ascii="Arial" w:cs="Arial" w:eastAsia="Arial" w:hAnsi="Arial"/>
          <w:sz w:val="16"/>
          <w:szCs w:val="16"/>
          <w:b w:val="1"/>
          <w:bCs w:val="1"/>
          <w:color w:val="auto"/>
        </w:rPr>
        <w:t>Basic and Diluted Earnings per Share</w:t>
      </w:r>
    </w:p>
    <w:p>
      <w:pPr>
        <w:spacing w:after="0" w:line="9" w:lineRule="exact"/>
        <w:rPr>
          <w:sz w:val="20"/>
          <w:szCs w:val="20"/>
          <w:color w:val="auto"/>
        </w:rPr>
      </w:pPr>
    </w:p>
    <w:p>
      <w:pPr>
        <w:jc w:val="center"/>
        <w:ind w:left="440"/>
        <w:spacing w:after="0"/>
        <w:rPr>
          <w:sz w:val="20"/>
          <w:szCs w:val="20"/>
          <w:color w:val="auto"/>
        </w:rPr>
      </w:pPr>
      <w:r>
        <w:rPr>
          <w:rFonts w:ascii="Arial" w:cs="Arial" w:eastAsia="Arial" w:hAnsi="Arial"/>
          <w:sz w:val="16"/>
          <w:szCs w:val="16"/>
          <w:i w:val="1"/>
          <w:iCs w:val="1"/>
          <w:color w:val="auto"/>
        </w:rPr>
        <w:t>(Unaudited)</w:t>
      </w:r>
    </w:p>
    <w:p>
      <w:pPr>
        <w:spacing w:after="0" w:line="194" w:lineRule="exact"/>
        <w:rPr>
          <w:sz w:val="20"/>
          <w:szCs w:val="20"/>
          <w:color w:val="auto"/>
        </w:rPr>
      </w:pPr>
    </w:p>
    <w:p>
      <w:pPr>
        <w:ind w:left="4" w:right="100" w:firstLine="145"/>
        <w:spacing w:after="0" w:line="284" w:lineRule="auto"/>
        <w:rPr>
          <w:sz w:val="20"/>
          <w:szCs w:val="20"/>
          <w:color w:val="auto"/>
        </w:rPr>
      </w:pPr>
      <w:r>
        <w:rPr>
          <w:rFonts w:ascii="Arial" w:cs="Arial" w:eastAsia="Arial" w:hAnsi="Arial"/>
          <w:sz w:val="14"/>
          <w:szCs w:val="14"/>
          <w:color w:val="auto"/>
        </w:rPr>
        <w:t>In the three months ended March 31, 2012 GM was required to use the two-class method for calculating earnings per share as the applicable market value of its common stock was below $33.00 per common share in the period ended March 31, 2012.</w:t>
      </w:r>
    </w:p>
    <w:p>
      <w:pPr>
        <w:spacing w:after="0" w:line="150" w:lineRule="exact"/>
        <w:rPr>
          <w:sz w:val="20"/>
          <w:szCs w:val="20"/>
          <w:color w:val="auto"/>
        </w:rPr>
      </w:pPr>
    </w:p>
    <w:p>
      <w:pPr>
        <w:ind w:left="144"/>
        <w:spacing w:after="0"/>
        <w:rPr>
          <w:sz w:val="20"/>
          <w:szCs w:val="20"/>
          <w:color w:val="auto"/>
        </w:rPr>
      </w:pPr>
      <w:r>
        <w:rPr>
          <w:rFonts w:ascii="Arial" w:cs="Arial" w:eastAsia="Arial" w:hAnsi="Arial"/>
          <w:sz w:val="14"/>
          <w:szCs w:val="14"/>
          <w:color w:val="auto"/>
        </w:rPr>
        <w:t>The following table summarizes basic and diluted earnings per share for three months ended March 31, 2012 and 2011 (in millions, except per share amounts):</w:t>
      </w:r>
    </w:p>
    <w:p>
      <w:pPr>
        <w:spacing w:after="0" w:line="201" w:lineRule="exact"/>
        <w:rPr>
          <w:sz w:val="20"/>
          <w:szCs w:val="20"/>
          <w:color w:val="auto"/>
        </w:rPr>
      </w:pPr>
    </w:p>
    <w:tbl>
      <w:tblPr>
        <w:tblLayout w:type="fixed"/>
        <w:tblInd w:w="4" w:type="dxa"/>
        <w:tblCellMar>
          <w:top w:w="0" w:type="dxa"/>
          <w:left w:w="0" w:type="dxa"/>
          <w:bottom w:w="0" w:type="dxa"/>
          <w:right w:w="0" w:type="dxa"/>
        </w:tblCellMar>
      </w:tblPr>
      <w:tr>
        <w:trPr>
          <w:trHeight w:val="172"/>
        </w:trPr>
        <w:tc>
          <w:tcPr>
            <w:tcW w:w="9480" w:type="dxa"/>
            <w:vAlign w:val="bottom"/>
          </w:tcPr>
          <w:p>
            <w:pPr>
              <w:spacing w:after="0"/>
              <w:rPr>
                <w:sz w:val="14"/>
                <w:szCs w:val="14"/>
                <w:color w:val="auto"/>
              </w:rPr>
            </w:pPr>
          </w:p>
        </w:tc>
        <w:tc>
          <w:tcPr>
            <w:tcW w:w="196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3"/>
                <w:szCs w:val="13"/>
                <w:b w:val="1"/>
                <w:bCs w:val="1"/>
                <w:color w:val="auto"/>
                <w:w w:val="96"/>
              </w:rPr>
              <w:t>Three Months Ended March 31,</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261"/>
              <w:spacing w:after="0"/>
              <w:rPr>
                <w:sz w:val="20"/>
                <w:szCs w:val="20"/>
                <w:color w:val="auto"/>
              </w:rPr>
            </w:pPr>
            <w:r>
              <w:rPr>
                <w:rFonts w:ascii="Arial" w:cs="Arial" w:eastAsia="Arial" w:hAnsi="Arial"/>
                <w:sz w:val="13"/>
                <w:szCs w:val="13"/>
                <w:b w:val="1"/>
                <w:bCs w:val="1"/>
                <w:color w:val="auto"/>
              </w:rPr>
              <w:t>2012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2011</w:t>
            </w:r>
          </w:p>
        </w:tc>
        <w:tc>
          <w:tcPr>
            <w:tcW w:w="0" w:type="dxa"/>
            <w:vAlign w:val="bottom"/>
          </w:tcPr>
          <w:p>
            <w:pPr>
              <w:spacing w:after="0"/>
              <w:rPr>
                <w:sz w:val="1"/>
                <w:szCs w:val="1"/>
                <w:color w:val="auto"/>
              </w:rPr>
            </w:pPr>
          </w:p>
        </w:tc>
      </w:tr>
      <w:tr>
        <w:trPr>
          <w:trHeight w:val="217"/>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Basic earnings per share</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1,315</w:t>
            </w:r>
          </w:p>
        </w:tc>
        <w:tc>
          <w:tcPr>
            <w:tcW w:w="12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w w:val="98"/>
              </w:rPr>
              <w:t>Less: cumulative dividends on preferred stock and undistributed earnings allocated to Series B Preferred Stock participating security(b)</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48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3,151</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common shares outstanding - basic</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Basic earnings per share</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0.64</w:t>
            </w:r>
          </w:p>
        </w:tc>
        <w:tc>
          <w:tcPr>
            <w:tcW w:w="12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b w:val="1"/>
                <w:bCs w:val="1"/>
                <w:color w:val="auto"/>
              </w:rPr>
              <w:t>Diluted earnings per share</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Net income attributable to stockholders(a)</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1,315</w:t>
            </w:r>
          </w:p>
        </w:tc>
        <w:tc>
          <w:tcPr>
            <w:tcW w:w="120" w:type="dxa"/>
            <w:vAlign w:val="bottom"/>
          </w:tcPr>
          <w:p>
            <w:pPr>
              <w:spacing w:after="0"/>
              <w:rPr>
                <w:sz w:val="20"/>
                <w:szCs w:val="20"/>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3,366</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w w:val="99"/>
              </w:rPr>
              <w:t>Less: cumulative dividends on preferred stock and undistributed earnings allocated to Series B Preferred Stock participating security(c)</w:t>
            </w:r>
          </w:p>
        </w:tc>
        <w:tc>
          <w:tcPr>
            <w:tcW w:w="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(305)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Add: preferred dividends to holders of Series B Preferred Stock</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9480" w:type="dxa"/>
            <w:vAlign w:val="bottom"/>
          </w:tcPr>
          <w:p>
            <w:pPr>
              <w:ind w:left="20"/>
              <w:spacing w:after="0"/>
              <w:rPr>
                <w:sz w:val="20"/>
                <w:szCs w:val="20"/>
                <w:color w:val="auto"/>
              </w:rPr>
            </w:pPr>
            <w:r>
              <w:rPr>
                <w:rFonts w:ascii="Arial" w:cs="Arial" w:eastAsia="Arial" w:hAnsi="Arial"/>
                <w:sz w:val="16"/>
                <w:szCs w:val="16"/>
                <w:color w:val="auto"/>
              </w:rPr>
              <w:t>Net income attributable to common stockholders</w:t>
            </w:r>
          </w:p>
        </w:tc>
        <w:tc>
          <w:tcPr>
            <w:tcW w:w="22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1,010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3,210</w:t>
            </w:r>
          </w:p>
        </w:tc>
        <w:tc>
          <w:tcPr>
            <w:tcW w:w="0" w:type="dxa"/>
            <w:vAlign w:val="bottom"/>
          </w:tcPr>
          <w:p>
            <w:pPr>
              <w:spacing w:after="0"/>
              <w:rPr>
                <w:sz w:val="1"/>
                <w:szCs w:val="1"/>
                <w:color w:val="auto"/>
              </w:rPr>
            </w:pPr>
          </w:p>
        </w:tc>
      </w:tr>
      <w:tr>
        <w:trPr>
          <w:trHeight w:val="20"/>
        </w:trPr>
        <w:tc>
          <w:tcPr>
            <w:tcW w:w="94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Weighted-average shares outstanding - diluted</w:t>
            </w: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94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basic</w:t>
            </w: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1,572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Dilutive effect of warrants</w:t>
            </w: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116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Dilutive effect of conversion of Series B Preferred Stock</w:t>
            </w:r>
          </w:p>
        </w:tc>
        <w:tc>
          <w:tcPr>
            <w:tcW w:w="22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41"/>
        </w:trPr>
        <w:tc>
          <w:tcPr>
            <w:tcW w:w="9480" w:type="dxa"/>
            <w:vAlign w:val="bottom"/>
          </w:tcPr>
          <w:p>
            <w:pPr>
              <w:ind w:left="20"/>
              <w:spacing w:after="0"/>
              <w:rPr>
                <w:sz w:val="20"/>
                <w:szCs w:val="20"/>
                <w:color w:val="auto"/>
              </w:rPr>
            </w:pPr>
            <w:r>
              <w:rPr>
                <w:rFonts w:ascii="Arial" w:cs="Arial" w:eastAsia="Arial" w:hAnsi="Arial"/>
                <w:sz w:val="16"/>
                <w:szCs w:val="16"/>
                <w:color w:val="auto"/>
              </w:rPr>
              <w:t>Dilutive effect of restricted stock units</w:t>
            </w:r>
          </w:p>
        </w:tc>
        <w:tc>
          <w:tcPr>
            <w:tcW w:w="220" w:type="dxa"/>
            <w:vAlign w:val="bottom"/>
          </w:tcPr>
          <w:p>
            <w:pPr>
              <w:spacing w:after="0"/>
              <w:rPr>
                <w:sz w:val="20"/>
                <w:szCs w:val="20"/>
                <w:color w:val="auto"/>
              </w:rPr>
            </w:pP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4"/>
        </w:trPr>
        <w:tc>
          <w:tcPr>
            <w:tcW w:w="94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9480" w:type="dxa"/>
            <w:vAlign w:val="bottom"/>
          </w:tcPr>
          <w:p>
            <w:pPr>
              <w:ind w:left="20"/>
              <w:spacing w:after="0"/>
              <w:rPr>
                <w:sz w:val="20"/>
                <w:szCs w:val="20"/>
                <w:color w:val="auto"/>
              </w:rPr>
            </w:pPr>
            <w:r>
              <w:rPr>
                <w:rFonts w:ascii="Arial" w:cs="Arial" w:eastAsia="Arial" w:hAnsi="Arial"/>
                <w:sz w:val="16"/>
                <w:szCs w:val="16"/>
                <w:color w:val="auto"/>
              </w:rPr>
              <w:t>Weighted-average common shares outstanding - diluted</w:t>
            </w: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1,692</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1,817</w:t>
            </w:r>
          </w:p>
        </w:tc>
        <w:tc>
          <w:tcPr>
            <w:tcW w:w="0" w:type="dxa"/>
            <w:vAlign w:val="bottom"/>
          </w:tcPr>
          <w:p>
            <w:pPr>
              <w:spacing w:after="0"/>
              <w:rPr>
                <w:sz w:val="1"/>
                <w:szCs w:val="1"/>
                <w:color w:val="auto"/>
              </w:rPr>
            </w:pPr>
          </w:p>
        </w:tc>
      </w:tr>
      <w:tr>
        <w:trPr>
          <w:trHeight w:val="20"/>
        </w:trPr>
        <w:tc>
          <w:tcPr>
            <w:tcW w:w="9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94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41"/>
              <w:spacing w:after="0"/>
              <w:rPr>
                <w:sz w:val="20"/>
                <w:szCs w:val="20"/>
                <w:color w:val="auto"/>
              </w:rPr>
            </w:pPr>
            <w:r>
              <w:rPr>
                <w:rFonts w:ascii="Arial" w:cs="Arial" w:eastAsia="Arial" w:hAnsi="Arial"/>
                <w:sz w:val="16"/>
                <w:szCs w:val="16"/>
                <w:color w:val="auto"/>
              </w:rPr>
              <w:t>0.60</w:t>
            </w:r>
          </w:p>
        </w:tc>
        <w:tc>
          <w:tcPr>
            <w:tcW w:w="120" w:type="dxa"/>
            <w:vAlign w:val="bottom"/>
          </w:tcPr>
          <w:p>
            <w:pPr>
              <w:spacing w:after="0"/>
              <w:rPr>
                <w:sz w:val="17"/>
                <w:szCs w:val="17"/>
                <w:color w:val="auto"/>
              </w:rPr>
            </w:pPr>
          </w:p>
        </w:tc>
        <w:tc>
          <w:tcPr>
            <w:tcW w:w="220" w:type="dxa"/>
            <w:vAlign w:val="bottom"/>
          </w:tcPr>
          <w:p>
            <w:pPr>
              <w:jc w:val="right"/>
              <w:ind w:right="40"/>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ind w:right="41"/>
              <w:spacing w:after="0"/>
              <w:rPr>
                <w:sz w:val="20"/>
                <w:szCs w:val="20"/>
                <w:color w:val="auto"/>
              </w:rPr>
            </w:pPr>
            <w:r>
              <w:rPr>
                <w:rFonts w:ascii="Arial" w:cs="Arial" w:eastAsia="Arial" w:hAnsi="Arial"/>
                <w:sz w:val="16"/>
                <w:szCs w:val="16"/>
                <w:color w:val="auto"/>
              </w:rPr>
              <w:t>1.77</w:t>
            </w:r>
          </w:p>
        </w:tc>
        <w:tc>
          <w:tcPr>
            <w:tcW w:w="0" w:type="dxa"/>
            <w:vAlign w:val="bottom"/>
          </w:tcPr>
          <w:p>
            <w:pPr>
              <w:spacing w:after="0"/>
              <w:rPr>
                <w:sz w:val="1"/>
                <w:szCs w:val="1"/>
                <w:color w:val="auto"/>
              </w:rPr>
            </w:pPr>
          </w:p>
        </w:tc>
      </w:tr>
      <w:tr>
        <w:trPr>
          <w:trHeight w:val="211"/>
        </w:trPr>
        <w:tc>
          <w:tcPr>
            <w:tcW w:w="9480" w:type="dxa"/>
            <w:vAlign w:val="bottom"/>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284" w:hanging="284"/>
        <w:spacing w:after="0"/>
        <w:tabs>
          <w:tab w:leader="none" w:pos="284"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Includes earned but undeclared dividends of $26 million on GM's Series A Preferred Stock and $20 million on GM's Series B Preferred Stock in the three months ended March 31, 2012 and 2011.</w:t>
      </w:r>
    </w:p>
    <w:p>
      <w:pPr>
        <w:spacing w:after="0" w:line="6" w:lineRule="exact"/>
        <w:rPr>
          <w:rFonts w:ascii="Arial" w:cs="Arial" w:eastAsia="Arial" w:hAnsi="Arial"/>
          <w:sz w:val="12"/>
          <w:szCs w:val="12"/>
          <w:color w:val="auto"/>
        </w:rPr>
      </w:pPr>
    </w:p>
    <w:p>
      <w:pPr>
        <w:ind w:left="284" w:right="20" w:hanging="284"/>
        <w:spacing w:after="0" w:line="232" w:lineRule="auto"/>
        <w:tabs>
          <w:tab w:leader="none" w:pos="284"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cumulative dividends on preferred stock of $215 million and earnings of $96 million that have been allocated to the Series B Preferred Stock holders in the three months ended March 31, 2012 and cumulative dividends on preferred stock of $215 million in the three months ended March 31, 2011.</w:t>
      </w:r>
    </w:p>
    <w:p>
      <w:pPr>
        <w:ind w:left="284" w:right="20" w:hanging="284"/>
        <w:spacing w:after="0" w:line="238" w:lineRule="auto"/>
        <w:tabs>
          <w:tab w:leader="none" w:pos="284"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Includes cumulative dividends on preferred stock of $215 million and earnings of $90 million that have been allocated to the Series B Preferred Stock holders in the three months ended March 31, 2012 and cumulative dividends on preferred stock of $215 million in the three months ended March 31, 2011.</w:t>
      </w:r>
    </w:p>
    <w:p>
      <w:pPr>
        <w:spacing w:after="0" w:line="397"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44"/>
          </w:cols>
          <w:pgMar w:left="236" w:top="726" w:right="219" w:bottom="1440" w:gutter="0" w:footer="0" w:header="0"/>
        </w:sectPr>
      </w:pPr>
    </w:p>
    <w:bookmarkStart w:id="15" w:name="page16"/>
    <w:bookmarkEnd w:id="15"/>
    <w:p>
      <w:pPr>
        <w:jc w:val="center"/>
        <w:ind w:left="344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25" w:lineRule="exact"/>
        <w:rPr>
          <w:sz w:val="20"/>
          <w:szCs w:val="20"/>
          <w:color w:val="auto"/>
        </w:rPr>
      </w:pPr>
    </w:p>
    <w:p>
      <w:pPr>
        <w:jc w:val="center"/>
        <w:ind w:left="344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9" w:lineRule="exact"/>
        <w:rPr>
          <w:sz w:val="20"/>
          <w:szCs w:val="20"/>
          <w:color w:val="auto"/>
        </w:rPr>
      </w:pPr>
    </w:p>
    <w:p>
      <w:pPr>
        <w:jc w:val="center"/>
        <w:ind w:left="3440"/>
        <w:spacing w:after="0"/>
        <w:rPr>
          <w:sz w:val="20"/>
          <w:szCs w:val="20"/>
          <w:color w:val="auto"/>
        </w:rPr>
      </w:pPr>
      <w:r>
        <w:rPr>
          <w:rFonts w:ascii="Arial" w:cs="Arial" w:eastAsia="Arial" w:hAnsi="Arial"/>
          <w:sz w:val="16"/>
          <w:szCs w:val="16"/>
          <w:i w:val="1"/>
          <w:iCs w:val="1"/>
          <w:color w:val="auto"/>
        </w:rPr>
        <w:t>(In millions, except share amounts)</w:t>
      </w:r>
    </w:p>
    <w:p>
      <w:pPr>
        <w:spacing w:after="0" w:line="9" w:lineRule="exact"/>
        <w:rPr>
          <w:sz w:val="20"/>
          <w:szCs w:val="20"/>
          <w:color w:val="auto"/>
        </w:rPr>
      </w:pPr>
    </w:p>
    <w:p>
      <w:pPr>
        <w:jc w:val="center"/>
        <w:ind w:left="3440"/>
        <w:spacing w:after="0"/>
        <w:rPr>
          <w:sz w:val="20"/>
          <w:szCs w:val="20"/>
          <w:color w:val="auto"/>
        </w:rPr>
      </w:pPr>
      <w:r>
        <w:rPr>
          <w:rFonts w:ascii="Arial" w:cs="Arial" w:eastAsia="Arial" w:hAnsi="Arial"/>
          <w:sz w:val="16"/>
          <w:szCs w:val="16"/>
          <w:i w:val="1"/>
          <w:iCs w:val="1"/>
          <w:color w:val="auto"/>
        </w:rPr>
        <w:t>(Unaudited)</w:t>
      </w:r>
    </w:p>
    <w:p>
      <w:pPr>
        <w:spacing w:after="0" w:line="379" w:lineRule="exact"/>
        <w:rPr>
          <w:sz w:val="20"/>
          <w:szCs w:val="20"/>
          <w:color w:val="auto"/>
        </w:rPr>
      </w:pPr>
    </w:p>
    <w:p>
      <w:pPr>
        <w:jc w:val="center"/>
        <w:ind w:left="380"/>
        <w:spacing w:after="0"/>
        <w:rPr>
          <w:sz w:val="20"/>
          <w:szCs w:val="20"/>
          <w:color w:val="auto"/>
        </w:rPr>
      </w:pPr>
      <w:r>
        <w:rPr>
          <w:rFonts w:ascii="Arial" w:cs="Arial" w:eastAsia="Arial" w:hAnsi="Arial"/>
          <w:sz w:val="11"/>
          <w:szCs w:val="11"/>
          <w:b w:val="1"/>
          <w:bCs w:val="1"/>
          <w:color w:val="auto"/>
        </w:rPr>
        <w:t>ASSETS</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Cash and cash equivalents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and notes receivable (net of allowance of $390 and $331)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finance receivables transferred to SPEs of $3,357 and $3,295)</w:t>
      </w:r>
    </w:p>
    <w:p>
      <w:pPr>
        <w:spacing w:after="0" w:line="42"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Inventories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Equipment on operating leases,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current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Assets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Restricted cash and marketable securities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finance receivables, net (including gross finance receivables transferred to SPEs of $5,742 and $5,773)</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Equity in net assets of nonconsolidated affiliates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Property,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Goodwill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Intangible assets, net</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GM Financial equipment on operating leases, net (including assets transferred to SPEs of $373 and $274)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assets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assets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w:t>
      </w:r>
    </w:p>
    <w:p>
      <w:pPr>
        <w:spacing w:after="0" w:line="115" w:lineRule="exact"/>
        <w:rPr>
          <w:sz w:val="20"/>
          <w:szCs w:val="20"/>
          <w:color w:val="auto"/>
        </w:rPr>
      </w:pPr>
    </w:p>
    <w:p>
      <w:pPr>
        <w:jc w:val="center"/>
        <w:ind w:left="380"/>
        <w:spacing w:after="0"/>
        <w:rPr>
          <w:sz w:val="20"/>
          <w:szCs w:val="20"/>
          <w:color w:val="auto"/>
        </w:rPr>
      </w:pPr>
      <w:r>
        <w:rPr>
          <w:rFonts w:ascii="Arial" w:cs="Arial" w:eastAsia="Arial" w:hAnsi="Arial"/>
          <w:sz w:val="11"/>
          <w:szCs w:val="11"/>
          <w:b w:val="1"/>
          <w:bCs w:val="1"/>
          <w:color w:val="auto"/>
        </w:rPr>
        <w:t>LIABILITIES AND EQUITY</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Accounts payable (principally trade)</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Short-term debt and current portion of 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 (including certain debt at GM Korea of $116 and $171)</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Accrued liabilities (including derivative liabilities at GM Korea of $26 and $44)</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Non-current Liabilities</w:t>
      </w:r>
    </w:p>
    <w:p>
      <w:pPr>
        <w:spacing w:after="0" w:line="1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Long-term debt</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Automotive</w:t>
      </w:r>
    </w:p>
    <w:p>
      <w:pPr>
        <w:spacing w:after="0" w:line="115" w:lineRule="exact"/>
        <w:rPr>
          <w:sz w:val="20"/>
          <w:szCs w:val="20"/>
          <w:color w:val="auto"/>
        </w:rPr>
      </w:pPr>
    </w:p>
    <w:p>
      <w:pPr>
        <w:ind w:left="280"/>
        <w:spacing w:after="0"/>
        <w:rPr>
          <w:sz w:val="20"/>
          <w:szCs w:val="20"/>
          <w:color w:val="auto"/>
        </w:rPr>
      </w:pPr>
      <w:r>
        <w:rPr>
          <w:rFonts w:ascii="Arial" w:cs="Arial" w:eastAsia="Arial" w:hAnsi="Arial"/>
          <w:sz w:val="11"/>
          <w:szCs w:val="11"/>
          <w:color w:val="auto"/>
        </w:rPr>
        <w:t>GM Financial</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Postretirement benefits other than 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Pensions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Other liabilities and deferred income taxes</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Total non-current liabilities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1"/>
          <w:szCs w:val="11"/>
          <w:color w:val="auto"/>
        </w:rPr>
        <w:t>Commitments and contingencies</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Equity</w:t>
      </w:r>
    </w:p>
    <w:p>
      <w:pPr>
        <w:spacing w:after="0" w:line="1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Preferred stock, $0.01 par value, 2,000,000,000 shares authorized:</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A (276,101,695 shares issued and outstanding (each with a $25.00 liquidation preference) at March 31, 2012 and December 31, 2011)</w:t>
      </w:r>
    </w:p>
    <w:p>
      <w:pPr>
        <w:spacing w:after="0" w:line="115" w:lineRule="exact"/>
        <w:rPr>
          <w:sz w:val="20"/>
          <w:szCs w:val="20"/>
          <w:color w:val="auto"/>
        </w:rPr>
      </w:pPr>
    </w:p>
    <w:p>
      <w:pPr>
        <w:ind w:left="140"/>
        <w:spacing w:after="0"/>
        <w:rPr>
          <w:sz w:val="20"/>
          <w:szCs w:val="20"/>
          <w:color w:val="auto"/>
        </w:rPr>
      </w:pPr>
      <w:r>
        <w:rPr>
          <w:rFonts w:ascii="Arial" w:cs="Arial" w:eastAsia="Arial" w:hAnsi="Arial"/>
          <w:sz w:val="11"/>
          <w:szCs w:val="11"/>
          <w:color w:val="auto"/>
        </w:rPr>
        <w:t>Series B (100,000,000 shares issued and outstanding (each with a $50.00 liquidation preference) at March 31, 2012 and December 31, 2011)</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0"/>
          <w:szCs w:val="10"/>
          <w:color w:val="auto"/>
        </w:rPr>
        <w:t>Common stock, $0.01 par value (5,000,000,000 shares authorized and 1,565,842,758 shares and 1,564,727,289 shares issued and outstanding at March 31, 2012 and December 31, 2011)</w:t>
      </w:r>
    </w:p>
    <w:p>
      <w:pPr>
        <w:spacing w:after="0" w:line="54" w:lineRule="exact"/>
        <w:rPr>
          <w:sz w:val="20"/>
          <w:szCs w:val="20"/>
          <w:color w:val="auto"/>
        </w:rPr>
      </w:pPr>
    </w:p>
    <w:p>
      <w:pPr>
        <w:ind w:left="100"/>
        <w:spacing w:after="0"/>
        <w:rPr>
          <w:sz w:val="20"/>
          <w:szCs w:val="20"/>
          <w:color w:val="auto"/>
        </w:rPr>
      </w:pPr>
      <w:r>
        <w:rPr>
          <w:rFonts w:ascii="Arial" w:cs="Arial" w:eastAsia="Arial" w:hAnsi="Arial"/>
          <w:sz w:val="11"/>
          <w:szCs w:val="11"/>
          <w:color w:val="auto"/>
        </w:rPr>
        <w:t>Capital surplus (principally additional paid-in capital)</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Retained earnings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Accumulated other comprehensive loss</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Total stockholders’ equity</w:t>
      </w:r>
    </w:p>
    <w:p>
      <w:pPr>
        <w:spacing w:after="0" w:line="115" w:lineRule="exact"/>
        <w:rPr>
          <w:sz w:val="20"/>
          <w:szCs w:val="20"/>
          <w:color w:val="auto"/>
        </w:rPr>
      </w:pPr>
    </w:p>
    <w:p>
      <w:pPr>
        <w:ind w:left="100"/>
        <w:spacing w:after="0"/>
        <w:rPr>
          <w:sz w:val="20"/>
          <w:szCs w:val="20"/>
          <w:color w:val="auto"/>
        </w:rPr>
      </w:pPr>
      <w:r>
        <w:rPr>
          <w:rFonts w:ascii="Arial" w:cs="Arial" w:eastAsia="Arial" w:hAnsi="Arial"/>
          <w:sz w:val="11"/>
          <w:szCs w:val="11"/>
          <w:color w:val="auto"/>
        </w:rPr>
        <w:t>Noncontrolling interests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Equity</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200" w:type="dxa"/>
            <w:vAlign w:val="bottom"/>
          </w:tcPr>
          <w:p>
            <w:pPr>
              <w:spacing w:after="0"/>
              <w:rPr>
                <w:sz w:val="10"/>
                <w:szCs w:val="10"/>
                <w:color w:val="auto"/>
              </w:rPr>
            </w:pPr>
          </w:p>
        </w:tc>
        <w:tc>
          <w:tcPr>
            <w:tcW w:w="1180" w:type="dxa"/>
            <w:vAlign w:val="bottom"/>
            <w:gridSpan w:val="2"/>
          </w:tcPr>
          <w:p>
            <w:pPr>
              <w:ind w:left="120"/>
              <w:spacing w:after="0"/>
              <w:rPr>
                <w:sz w:val="20"/>
                <w:szCs w:val="20"/>
                <w:color w:val="auto"/>
              </w:rPr>
            </w:pPr>
            <w:r>
              <w:rPr>
                <w:rFonts w:ascii="Arial" w:cs="Arial" w:eastAsia="Arial" w:hAnsi="Arial"/>
                <w:sz w:val="10"/>
                <w:szCs w:val="10"/>
                <w:b w:val="1"/>
                <w:bCs w:val="1"/>
                <w:color w:val="auto"/>
              </w:rPr>
              <w:t>March 31, 2012</w:t>
            </w:r>
          </w:p>
        </w:tc>
        <w:tc>
          <w:tcPr>
            <w:tcW w:w="160" w:type="dxa"/>
            <w:vAlign w:val="bottom"/>
          </w:tcPr>
          <w:p>
            <w:pPr>
              <w:spacing w:after="0"/>
              <w:rPr>
                <w:sz w:val="10"/>
                <w:szCs w:val="10"/>
                <w:color w:val="auto"/>
              </w:rPr>
            </w:pPr>
          </w:p>
        </w:tc>
        <w:tc>
          <w:tcPr>
            <w:tcW w:w="1100" w:type="dxa"/>
            <w:vAlign w:val="bottom"/>
          </w:tcPr>
          <w:p>
            <w:pPr>
              <w:jc w:val="right"/>
              <w:ind w:right="184"/>
              <w:spacing w:after="0"/>
              <w:rPr>
                <w:sz w:val="20"/>
                <w:szCs w:val="20"/>
                <w:color w:val="auto"/>
              </w:rPr>
            </w:pPr>
            <w:r>
              <w:rPr>
                <w:rFonts w:ascii="Arial" w:cs="Arial" w:eastAsia="Arial" w:hAnsi="Arial"/>
                <w:sz w:val="10"/>
                <w:szCs w:val="10"/>
                <w:b w:val="1"/>
                <w:bCs w:val="1"/>
                <w:color w:val="auto"/>
                <w:w w:val="93"/>
              </w:rPr>
              <w:t>December 31, 2011</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700"/>
        </w:trPr>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17,378</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16,071</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14,686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16,148</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924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1,005</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12,485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9,964</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3,314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3,251</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15,844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14,324</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2,600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2,464</w:t>
            </w:r>
          </w:p>
        </w:tc>
      </w:tr>
      <w:tr>
        <w:trPr>
          <w:trHeight w:val="250"/>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1,985</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1,696</w:t>
            </w:r>
          </w:p>
        </w:tc>
      </w:tr>
      <w:tr>
        <w:trPr>
          <w:trHeight w:val="213"/>
        </w:trPr>
        <w:tc>
          <w:tcPr>
            <w:tcW w:w="200" w:type="dxa"/>
            <w:vAlign w:val="bottom"/>
          </w:tcPr>
          <w:p>
            <w:pPr>
              <w:spacing w:after="0"/>
              <w:rPr>
                <w:sz w:val="18"/>
                <w:szCs w:val="18"/>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69,216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64,923</w:t>
            </w:r>
          </w:p>
        </w:tc>
      </w:tr>
      <w:tr>
        <w:trPr>
          <w:trHeight w:val="482"/>
        </w:trPr>
        <w:tc>
          <w:tcPr>
            <w:tcW w:w="200" w:type="dxa"/>
            <w:vAlign w:val="bottom"/>
          </w:tcPr>
          <w:p>
            <w:pPr>
              <w:spacing w:after="0"/>
              <w:rPr>
                <w:sz w:val="24"/>
                <w:szCs w:val="24"/>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1,151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1,228</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6,162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5,911</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6,793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6,790</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24,275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23,005</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28,433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29,019</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9,687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10,014</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1,066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785</w:t>
            </w:r>
          </w:p>
        </w:tc>
      </w:tr>
      <w:tr>
        <w:trPr>
          <w:trHeight w:val="250"/>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3,411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2,928</w:t>
            </w:r>
          </w:p>
        </w:tc>
      </w:tr>
      <w:tr>
        <w:trPr>
          <w:trHeight w:val="221"/>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80,978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79,680</w:t>
            </w:r>
          </w:p>
        </w:tc>
      </w:tr>
      <w:tr>
        <w:trPr>
          <w:trHeight w:val="209"/>
        </w:trPr>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150,194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692"/>
        </w:trPr>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27,576</w:t>
            </w:r>
          </w:p>
        </w:tc>
        <w:tc>
          <w:tcPr>
            <w:tcW w:w="100" w:type="dxa"/>
            <w:vAlign w:val="bottom"/>
          </w:tcPr>
          <w:p>
            <w:pPr>
              <w:spacing w:after="0"/>
              <w:rPr>
                <w:sz w:val="24"/>
                <w:szCs w:val="24"/>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24,551</w:t>
            </w:r>
          </w:p>
        </w:tc>
      </w:tr>
      <w:tr>
        <w:trPr>
          <w:trHeight w:val="482"/>
        </w:trPr>
        <w:tc>
          <w:tcPr>
            <w:tcW w:w="200" w:type="dxa"/>
            <w:vAlign w:val="bottom"/>
          </w:tcPr>
          <w:p>
            <w:pPr>
              <w:spacing w:after="0"/>
              <w:rPr>
                <w:sz w:val="24"/>
                <w:szCs w:val="24"/>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1,557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1,682</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3,793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4,118</w:t>
            </w:r>
          </w:p>
        </w:tc>
      </w:tr>
      <w:tr>
        <w:trPr>
          <w:trHeight w:val="250"/>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23,651</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22,875</w:t>
            </w:r>
          </w:p>
        </w:tc>
      </w:tr>
      <w:tr>
        <w:trPr>
          <w:trHeight w:val="213"/>
        </w:trPr>
        <w:tc>
          <w:tcPr>
            <w:tcW w:w="200" w:type="dxa"/>
            <w:vAlign w:val="bottom"/>
          </w:tcPr>
          <w:p>
            <w:pPr>
              <w:spacing w:after="0"/>
              <w:rPr>
                <w:sz w:val="18"/>
                <w:szCs w:val="18"/>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56,577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53,226</w:t>
            </w:r>
          </w:p>
        </w:tc>
      </w:tr>
      <w:tr>
        <w:trPr>
          <w:trHeight w:val="724"/>
        </w:trPr>
        <w:tc>
          <w:tcPr>
            <w:tcW w:w="200" w:type="dxa"/>
            <w:vAlign w:val="bottom"/>
          </w:tcPr>
          <w:p>
            <w:pPr>
              <w:spacing w:after="0"/>
              <w:rPr>
                <w:sz w:val="24"/>
                <w:szCs w:val="24"/>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3,828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3,613</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5,046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4,420</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6,832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6,836</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25,017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25,075</w:t>
            </w:r>
          </w:p>
        </w:tc>
      </w:tr>
      <w:tr>
        <w:trPr>
          <w:trHeight w:val="250"/>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12,754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12,442</w:t>
            </w:r>
          </w:p>
        </w:tc>
      </w:tr>
      <w:tr>
        <w:trPr>
          <w:trHeight w:val="221"/>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53,477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52,386</w:t>
            </w:r>
          </w:p>
        </w:tc>
      </w:tr>
      <w:tr>
        <w:trPr>
          <w:trHeight w:val="213"/>
        </w:trPr>
        <w:tc>
          <w:tcPr>
            <w:tcW w:w="200" w:type="dxa"/>
            <w:vAlign w:val="bottom"/>
          </w:tcPr>
          <w:p>
            <w:pPr>
              <w:spacing w:after="0"/>
              <w:rPr>
                <w:sz w:val="18"/>
                <w:szCs w:val="18"/>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110,054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105,612</w:t>
            </w:r>
          </w:p>
        </w:tc>
      </w:tr>
      <w:tr>
        <w:trPr>
          <w:trHeight w:val="965"/>
        </w:trPr>
        <w:tc>
          <w:tcPr>
            <w:tcW w:w="200" w:type="dxa"/>
            <w:vAlign w:val="bottom"/>
          </w:tcPr>
          <w:p>
            <w:pPr>
              <w:spacing w:after="0"/>
              <w:rPr>
                <w:sz w:val="24"/>
                <w:szCs w:val="24"/>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5,536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5,536</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4,855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4,855</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16</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26,334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26,391</w:t>
            </w:r>
          </w:p>
        </w:tc>
      </w:tr>
      <w:tr>
        <w:trPr>
          <w:trHeight w:val="241"/>
        </w:trPr>
        <w:tc>
          <w:tcPr>
            <w:tcW w:w="200" w:type="dxa"/>
            <w:vAlign w:val="bottom"/>
          </w:tcPr>
          <w:p>
            <w:pPr>
              <w:spacing w:after="0"/>
              <w:rPr>
                <w:sz w:val="20"/>
                <w:szCs w:val="20"/>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8,283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7,183</w:t>
            </w:r>
          </w:p>
        </w:tc>
      </w:tr>
      <w:tr>
        <w:trPr>
          <w:trHeight w:val="250"/>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(5,768)</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rPr>
              <w:t>(5,861)</w:t>
            </w:r>
          </w:p>
        </w:tc>
      </w:tr>
      <w:tr>
        <w:trPr>
          <w:trHeight w:val="213"/>
        </w:trPr>
        <w:tc>
          <w:tcPr>
            <w:tcW w:w="200" w:type="dxa"/>
            <w:vAlign w:val="bottom"/>
          </w:tcPr>
          <w:p>
            <w:pPr>
              <w:spacing w:after="0"/>
              <w:rPr>
                <w:sz w:val="18"/>
                <w:szCs w:val="18"/>
                <w:color w:val="auto"/>
              </w:rPr>
            </w:pPr>
          </w:p>
        </w:tc>
        <w:tc>
          <w:tcPr>
            <w:tcW w:w="1080" w:type="dxa"/>
            <w:vAlign w:val="bottom"/>
          </w:tcPr>
          <w:p>
            <w:pPr>
              <w:jc w:val="right"/>
              <w:ind w:right="64"/>
              <w:spacing w:after="0"/>
              <w:rPr>
                <w:sz w:val="20"/>
                <w:szCs w:val="20"/>
                <w:color w:val="auto"/>
              </w:rPr>
            </w:pPr>
            <w:r>
              <w:rPr>
                <w:rFonts w:ascii="Arial" w:cs="Arial" w:eastAsia="Arial" w:hAnsi="Arial"/>
                <w:sz w:val="11"/>
                <w:szCs w:val="11"/>
                <w:color w:val="auto"/>
              </w:rPr>
              <w:t>39,256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64"/>
              <w:spacing w:after="0"/>
              <w:rPr>
                <w:sz w:val="20"/>
                <w:szCs w:val="20"/>
                <w:color w:val="auto"/>
              </w:rPr>
            </w:pPr>
            <w:r>
              <w:rPr>
                <w:rFonts w:ascii="Arial" w:cs="Arial" w:eastAsia="Arial" w:hAnsi="Arial"/>
                <w:sz w:val="11"/>
                <w:szCs w:val="11"/>
                <w:color w:val="auto"/>
              </w:rPr>
              <w:t>38,120</w:t>
            </w:r>
          </w:p>
        </w:tc>
      </w:tr>
      <w:tr>
        <w:trPr>
          <w:trHeight w:val="250"/>
        </w:trPr>
        <w:tc>
          <w:tcPr>
            <w:tcW w:w="2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884</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871</w:t>
            </w:r>
          </w:p>
        </w:tc>
      </w:tr>
      <w:tr>
        <w:trPr>
          <w:trHeight w:val="221"/>
        </w:trPr>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40,140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38,991</w:t>
            </w:r>
          </w:p>
        </w:tc>
      </w:tr>
      <w:tr>
        <w:trPr>
          <w:trHeight w:val="209"/>
        </w:trPr>
        <w:tc>
          <w:tcPr>
            <w:tcW w:w="2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150,194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ind w:right="2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64"/>
              <w:spacing w:after="0"/>
              <w:rPr>
                <w:sz w:val="20"/>
                <w:szCs w:val="20"/>
                <w:color w:val="auto"/>
              </w:rPr>
            </w:pPr>
            <w:r>
              <w:rPr>
                <w:rFonts w:ascii="Arial" w:cs="Arial" w:eastAsia="Arial" w:hAnsi="Arial"/>
                <w:sz w:val="11"/>
                <w:szCs w:val="11"/>
                <w:color w:val="auto"/>
              </w:rPr>
              <w:t>144,603</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420" w:space="380"/>
            <w:col w:w="2640"/>
          </w:cols>
          <w:pgMar w:left="240" w:top="726" w:right="219"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440"/>
          </w:cols>
          <w:pgMar w:left="240" w:top="726" w:right="219" w:bottom="1440" w:gutter="0" w:footer="0" w:header="0"/>
          <w:type w:val="continuous"/>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334010</wp:posOffset>
            </wp:positionV>
            <wp:extent cx="7197090" cy="55479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5999480</wp:posOffset>
            </wp:positionV>
            <wp:extent cx="7197090"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97090" cy="20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270510</wp:posOffset>
            </wp:positionH>
            <wp:positionV relativeFrom="page">
              <wp:posOffset>471805</wp:posOffset>
            </wp:positionV>
            <wp:extent cx="7197090" cy="55479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97090" cy="55479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2019-12-09T19:13:04Z</dcterms:created>
  <dcterms:modified xsi:type="dcterms:W3CDTF">2019-12-09T19:13:04Z</dcterms:modified>
</cp:coreProperties>
</file>