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330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33070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08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ind w:left="34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40" w:type="dxa"/>
            <w:vAlign w:val="bottom"/>
          </w:tcPr>
          <w:p>
            <w:pPr>
              <w:spacing w:after="0"/>
              <w:rPr>
                <w:sz w:val="11"/>
                <w:szCs w:val="11"/>
                <w:color w:val="auto"/>
              </w:rPr>
            </w:pPr>
          </w:p>
        </w:tc>
        <w:tc>
          <w:tcPr>
            <w:tcW w:w="3040" w:type="dxa"/>
            <w:vAlign w:val="bottom"/>
            <w:gridSpan w:val="3"/>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UAW Retiree Medical Benefits</w:t>
              </w:r>
            </w:hyperlink>
          </w:p>
        </w:tc>
        <w:tc>
          <w:tcPr>
            <w:tcW w:w="1560" w:type="dxa"/>
            <w:vAlign w:val="bottom"/>
          </w:tcPr>
          <w:p>
            <w:pPr>
              <w:ind w:left="34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3040" w:type="dxa"/>
            <w:vAlign w:val="bottom"/>
            <w:gridSpan w:val="3"/>
            <w:vMerge w:val="continue"/>
          </w:tcPr>
          <w:p>
            <w:pPr>
              <w:spacing w:after="0"/>
              <w:rPr>
                <w:sz w:val="11"/>
                <w:szCs w:val="11"/>
                <w:color w:val="auto"/>
              </w:rPr>
            </w:pPr>
          </w:p>
        </w:tc>
        <w:tc>
          <w:tcPr>
            <w:tcW w:w="1560" w:type="dxa"/>
            <w:vAlign w:val="bottom"/>
          </w:tcPr>
          <w:p>
            <w:pPr>
              <w:ind w:left="34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60" w:type="dxa"/>
            <w:vAlign w:val="bottom"/>
            <w:tcBorders>
              <w:top w:val="single" w:sz="8" w:color="0000EE"/>
              <w:bottom w:val="single" w:sz="8" w:color="0000EE"/>
            </w:tcBorders>
          </w:tcPr>
          <w:p>
            <w:pPr>
              <w:spacing w:after="0" w:line="223" w:lineRule="exact"/>
              <w:rPr>
                <w:rFonts w:ascii="Arial" w:cs="Arial" w:eastAsia="Arial" w:hAnsi="Arial"/>
                <w:sz w:val="22"/>
                <w:szCs w:val="22"/>
                <w:color w:val="0000EE"/>
                <w:w w:val="87"/>
              </w:rPr>
            </w:pPr>
            <w:hyperlink r:id="rId11">
              <w:r>
                <w:rPr>
                  <w:rFonts w:ascii="Arial" w:cs="Arial" w:eastAsia="Arial" w:hAnsi="Arial"/>
                  <w:sz w:val="22"/>
                  <w:szCs w:val="22"/>
                  <w:color w:val="0000EE"/>
                  <w:w w:val="87"/>
                </w:rPr>
                <w:t>Trust</w:t>
              </w:r>
            </w:hyperlink>
          </w:p>
        </w:tc>
        <w:tc>
          <w:tcPr>
            <w:tcW w:w="2260" w:type="dxa"/>
            <w:vAlign w:val="bottom"/>
            <w:tcBorders>
              <w:top w:val="single" w:sz="8" w:color="0000EE"/>
            </w:tcBorders>
          </w:tcPr>
          <w:p>
            <w:pPr>
              <w:spacing w:after="0"/>
              <w:rPr>
                <w:sz w:val="19"/>
                <w:szCs w:val="19"/>
                <w:color w:val="auto"/>
              </w:rPr>
            </w:pPr>
          </w:p>
        </w:tc>
        <w:tc>
          <w:tcPr>
            <w:tcW w:w="320" w:type="dxa"/>
            <w:vAlign w:val="bottom"/>
          </w:tcPr>
          <w:p>
            <w:pPr>
              <w:spacing w:after="0"/>
              <w:rPr>
                <w:sz w:val="19"/>
                <w:szCs w:val="19"/>
                <w:color w:val="auto"/>
              </w:rPr>
            </w:pPr>
          </w:p>
        </w:tc>
        <w:tc>
          <w:tcPr>
            <w:tcW w:w="1560" w:type="dxa"/>
            <w:vAlign w:val="bottom"/>
          </w:tcPr>
          <w:p>
            <w:pPr>
              <w:ind w:left="340"/>
              <w:spacing w:after="0"/>
              <w:rPr>
                <w:sz w:val="20"/>
                <w:szCs w:val="20"/>
                <w:color w:val="auto"/>
              </w:rPr>
            </w:pPr>
            <w:r>
              <w:rPr>
                <w:rFonts w:ascii="Arial" w:cs="Arial" w:eastAsia="Arial" w:hAnsi="Arial"/>
                <w:sz w:val="18"/>
                <w:szCs w:val="18"/>
                <w:color w:val="0000FF"/>
              </w:rPr>
              <w:t>06/07/2010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0"/>
          <w:szCs w:val="20"/>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NONE</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43" w:lineRule="exact"/>
        <w:rPr>
          <w:sz w:val="20"/>
          <w:szCs w:val="20"/>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297"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40" w:type="dxa"/>
            <w:vAlign w:val="bottom"/>
          </w:tcPr>
          <w:p>
            <w:pPr>
              <w:ind w:left="20"/>
              <w:spacing w:after="0"/>
              <w:rPr>
                <w:sz w:val="20"/>
                <w:szCs w:val="20"/>
                <w:color w:val="auto"/>
              </w:rPr>
            </w:pPr>
            <w:r>
              <w:rPr>
                <w:rFonts w:ascii="Arial" w:cs="Arial" w:eastAsia="Arial" w:hAnsi="Arial"/>
                <w:sz w:val="14"/>
                <w:szCs w:val="14"/>
                <w:color w:val="auto"/>
              </w:rPr>
              <w:t>(Last)</w:t>
            </w:r>
          </w:p>
        </w:tc>
        <w:tc>
          <w:tcPr>
            <w:tcW w:w="1040" w:type="dxa"/>
            <w:vAlign w:val="bottom"/>
          </w:tcPr>
          <w:p>
            <w:pPr>
              <w:ind w:left="180"/>
              <w:spacing w:after="0"/>
              <w:rPr>
                <w:sz w:val="20"/>
                <w:szCs w:val="20"/>
                <w:color w:val="auto"/>
              </w:rPr>
            </w:pPr>
            <w:r>
              <w:rPr>
                <w:rFonts w:ascii="Arial" w:cs="Arial" w:eastAsia="Arial" w:hAnsi="Arial"/>
                <w:sz w:val="14"/>
                <w:szCs w:val="14"/>
                <w:color w:val="auto"/>
              </w:rPr>
              <w:t>(First)</w:t>
            </w:r>
          </w:p>
        </w:tc>
        <w:tc>
          <w:tcPr>
            <w:tcW w:w="1260" w:type="dxa"/>
            <w:vAlign w:val="bottom"/>
          </w:tcPr>
          <w:p>
            <w:pPr>
              <w:ind w:left="22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color w:val="0000FF"/>
              </w:rPr>
              <w:t>200 WALKER STREET</w:t>
            </w:r>
          </w:p>
        </w:tc>
        <w:tc>
          <w:tcPr>
            <w:tcW w:w="126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r>
      <w:tr>
        <w:trPr>
          <w:trHeight w:val="270"/>
        </w:trPr>
        <w:tc>
          <w:tcPr>
            <w:tcW w:w="9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40" w:type="dxa"/>
            <w:vAlign w:val="bottom"/>
          </w:tcPr>
          <w:p>
            <w:pPr>
              <w:ind w:left="20"/>
              <w:spacing w:after="0"/>
              <w:rPr>
                <w:sz w:val="20"/>
                <w:szCs w:val="20"/>
                <w:color w:val="auto"/>
              </w:rPr>
            </w:pPr>
            <w:r>
              <w:rPr>
                <w:rFonts w:ascii="Arial" w:cs="Arial" w:eastAsia="Arial" w:hAnsi="Arial"/>
                <w:sz w:val="18"/>
                <w:szCs w:val="18"/>
                <w:color w:val="0000FF"/>
              </w:rPr>
              <w:t>DETROIT</w:t>
            </w:r>
          </w:p>
        </w:tc>
        <w:tc>
          <w:tcPr>
            <w:tcW w:w="1040" w:type="dxa"/>
            <w:vAlign w:val="bottom"/>
          </w:tcPr>
          <w:p>
            <w:pPr>
              <w:ind w:left="180"/>
              <w:spacing w:after="0"/>
              <w:rPr>
                <w:sz w:val="20"/>
                <w:szCs w:val="20"/>
                <w:color w:val="auto"/>
              </w:rPr>
            </w:pPr>
            <w:r>
              <w:rPr>
                <w:rFonts w:ascii="Arial" w:cs="Arial" w:eastAsia="Arial" w:hAnsi="Arial"/>
                <w:sz w:val="18"/>
                <w:szCs w:val="18"/>
                <w:color w:val="0000FF"/>
              </w:rPr>
              <w:t>MI</w:t>
            </w:r>
          </w:p>
        </w:tc>
        <w:tc>
          <w:tcPr>
            <w:tcW w:w="1260" w:type="dxa"/>
            <w:vAlign w:val="bottom"/>
          </w:tcPr>
          <w:p>
            <w:pPr>
              <w:ind w:left="220"/>
              <w:spacing w:after="0"/>
              <w:rPr>
                <w:sz w:val="20"/>
                <w:szCs w:val="20"/>
                <w:color w:val="auto"/>
              </w:rPr>
            </w:pPr>
            <w:r>
              <w:rPr>
                <w:rFonts w:ascii="Arial" w:cs="Arial" w:eastAsia="Arial" w:hAnsi="Arial"/>
                <w:sz w:val="18"/>
                <w:szCs w:val="18"/>
                <w:color w:val="0000FF"/>
              </w:rPr>
              <w:t>48207</w:t>
            </w:r>
          </w:p>
        </w:tc>
      </w:tr>
    </w:tbl>
    <w:p>
      <w:pPr>
        <w:spacing w:after="0" w:line="20" w:lineRule="exact"/>
        <w:rPr>
          <w:sz w:val="20"/>
          <w:szCs w:val="20"/>
          <w:color w:val="auto"/>
        </w:rPr>
      </w:pPr>
      <w:r>
        <w:rPr>
          <w:sz w:val="20"/>
          <w:szCs w:val="20"/>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180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0"/>
          <w:szCs w:val="20"/>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0"/>
          <w:szCs w:val="20"/>
          <w:color w:val="auto"/>
        </w:rPr>
      </w:pPr>
      <w:r>
        <w:rPr>
          <w:sz w:val="20"/>
          <w:szCs w:val="20"/>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0"/>
          <w:szCs w:val="20"/>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0"/>
          <w:szCs w:val="20"/>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84" w:lineRule="exact"/>
        <w:rPr>
          <w:sz w:val="20"/>
          <w:szCs w:val="20"/>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980" w:type="dxa"/>
            <w:vAlign w:val="bottom"/>
          </w:tcPr>
          <w:p>
            <w:pPr>
              <w:ind w:left="20"/>
              <w:spacing w:after="0"/>
              <w:rPr>
                <w:sz w:val="20"/>
                <w:szCs w:val="20"/>
                <w:color w:val="auto"/>
              </w:rPr>
            </w:pPr>
            <w:r>
              <w:rPr>
                <w:rFonts w:ascii="Arial" w:cs="Arial" w:eastAsia="Arial" w:hAnsi="Arial"/>
                <w:sz w:val="14"/>
                <w:szCs w:val="14"/>
                <w:b w:val="1"/>
                <w:bCs w:val="1"/>
                <w:color w:val="auto"/>
              </w:rPr>
              <w:t>2. Amount of Securities</w:t>
            </w:r>
          </w:p>
        </w:tc>
        <w:tc>
          <w:tcPr>
            <w:tcW w:w="1080" w:type="dxa"/>
            <w:vAlign w:val="bottom"/>
            <w:gridSpan w:val="2"/>
          </w:tcPr>
          <w:p>
            <w:pPr>
              <w:ind w:left="220"/>
              <w:spacing w:after="0"/>
              <w:rPr>
                <w:sz w:val="20"/>
                <w:szCs w:val="20"/>
                <w:color w:val="auto"/>
              </w:rPr>
            </w:pPr>
            <w:r>
              <w:rPr>
                <w:rFonts w:ascii="Arial" w:cs="Arial" w:eastAsia="Arial" w:hAnsi="Arial"/>
                <w:sz w:val="14"/>
                <w:szCs w:val="14"/>
                <w:b w:val="1"/>
                <w:bCs w:val="1"/>
                <w:color w:val="auto"/>
                <w:w w:val="95"/>
              </w:rPr>
              <w:t>3. Ownership</w:t>
            </w:r>
          </w:p>
        </w:tc>
        <w:tc>
          <w:tcPr>
            <w:tcW w:w="3280" w:type="dxa"/>
            <w:vAlign w:val="bottom"/>
            <w:gridSpan w:val="4"/>
          </w:tcPr>
          <w:p>
            <w:pPr>
              <w:ind w:left="380"/>
              <w:spacing w:after="0"/>
              <w:rPr>
                <w:sz w:val="20"/>
                <w:szCs w:val="20"/>
                <w:color w:val="auto"/>
              </w:rPr>
            </w:pPr>
            <w:r>
              <w:rPr>
                <w:rFonts w:ascii="Arial" w:cs="Arial" w:eastAsia="Arial" w:hAnsi="Arial"/>
                <w:sz w:val="14"/>
                <w:szCs w:val="14"/>
                <w:b w:val="1"/>
                <w:bCs w:val="1"/>
                <w:color w:val="auto"/>
              </w:rPr>
              <w:t>4. Nature of Indirect 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98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2780" w:type="dxa"/>
            <w:vAlign w:val="bottom"/>
            <w:gridSpan w:val="4"/>
          </w:tcPr>
          <w:p>
            <w:pPr>
              <w:ind w:left="220"/>
              <w:spacing w:after="0" w:line="149" w:lineRule="exact"/>
              <w:rPr>
                <w:sz w:val="20"/>
                <w:szCs w:val="20"/>
                <w:color w:val="auto"/>
              </w:rPr>
            </w:pPr>
            <w:r>
              <w:rPr>
                <w:rFonts w:ascii="Arial" w:cs="Arial" w:eastAsia="Arial" w:hAnsi="Arial"/>
                <w:sz w:val="14"/>
                <w:szCs w:val="14"/>
                <w:b w:val="1"/>
                <w:bCs w:val="1"/>
                <w:color w:val="auto"/>
              </w:rPr>
              <w:t>Form: Direct (D)   (Instr. 5)</w:t>
            </w:r>
          </w:p>
        </w:tc>
        <w:tc>
          <w:tcPr>
            <w:tcW w:w="1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080" w:type="dxa"/>
            <w:vAlign w:val="bottom"/>
            <w:gridSpan w:val="2"/>
          </w:tcPr>
          <w:p>
            <w:pPr>
              <w:ind w:left="220"/>
              <w:spacing w:after="0" w:line="149" w:lineRule="exact"/>
              <w:rPr>
                <w:sz w:val="20"/>
                <w:szCs w:val="20"/>
                <w:color w:val="auto"/>
              </w:rPr>
            </w:pPr>
            <w:r>
              <w:rPr>
                <w:rFonts w:ascii="Arial" w:cs="Arial" w:eastAsia="Arial" w:hAnsi="Arial"/>
                <w:sz w:val="14"/>
                <w:szCs w:val="14"/>
                <w:b w:val="1"/>
                <w:bCs w:val="1"/>
                <w:color w:val="auto"/>
                <w:w w:val="98"/>
              </w:rPr>
              <w:t>or Indirect (I)</w:t>
            </w:r>
          </w:p>
        </w:tc>
        <w:tc>
          <w:tcPr>
            <w:tcW w:w="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080" w:type="dxa"/>
            <w:vAlign w:val="bottom"/>
            <w:gridSpan w:val="2"/>
          </w:tcPr>
          <w:p>
            <w:pPr>
              <w:ind w:left="220"/>
              <w:spacing w:after="0"/>
              <w:rPr>
                <w:sz w:val="20"/>
                <w:szCs w:val="20"/>
                <w:color w:val="auto"/>
              </w:rPr>
            </w:pPr>
            <w:r>
              <w:rPr>
                <w:rFonts w:ascii="Arial" w:cs="Arial" w:eastAsia="Arial" w:hAnsi="Arial"/>
                <w:sz w:val="14"/>
                <w:szCs w:val="14"/>
                <w:b w:val="1"/>
                <w:bCs w:val="1"/>
                <w:color w:val="auto"/>
              </w:rPr>
              <w:t>(Instr. 5)</w:t>
            </w:r>
          </w:p>
        </w:tc>
        <w:tc>
          <w:tcPr>
            <w:tcW w:w="8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1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1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0"/>
              </w:rPr>
              <w:t>Common Stock, par value $0.01 per share</w:t>
            </w:r>
          </w:p>
        </w:tc>
        <w:tc>
          <w:tcPr>
            <w:tcW w:w="3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980" w:type="dxa"/>
            <w:vAlign w:val="bottom"/>
            <w:tcBorders>
              <w:bottom w:val="single" w:sz="8" w:color="2C2C2C"/>
            </w:tcBorders>
          </w:tcPr>
          <w:p>
            <w:pPr>
              <w:jc w:val="center"/>
              <w:ind w:right="245"/>
              <w:spacing w:after="0"/>
              <w:rPr>
                <w:sz w:val="20"/>
                <w:szCs w:val="20"/>
                <w:color w:val="auto"/>
              </w:rPr>
            </w:pPr>
            <w:r>
              <w:rPr>
                <w:rFonts w:ascii="Arial" w:cs="Arial" w:eastAsia="Arial" w:hAnsi="Arial"/>
                <w:sz w:val="18"/>
                <w:szCs w:val="18"/>
                <w:color w:val="0000FF"/>
              </w:rPr>
              <w:t>87,500,000</w:t>
            </w:r>
            <w:r>
              <w:rPr>
                <w:rFonts w:ascii="Arial" w:cs="Arial" w:eastAsia="Arial" w:hAnsi="Arial"/>
                <w:sz w:val="22"/>
                <w:szCs w:val="22"/>
                <w:color w:val="008000"/>
                <w:vertAlign w:val="superscript"/>
              </w:rPr>
              <w:t>(1)(2)(3)</w:t>
            </w:r>
          </w:p>
        </w:tc>
        <w:tc>
          <w:tcPr>
            <w:tcW w:w="1080" w:type="dxa"/>
            <w:vAlign w:val="bottom"/>
            <w:tcBorders>
              <w:bottom w:val="single" w:sz="8" w:color="2C2C2C"/>
            </w:tcBorders>
            <w:gridSpan w:val="2"/>
          </w:tcPr>
          <w:p>
            <w:pPr>
              <w:ind w:left="64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(4)</w:t>
            </w:r>
          </w:p>
        </w:tc>
        <w:tc>
          <w:tcPr>
            <w:tcW w:w="8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43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Series A Preferred Stock, par value $0.01 per share</w:t>
            </w:r>
          </w:p>
        </w:tc>
        <w:tc>
          <w:tcPr>
            <w:tcW w:w="740" w:type="dxa"/>
            <w:vAlign w:val="bottom"/>
            <w:tcBorders>
              <w:bottom w:val="single" w:sz="8" w:color="2C2C2C"/>
            </w:tcBorders>
          </w:tcPr>
          <w:p>
            <w:pPr>
              <w:spacing w:after="0"/>
              <w:rPr>
                <w:sz w:val="24"/>
                <w:szCs w:val="24"/>
                <w:color w:val="auto"/>
              </w:rPr>
            </w:pPr>
          </w:p>
        </w:tc>
        <w:tc>
          <w:tcPr>
            <w:tcW w:w="1980" w:type="dxa"/>
            <w:vAlign w:val="bottom"/>
            <w:tcBorders>
              <w:bottom w:val="single" w:sz="8" w:color="2C2C2C"/>
            </w:tcBorders>
          </w:tcPr>
          <w:p>
            <w:pPr>
              <w:jc w:val="center"/>
              <w:ind w:right="285"/>
              <w:spacing w:after="0"/>
              <w:rPr>
                <w:sz w:val="20"/>
                <w:szCs w:val="20"/>
                <w:color w:val="auto"/>
              </w:rPr>
            </w:pPr>
            <w:r>
              <w:rPr>
                <w:rFonts w:ascii="Arial" w:cs="Arial" w:eastAsia="Arial" w:hAnsi="Arial"/>
                <w:sz w:val="18"/>
                <w:szCs w:val="18"/>
                <w:color w:val="0000FF"/>
              </w:rPr>
              <w:t>260,000,000</w:t>
            </w:r>
            <w:r>
              <w:rPr>
                <w:rFonts w:ascii="Arial" w:cs="Arial" w:eastAsia="Arial" w:hAnsi="Arial"/>
                <w:sz w:val="22"/>
                <w:szCs w:val="22"/>
                <w:color w:val="008000"/>
                <w:vertAlign w:val="superscript"/>
              </w:rPr>
              <w:t>(1)(2)</w:t>
            </w:r>
          </w:p>
        </w:tc>
        <w:tc>
          <w:tcPr>
            <w:tcW w:w="1080" w:type="dxa"/>
            <w:vAlign w:val="bottom"/>
            <w:tcBorders>
              <w:bottom w:val="single" w:sz="8" w:color="2C2C2C"/>
            </w:tcBorders>
            <w:gridSpan w:val="2"/>
          </w:tcPr>
          <w:p>
            <w:pPr>
              <w:ind w:left="700"/>
              <w:spacing w:after="0"/>
              <w:rPr>
                <w:sz w:val="20"/>
                <w:szCs w:val="20"/>
                <w:color w:val="auto"/>
              </w:rPr>
            </w:pPr>
            <w:r>
              <w:rPr>
                <w:rFonts w:ascii="Arial" w:cs="Arial" w:eastAsia="Arial" w:hAnsi="Arial"/>
                <w:sz w:val="18"/>
                <w:szCs w:val="18"/>
                <w:color w:val="0000FF"/>
              </w:rPr>
              <w:t>D</w:t>
            </w:r>
          </w:p>
        </w:tc>
        <w:tc>
          <w:tcPr>
            <w:tcW w:w="8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14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4680" w:type="dxa"/>
            <w:vAlign w:val="bottom"/>
            <w:tcBorders>
              <w:top w:val="single" w:sz="8" w:color="2C2C2C"/>
            </w:tcBorders>
            <w:gridSpan w:val="5"/>
          </w:tcPr>
          <w:p>
            <w:pPr>
              <w:ind w:left="18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2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5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4980" w:type="dxa"/>
            <w:vAlign w:val="bottom"/>
            <w:gridSpan w:val="6"/>
          </w:tcPr>
          <w:p>
            <w:pPr>
              <w:ind w:left="14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8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1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30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14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300" w:type="dxa"/>
            <w:vAlign w:val="bottom"/>
          </w:tcPr>
          <w:p>
            <w:pPr>
              <w:spacing w:after="0"/>
              <w:rPr>
                <w:sz w:val="16"/>
                <w:szCs w:val="16"/>
                <w:color w:val="auto"/>
              </w:rPr>
            </w:pPr>
          </w:p>
        </w:tc>
        <w:tc>
          <w:tcPr>
            <w:tcW w:w="1620" w:type="dxa"/>
            <w:vAlign w:val="bottom"/>
            <w:gridSpan w:val="2"/>
          </w:tcPr>
          <w:p>
            <w:pPr>
              <w:ind w:left="60"/>
              <w:spacing w:after="0"/>
              <w:rPr>
                <w:sz w:val="20"/>
                <w:szCs w:val="20"/>
                <w:color w:val="auto"/>
              </w:rPr>
            </w:pPr>
            <w:r>
              <w:rPr>
                <w:rFonts w:ascii="Arial" w:cs="Arial" w:eastAsia="Arial" w:hAnsi="Arial"/>
                <w:sz w:val="14"/>
                <w:szCs w:val="14"/>
                <w:b w:val="1"/>
                <w:bCs w:val="1"/>
                <w:color w:val="auto"/>
                <w:w w:val="98"/>
              </w:rPr>
              <w:t>2. Date Exercisable and</w:t>
            </w:r>
          </w:p>
        </w:tc>
        <w:tc>
          <w:tcPr>
            <w:tcW w:w="3060" w:type="dxa"/>
            <w:vAlign w:val="bottom"/>
            <w:gridSpan w:val="3"/>
          </w:tcPr>
          <w:p>
            <w:pPr>
              <w:ind w:left="120"/>
              <w:spacing w:after="0"/>
              <w:rPr>
                <w:sz w:val="20"/>
                <w:szCs w:val="20"/>
                <w:color w:val="auto"/>
              </w:rPr>
            </w:pPr>
            <w:r>
              <w:rPr>
                <w:rFonts w:ascii="Arial" w:cs="Arial" w:eastAsia="Arial" w:hAnsi="Arial"/>
                <w:sz w:val="14"/>
                <w:szCs w:val="14"/>
                <w:b w:val="1"/>
                <w:bCs w:val="1"/>
                <w:color w:val="auto"/>
              </w:rPr>
              <w:t>3. Title and Amount of Securities</w:t>
            </w:r>
          </w:p>
        </w:tc>
        <w:tc>
          <w:tcPr>
            <w:tcW w:w="820" w:type="dxa"/>
            <w:vAlign w:val="bottom"/>
          </w:tcPr>
          <w:p>
            <w:pPr>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158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3060" w:type="dxa"/>
            <w:vAlign w:val="bottom"/>
            <w:gridSpan w:val="3"/>
          </w:tcPr>
          <w:p>
            <w:pPr>
              <w:ind w:left="12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20" w:type="dxa"/>
            <w:vAlign w:val="bottom"/>
          </w:tcPr>
          <w:p>
            <w:pPr>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58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9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58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98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vMerge w:val="restart"/>
          </w:tcPr>
          <w:p>
            <w:pPr>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15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980" w:type="dxa"/>
            <w:vAlign w:val="bottom"/>
          </w:tcPr>
          <w:p>
            <w:pPr>
              <w:spacing w:after="0"/>
              <w:rPr>
                <w:sz w:val="4"/>
                <w:szCs w:val="4"/>
                <w:color w:val="auto"/>
              </w:rPr>
            </w:pPr>
          </w:p>
        </w:tc>
        <w:tc>
          <w:tcPr>
            <w:tcW w:w="10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Amount or</w:t>
            </w:r>
          </w:p>
        </w:tc>
        <w:tc>
          <w:tcPr>
            <w:tcW w:w="82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5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820" w:type="dxa"/>
            <w:vAlign w:val="bottom"/>
          </w:tcPr>
          <w:p>
            <w:pPr>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1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740" w:type="dxa"/>
            <w:vAlign w:val="bottom"/>
          </w:tcPr>
          <w:p>
            <w:pPr>
              <w:ind w:left="80"/>
              <w:spacing w:after="0" w:line="149" w:lineRule="exact"/>
              <w:rPr>
                <w:sz w:val="20"/>
                <w:szCs w:val="20"/>
                <w:color w:val="auto"/>
              </w:rPr>
            </w:pPr>
            <w:r>
              <w:rPr>
                <w:rFonts w:ascii="Arial" w:cs="Arial" w:eastAsia="Arial" w:hAnsi="Arial"/>
                <w:sz w:val="14"/>
                <w:szCs w:val="14"/>
                <w:b w:val="1"/>
                <w:bCs w:val="1"/>
                <w:color w:val="auto"/>
                <w:w w:val="93"/>
              </w:rPr>
              <w:t>Expiration</w:t>
            </w:r>
          </w:p>
        </w:tc>
        <w:tc>
          <w:tcPr>
            <w:tcW w:w="19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Title</w:t>
            </w:r>
          </w:p>
        </w:tc>
        <w:tc>
          <w:tcPr>
            <w:tcW w:w="108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Number of</w:t>
            </w:r>
          </w:p>
        </w:tc>
        <w:tc>
          <w:tcPr>
            <w:tcW w:w="820" w:type="dxa"/>
            <w:vAlign w:val="bottom"/>
          </w:tcPr>
          <w:p>
            <w:pPr>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1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980" w:type="dxa"/>
            <w:vAlign w:val="bottom"/>
            <w:vMerge w:val="continue"/>
          </w:tcPr>
          <w:p>
            <w:pPr>
              <w:spacing w:after="0"/>
              <w:rPr>
                <w:sz w:val="15"/>
                <w:szCs w:val="15"/>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Shares</w:t>
            </w:r>
          </w:p>
        </w:tc>
        <w:tc>
          <w:tcPr>
            <w:tcW w:w="8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3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9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3140" w:type="dxa"/>
            <w:vAlign w:val="bottom"/>
            <w:tcBorders>
              <w:bottom w:val="single" w:sz="8" w:color="2C2C2C"/>
            </w:tcBorders>
          </w:tcPr>
          <w:p>
            <w:pPr>
              <w:ind w:left="60"/>
              <w:spacing w:after="0" w:line="324" w:lineRule="exact"/>
              <w:rPr>
                <w:sz w:val="20"/>
                <w:szCs w:val="20"/>
                <w:color w:val="auto"/>
              </w:rPr>
            </w:pPr>
            <w:r>
              <w:rPr>
                <w:rFonts w:ascii="Arial" w:cs="Arial" w:eastAsia="Arial" w:hAnsi="Arial"/>
                <w:sz w:val="35"/>
                <w:szCs w:val="35"/>
                <w:color w:val="0000FF"/>
                <w:vertAlign w:val="subscript"/>
              </w:rPr>
              <w:t>Warrants</w:t>
            </w:r>
            <w:r>
              <w:rPr>
                <w:rFonts w:ascii="Arial" w:cs="Arial" w:eastAsia="Arial" w:hAnsi="Arial"/>
                <w:sz w:val="11"/>
                <w:szCs w:val="11"/>
                <w:color w:val="008000"/>
              </w:rPr>
              <w:t>(1)(2)(3)</w:t>
            </w:r>
          </w:p>
        </w:tc>
        <w:tc>
          <w:tcPr>
            <w:tcW w:w="1180" w:type="dxa"/>
            <w:vAlign w:val="bottom"/>
            <w:tcBorders>
              <w:bottom w:val="single" w:sz="8" w:color="2C2C2C"/>
            </w:tcBorders>
            <w:gridSpan w:val="2"/>
          </w:tcPr>
          <w:p>
            <w:pPr>
              <w:jc w:val="right"/>
              <w:ind w:right="69"/>
              <w:spacing w:after="0"/>
              <w:rPr>
                <w:sz w:val="20"/>
                <w:szCs w:val="20"/>
                <w:color w:val="auto"/>
              </w:rPr>
            </w:pPr>
            <w:r>
              <w:rPr>
                <w:rFonts w:ascii="Arial" w:cs="Arial" w:eastAsia="Arial" w:hAnsi="Arial"/>
                <w:sz w:val="14"/>
                <w:szCs w:val="14"/>
                <w:color w:val="0000FF"/>
              </w:rPr>
              <w:t>07/10/2009</w:t>
            </w:r>
          </w:p>
        </w:tc>
        <w:tc>
          <w:tcPr>
            <w:tcW w:w="740" w:type="dxa"/>
            <w:vAlign w:val="bottom"/>
            <w:tcBorders>
              <w:bottom w:val="single" w:sz="8" w:color="2C2C2C"/>
            </w:tcBorders>
          </w:tcPr>
          <w:p>
            <w:pPr>
              <w:jc w:val="right"/>
              <w:spacing w:after="0"/>
              <w:rPr>
                <w:sz w:val="20"/>
                <w:szCs w:val="20"/>
                <w:color w:val="auto"/>
              </w:rPr>
            </w:pPr>
            <w:r>
              <w:rPr>
                <w:rFonts w:ascii="Arial" w:cs="Arial" w:eastAsia="Arial" w:hAnsi="Arial"/>
                <w:sz w:val="14"/>
                <w:szCs w:val="14"/>
                <w:color w:val="0000FF"/>
                <w:w w:val="96"/>
              </w:rPr>
              <w:t>12/31/2015</w:t>
            </w:r>
          </w:p>
        </w:tc>
        <w:tc>
          <w:tcPr>
            <w:tcW w:w="1980" w:type="dxa"/>
            <w:vAlign w:val="bottom"/>
            <w:tcBorders>
              <w:bottom w:val="single" w:sz="8" w:color="2C2C2C"/>
            </w:tcBorders>
          </w:tcPr>
          <w:p>
            <w:pPr>
              <w:ind w:left="520"/>
              <w:spacing w:after="0"/>
              <w:rPr>
                <w:sz w:val="20"/>
                <w:szCs w:val="20"/>
                <w:color w:val="auto"/>
              </w:rPr>
            </w:pPr>
            <w:r>
              <w:rPr>
                <w:rFonts w:ascii="Arial" w:cs="Arial" w:eastAsia="Arial" w:hAnsi="Arial"/>
                <w:sz w:val="18"/>
                <w:szCs w:val="18"/>
                <w:color w:val="0000FF"/>
              </w:rPr>
              <w:t>Common Stock</w:t>
            </w:r>
          </w:p>
        </w:tc>
        <w:tc>
          <w:tcPr>
            <w:tcW w:w="102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w w:val="95"/>
              </w:rPr>
              <w:t>15,151,515</w:t>
            </w: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rPr>
              <w:t>126.92</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5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4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40" w:right="60" w:firstLine="9"/>
        <w:spacing w:after="0" w:line="288"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The UAW Retiree Medical Benefits Trust, organized as an Internal Revenue Code 501(c)(9) Voluntary Employees' Beneficiary Association (the "UAW RMBT"), directly holds (i) 87,500,000 shares of Issuer Common Stock, (ii) 15,151,515 warrants each exercisable for one share of Issuer Common Stock (the "Issuer Warrants") and (iii) 260,000,000 shares of Issuer Series A Fixed Rate Cumulative Perpetual Preferred Stock (the "Series A Preferred Stock" and, together with the Issuer Common Stock and the Issuer Warrants, the "Issuer Interests").</w:t>
      </w:r>
    </w:p>
    <w:p>
      <w:pPr>
        <w:spacing w:after="0" w:line="2" w:lineRule="exact"/>
        <w:rPr>
          <w:rFonts w:ascii="Arial" w:cs="Arial" w:eastAsia="Arial" w:hAnsi="Arial"/>
          <w:sz w:val="12"/>
          <w:szCs w:val="12"/>
          <w:color w:val="008000"/>
        </w:rPr>
      </w:pPr>
    </w:p>
    <w:p>
      <w:pPr>
        <w:ind w:left="40" w:right="60" w:firstLine="9"/>
        <w:spacing w:after="0" w:line="273"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General Motors Company, later renamed General Motors LLC ("Prior GM"), which on July 10, 2009 acquired substantially all of the assets and assumed certain liabilities of General Motors Corporation (the "363 Sale"), issued the Issuer Interests to the UAW RMBT on July 10, 2009, in accordance with the UAW Retiree Settlement Agreement (the "Settlement Agreement"), dated July 10, 2009, between Prior GM and the International Union, United Automobile, Aerospace and Agricultural Implement Workers of America (the "UAW"). On October 15, 2009, following a holding company restructuring described in detail on the Form 8-K filed by the Issuer with the Securities and Exchange Commission on October 23, 2009, interests in Prior GM were exchanged on a one-for-one basis for interests in the Issuer, which was then named General Motors Holding Company and was later renamed General Motors Company.</w:t>
      </w:r>
    </w:p>
    <w:p>
      <w:pPr>
        <w:spacing w:after="0" w:line="11" w:lineRule="exact"/>
        <w:rPr>
          <w:rFonts w:ascii="Arial" w:cs="Arial" w:eastAsia="Arial" w:hAnsi="Arial"/>
          <w:sz w:val="12"/>
          <w:szCs w:val="12"/>
          <w:color w:val="008000"/>
        </w:rPr>
      </w:pPr>
    </w:p>
    <w:p>
      <w:pPr>
        <w:ind w:left="40" w:right="260" w:firstLine="9"/>
        <w:spacing w:after="0" w:line="305"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The Issuer Common Stock and the Issuer Warrants are subject to certain transfer restrictions set forth in the Stockholders Agreement dated as of October 15, 2009 (the "Stockholders Agreement"), by and among General Motors Company, United States Department of the Treasury ("UST"), 7176384 Canada Inc., UAW RMBT and, solely for the purposes of Section 6.20 thereof, General Motors LLC.</w:t>
      </w:r>
    </w:p>
    <w:p>
      <w:pPr>
        <w:ind w:left="40" w:right="80" w:firstLine="9"/>
        <w:spacing w:after="0" w:line="285"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Pursuant to the Stockholders Agreement, UAW RMBT has the right to designate one nominee to the Issuer Board of Directors (which designation is subject to the consent of the UAW and, if the designated nominee is not independent within the meaning of NYSE rules, to the consent of the UST, which consent of the UST may not be unreasonably withheld) so long as it holds 50% of the shares of Issuer Common Stock it held as of the closing of the 363 Sale. UAW RMBT hereby disclaims beneficial ownership of any securities owned by its director nominee.</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40" w:right="60"/>
        <w:spacing w:after="0" w:line="233" w:lineRule="auto"/>
        <w:rPr>
          <w:sz w:val="20"/>
          <w:szCs w:val="20"/>
          <w:color w:val="auto"/>
        </w:rPr>
      </w:pPr>
      <w:r>
        <w:rPr>
          <w:rFonts w:ascii="Arial" w:cs="Arial" w:eastAsia="Arial" w:hAnsi="Arial"/>
          <w:sz w:val="14"/>
          <w:szCs w:val="14"/>
          <w:color w:val="008000"/>
        </w:rPr>
        <w:t>UAW RMBT may be deemed to be a member of a "group" for purposes of Section 13 of the Securities Exchange Act of 1934, as amended. UAW RMBT disclaims beneficial ownership of any securities deemed to be owned by such group that are not directly owned by UAW RMBT. This report shall not be deemed an admission that UAW RMBT is a member of a group or the beneficial owner of any securities not directly owned by UAW RMBT.</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0000FF"/>
              </w:rPr>
              <w:t>Mary Beth Kuderik, Chief</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06/07/2010</w:t>
            </w:r>
          </w:p>
        </w:tc>
        <w:tc>
          <w:tcPr>
            <w:tcW w:w="0" w:type="dxa"/>
            <w:vAlign w:val="bottom"/>
          </w:tcPr>
          <w:p>
            <w:pPr>
              <w:spacing w:after="0"/>
              <w:rPr>
                <w:sz w:val="1"/>
                <w:szCs w:val="1"/>
                <w:color w:val="auto"/>
              </w:rPr>
            </w:pPr>
          </w:p>
        </w:tc>
      </w:tr>
      <w:tr>
        <w:trPr>
          <w:trHeight w:val="88"/>
        </w:trPr>
        <w:tc>
          <w:tcPr>
            <w:tcW w:w="122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1"/>
              </w:rPr>
              <w:t>FInancial Officer</w:t>
            </w:r>
          </w:p>
        </w:tc>
        <w:tc>
          <w:tcPr>
            <w:tcW w:w="640" w:type="dxa"/>
            <w:vAlign w:val="bottom"/>
            <w:tcBorders>
              <w:top w:val="single" w:sz="8" w:color="auto"/>
            </w:tcBorders>
            <w:vMerge w:val="restart"/>
          </w:tcPr>
          <w:p>
            <w:pPr>
              <w:spacing w:after="0"/>
              <w:rPr>
                <w:sz w:val="7"/>
                <w:szCs w:val="7"/>
                <w:color w:val="auto"/>
              </w:rPr>
            </w:pPr>
          </w:p>
        </w:tc>
        <w:tc>
          <w:tcPr>
            <w:tcW w:w="26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20" w:type="dxa"/>
            <w:vAlign w:val="bottom"/>
            <w:tcBorders>
              <w:top w:val="single" w:sz="8" w:color="auto"/>
              <w:bottom w:val="single" w:sz="8" w:color="auto"/>
            </w:tcBorders>
            <w:vMerge w:val="continue"/>
          </w:tcPr>
          <w:p>
            <w:pPr>
              <w:spacing w:after="0"/>
              <w:rPr>
                <w:sz w:val="7"/>
                <w:szCs w:val="7"/>
                <w:color w:val="auto"/>
              </w:rPr>
            </w:pPr>
          </w:p>
        </w:tc>
        <w:tc>
          <w:tcPr>
            <w:tcW w:w="640" w:type="dxa"/>
            <w:vAlign w:val="bottom"/>
            <w:tcBorders>
              <w:top w:val="single" w:sz="8" w:color="auto"/>
            </w:tcBorders>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480561" TargetMode="External"/><Relationship Id="rId12"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2019-12-17T04:34:39Z</dcterms:created>
  <dcterms:modified xsi:type="dcterms:W3CDTF">2019-12-17T04:34:39Z</dcterms:modified>
</cp:coreProperties>
</file>