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January 24,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Sales Release Dated January 24, 2011</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January 24, 2011, General Motors Company (GM) issued a news release announcing global 2010 sales. The release is attached as Exhibit 99.1.</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5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9"/>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Sales Release</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Dated January 24, 2011</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0320"/>
          </w:cols>
          <w:pgMar w:left="240" w:top="459" w:right="1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January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08901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Release: Monday, January 24, 2011 12:01 a.m. EST</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GM Delivers 8.39 Million Vehicles Globally in 2010</w:t>
      </w:r>
    </w:p>
    <w:p>
      <w:pPr>
        <w:spacing w:after="0" w:line="21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Deliveries up 12.2 percent from 2009</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China and the United States top 2 million sales each</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DETROIT – General Motors reported today that it delivered 8,389,769 vehicles globally in calendar year 2010, a 12.2 percent increase from 2009 deliveries of 7,477,178.</w:t>
      </w:r>
      <w:r>
        <w:rPr>
          <w:rFonts w:ascii="Arial" w:cs="Arial" w:eastAsia="Arial" w:hAnsi="Arial"/>
          <w:sz w:val="11"/>
          <w:szCs w:val="11"/>
          <w:color w:val="auto"/>
        </w:rPr>
        <w:t>1</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GM achieved double-digit increases in five of its top 10 markets, including a 28.8 percent increase in China, where GM and its partners</w:t>
      </w:r>
      <w:r>
        <w:rPr>
          <w:rFonts w:ascii="Arial" w:cs="Arial" w:eastAsia="Arial" w:hAnsi="Arial"/>
          <w:sz w:val="10"/>
          <w:szCs w:val="10"/>
          <w:color w:val="auto"/>
        </w:rPr>
        <w:t>2</w:t>
      </w:r>
      <w:r>
        <w:rPr>
          <w:rFonts w:ascii="Arial" w:cs="Arial" w:eastAsia="Arial" w:hAnsi="Arial"/>
          <w:sz w:val="16"/>
          <w:szCs w:val="16"/>
          <w:color w:val="auto"/>
        </w:rPr>
        <w:t xml:space="preserve"> were the first to top the 2 million sales mark in a single year, and an increase of 41.3 percent in Uzbekistan, which is now GM’s tenth-largest market by volume.</w:t>
      </w:r>
    </w:p>
    <w:p>
      <w:pPr>
        <w:spacing w:after="0" w:line="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Deliveries in the United States, GM’s No. 2 market, rose 6.3 percent despite the phase-out or sale of four brands, while Brazil, GM’s third-largest market, saw deliveries rise by 10.4 percent.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Following is data for GM’s leading markets and brands: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Top Ten Markets: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980" w:type="dxa"/>
            <w:vAlign w:val="bottom"/>
            <w:vMerge w:val="restart"/>
          </w:tcPr>
          <w:p>
            <w:pPr>
              <w:jc w:val="center"/>
              <w:ind w:left="2374"/>
              <w:spacing w:after="0"/>
              <w:rPr>
                <w:sz w:val="20"/>
                <w:szCs w:val="20"/>
                <w:color w:val="auto"/>
              </w:rPr>
            </w:pPr>
            <w:r>
              <w:rPr>
                <w:rFonts w:ascii="Arial" w:cs="Arial" w:eastAsia="Arial" w:hAnsi="Arial"/>
                <w:sz w:val="14"/>
                <w:szCs w:val="14"/>
                <w:b w:val="1"/>
                <w:bCs w:val="1"/>
                <w:color w:val="auto"/>
                <w:w w:val="89"/>
              </w:rPr>
              <w:t>Country</w:t>
            </w: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2010 Deliveries</w:t>
            </w: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2009 Deliveries</w:t>
            </w: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480" w:type="dxa"/>
            <w:vAlign w:val="bottom"/>
          </w:tcPr>
          <w:p>
            <w:pPr>
              <w:jc w:val="center"/>
              <w:ind w:left="76"/>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7"/>
              </w:rPr>
              <w:t>Rank</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94"/>
              <w:spacing w:after="0"/>
              <w:rPr>
                <w:sz w:val="20"/>
                <w:szCs w:val="20"/>
                <w:color w:val="auto"/>
              </w:rPr>
            </w:pPr>
            <w:r>
              <w:rPr>
                <w:rFonts w:ascii="Arial" w:cs="Arial" w:eastAsia="Arial" w:hAnsi="Arial"/>
                <w:sz w:val="18"/>
                <w:szCs w:val="18"/>
                <w:color w:val="auto"/>
                <w:w w:val="89"/>
              </w:rPr>
              <w:t>China</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2,351,610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1,826,475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28.8</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18"/>
                <w:szCs w:val="18"/>
                <w:color w:val="auto"/>
              </w:rPr>
            </w:pPr>
          </w:p>
        </w:tc>
        <w:tc>
          <w:tcPr>
            <w:tcW w:w="3980" w:type="dxa"/>
            <w:vAlign w:val="bottom"/>
          </w:tcPr>
          <w:p>
            <w:pPr>
              <w:jc w:val="center"/>
              <w:ind w:left="2394"/>
              <w:spacing w:after="0"/>
              <w:rPr>
                <w:sz w:val="20"/>
                <w:szCs w:val="20"/>
                <w:color w:val="auto"/>
              </w:rPr>
            </w:pPr>
            <w:r>
              <w:rPr>
                <w:rFonts w:ascii="Arial" w:cs="Arial" w:eastAsia="Arial" w:hAnsi="Arial"/>
                <w:sz w:val="18"/>
                <w:szCs w:val="18"/>
                <w:color w:val="auto"/>
                <w:w w:val="86"/>
              </w:rPr>
              <w:t>United States</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2,215,227</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2,084,492</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6.3</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97"/>
              </w:rPr>
              <w:t>Brazil</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657,825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595,625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10.4</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rPr>
                <w:sz w:val="18"/>
                <w:szCs w:val="18"/>
                <w:color w:val="auto"/>
              </w:rPr>
            </w:pPr>
          </w:p>
        </w:tc>
        <w:tc>
          <w:tcPr>
            <w:tcW w:w="3980" w:type="dxa"/>
            <w:vAlign w:val="bottom"/>
          </w:tcPr>
          <w:p>
            <w:pPr>
              <w:jc w:val="center"/>
              <w:ind w:left="2374"/>
              <w:spacing w:after="0"/>
              <w:rPr>
                <w:sz w:val="20"/>
                <w:szCs w:val="20"/>
                <w:color w:val="auto"/>
              </w:rPr>
            </w:pPr>
            <w:r>
              <w:rPr>
                <w:rFonts w:ascii="Arial" w:cs="Arial" w:eastAsia="Arial" w:hAnsi="Arial"/>
                <w:sz w:val="18"/>
                <w:szCs w:val="18"/>
                <w:color w:val="auto"/>
                <w:w w:val="93"/>
              </w:rPr>
              <w:t>United Kingdom</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290,250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287,278</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86"/>
              </w:rPr>
              <w:t>Germany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269,061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381,687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(29.5)</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18"/>
                <w:szCs w:val="18"/>
                <w:color w:val="auto"/>
              </w:rPr>
            </w:pPr>
          </w:p>
        </w:tc>
        <w:tc>
          <w:tcPr>
            <w:tcW w:w="3980" w:type="dxa"/>
            <w:vAlign w:val="bottom"/>
          </w:tcPr>
          <w:p>
            <w:pPr>
              <w:jc w:val="center"/>
              <w:ind w:left="2374"/>
              <w:spacing w:after="0"/>
              <w:rPr>
                <w:sz w:val="20"/>
                <w:szCs w:val="20"/>
                <w:color w:val="auto"/>
              </w:rPr>
            </w:pPr>
            <w:r>
              <w:rPr>
                <w:rFonts w:ascii="Arial" w:cs="Arial" w:eastAsia="Arial" w:hAnsi="Arial"/>
                <w:sz w:val="18"/>
                <w:szCs w:val="18"/>
                <w:color w:val="auto"/>
                <w:w w:val="82"/>
              </w:rPr>
              <w:t>Canada</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247,104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254,257</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(2.8)</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96"/>
              </w:rPr>
              <w:t>Italy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169,955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188,689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(9.9)</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8</w:t>
            </w:r>
          </w:p>
        </w:tc>
        <w:tc>
          <w:tcPr>
            <w:tcW w:w="2640" w:type="dxa"/>
            <w:vAlign w:val="bottom"/>
          </w:tcPr>
          <w:p>
            <w:pPr>
              <w:spacing w:after="0"/>
              <w:rPr>
                <w:sz w:val="18"/>
                <w:szCs w:val="18"/>
                <w:color w:val="auto"/>
              </w:rPr>
            </w:pPr>
          </w:p>
        </w:tc>
        <w:tc>
          <w:tcPr>
            <w:tcW w:w="3980" w:type="dxa"/>
            <w:vAlign w:val="bottom"/>
          </w:tcPr>
          <w:p>
            <w:pPr>
              <w:jc w:val="center"/>
              <w:ind w:left="2374"/>
              <w:spacing w:after="0"/>
              <w:rPr>
                <w:sz w:val="20"/>
                <w:szCs w:val="20"/>
                <w:color w:val="auto"/>
              </w:rPr>
            </w:pPr>
            <w:r>
              <w:rPr>
                <w:rFonts w:ascii="Arial" w:cs="Arial" w:eastAsia="Arial" w:hAnsi="Arial"/>
                <w:sz w:val="18"/>
                <w:szCs w:val="18"/>
                <w:color w:val="auto"/>
                <w:w w:val="87"/>
              </w:rPr>
              <w:t>Russia</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159,199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141,695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12.4</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91"/>
              </w:rPr>
              <w:t>Mexico</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155,590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138,482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12.4</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10</w:t>
            </w:r>
          </w:p>
        </w:tc>
        <w:tc>
          <w:tcPr>
            <w:tcW w:w="2640" w:type="dxa"/>
            <w:vAlign w:val="bottom"/>
          </w:tcPr>
          <w:p>
            <w:pPr>
              <w:spacing w:after="0"/>
              <w:rPr>
                <w:sz w:val="19"/>
                <w:szCs w:val="19"/>
                <w:color w:val="auto"/>
              </w:rPr>
            </w:pPr>
          </w:p>
        </w:tc>
        <w:tc>
          <w:tcPr>
            <w:tcW w:w="3980" w:type="dxa"/>
            <w:vAlign w:val="bottom"/>
          </w:tcPr>
          <w:p>
            <w:pPr>
              <w:jc w:val="center"/>
              <w:ind w:left="2374"/>
              <w:spacing w:after="0"/>
              <w:rPr>
                <w:sz w:val="20"/>
                <w:szCs w:val="20"/>
                <w:color w:val="auto"/>
              </w:rPr>
            </w:pPr>
            <w:r>
              <w:rPr>
                <w:rFonts w:ascii="Arial" w:cs="Arial" w:eastAsia="Arial" w:hAnsi="Arial"/>
                <w:sz w:val="18"/>
                <w:szCs w:val="18"/>
                <w:color w:val="auto"/>
                <w:w w:val="89"/>
              </w:rPr>
              <w:t>Uzbekistan</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145,151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102,746</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13</w:t>
            </w:r>
          </w:p>
        </w:tc>
        <w:tc>
          <w:tcPr>
            <w:tcW w:w="0" w:type="dxa"/>
            <w:vAlign w:val="bottom"/>
          </w:tcPr>
          <w:p>
            <w:pPr>
              <w:spacing w:after="0"/>
              <w:rPr>
                <w:sz w:val="1"/>
                <w:szCs w:val="1"/>
                <w:color w:val="auto"/>
              </w:rPr>
            </w:pPr>
          </w:p>
        </w:tc>
      </w:tr>
      <w:tr>
        <w:trPr>
          <w:trHeight w:val="49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Top Brands:</w:t>
            </w:r>
          </w:p>
        </w:tc>
        <w:tc>
          <w:tcPr>
            <w:tcW w:w="3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4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3980" w:type="dxa"/>
            <w:vAlign w:val="bottom"/>
            <w:vMerge w:val="restart"/>
          </w:tcPr>
          <w:p>
            <w:pPr>
              <w:jc w:val="center"/>
              <w:ind w:left="2374"/>
              <w:spacing w:after="0"/>
              <w:rPr>
                <w:sz w:val="20"/>
                <w:szCs w:val="20"/>
                <w:color w:val="auto"/>
              </w:rPr>
            </w:pPr>
            <w:r>
              <w:rPr>
                <w:rFonts w:ascii="Arial" w:cs="Arial" w:eastAsia="Arial" w:hAnsi="Arial"/>
                <w:sz w:val="14"/>
                <w:szCs w:val="14"/>
                <w:b w:val="1"/>
                <w:bCs w:val="1"/>
                <w:color w:val="auto"/>
                <w:w w:val="88"/>
              </w:rPr>
              <w:t>Brand</w:t>
            </w: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2010 Deliveries</w:t>
            </w: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2009 Deliveries</w:t>
            </w: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480" w:type="dxa"/>
            <w:vAlign w:val="bottom"/>
          </w:tcPr>
          <w:p>
            <w:pPr>
              <w:jc w:val="center"/>
              <w:ind w:left="76"/>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7"/>
              </w:rPr>
              <w:t>Rank</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88"/>
              </w:rPr>
              <w:t>Chevrolet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4,271,189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3,517,412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21.4</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18"/>
                <w:szCs w:val="18"/>
                <w:color w:val="auto"/>
              </w:rPr>
            </w:pPr>
          </w:p>
        </w:tc>
        <w:tc>
          <w:tcPr>
            <w:tcW w:w="3980" w:type="dxa"/>
            <w:vAlign w:val="bottom"/>
          </w:tcPr>
          <w:p>
            <w:pPr>
              <w:jc w:val="center"/>
              <w:ind w:left="2374"/>
              <w:spacing w:after="0"/>
              <w:rPr>
                <w:sz w:val="20"/>
                <w:szCs w:val="20"/>
                <w:color w:val="auto"/>
              </w:rPr>
            </w:pPr>
            <w:r>
              <w:rPr>
                <w:rFonts w:ascii="Arial" w:cs="Arial" w:eastAsia="Arial" w:hAnsi="Arial"/>
                <w:sz w:val="18"/>
                <w:szCs w:val="18"/>
                <w:color w:val="auto"/>
                <w:w w:val="89"/>
              </w:rPr>
              <w:t>Opel/Vauxhall</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1,206,620</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1,236,221</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(2.4)</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94"/>
              </w:rPr>
              <w:t>Wuling</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1,149,060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1,001,213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14.8</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rPr>
                <w:sz w:val="18"/>
                <w:szCs w:val="18"/>
                <w:color w:val="auto"/>
              </w:rPr>
            </w:pPr>
          </w:p>
        </w:tc>
        <w:tc>
          <w:tcPr>
            <w:tcW w:w="3980" w:type="dxa"/>
            <w:vAlign w:val="bottom"/>
          </w:tcPr>
          <w:p>
            <w:pPr>
              <w:jc w:val="center"/>
              <w:ind w:left="2394"/>
              <w:spacing w:after="0"/>
              <w:rPr>
                <w:sz w:val="20"/>
                <w:szCs w:val="20"/>
                <w:color w:val="auto"/>
              </w:rPr>
            </w:pPr>
            <w:r>
              <w:rPr>
                <w:rFonts w:ascii="Arial" w:cs="Arial" w:eastAsia="Arial" w:hAnsi="Arial"/>
                <w:sz w:val="18"/>
                <w:szCs w:val="18"/>
                <w:color w:val="auto"/>
                <w:w w:val="95"/>
              </w:rPr>
              <w:t>Buick</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718,848</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558,533</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28.7</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95"/>
              </w:rPr>
              <w:t>GMC</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446,547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353,258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26.4</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18"/>
                <w:szCs w:val="18"/>
                <w:color w:val="auto"/>
              </w:rPr>
            </w:pPr>
          </w:p>
        </w:tc>
        <w:tc>
          <w:tcPr>
            <w:tcW w:w="3980" w:type="dxa"/>
            <w:vAlign w:val="bottom"/>
          </w:tcPr>
          <w:p>
            <w:pPr>
              <w:jc w:val="center"/>
              <w:ind w:left="2374"/>
              <w:spacing w:after="0"/>
              <w:rPr>
                <w:sz w:val="20"/>
                <w:szCs w:val="20"/>
                <w:color w:val="auto"/>
              </w:rPr>
            </w:pPr>
            <w:r>
              <w:rPr>
                <w:rFonts w:ascii="Arial" w:cs="Arial" w:eastAsia="Arial" w:hAnsi="Arial"/>
                <w:sz w:val="18"/>
                <w:szCs w:val="18"/>
                <w:color w:val="auto"/>
                <w:w w:val="93"/>
              </w:rPr>
              <w:t>Cadillac</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180,724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128,838</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40.3</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91"/>
              </w:rPr>
              <w:t>Holden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140,771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126,089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11.6</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8</w:t>
            </w:r>
          </w:p>
        </w:tc>
        <w:tc>
          <w:tcPr>
            <w:tcW w:w="2640" w:type="dxa"/>
            <w:vAlign w:val="bottom"/>
          </w:tcPr>
          <w:p>
            <w:pPr>
              <w:spacing w:after="0"/>
              <w:rPr>
                <w:sz w:val="18"/>
                <w:szCs w:val="18"/>
                <w:color w:val="auto"/>
              </w:rPr>
            </w:pPr>
          </w:p>
        </w:tc>
        <w:tc>
          <w:tcPr>
            <w:tcW w:w="3980" w:type="dxa"/>
            <w:vAlign w:val="bottom"/>
          </w:tcPr>
          <w:p>
            <w:pPr>
              <w:jc w:val="center"/>
              <w:ind w:left="2374"/>
              <w:spacing w:after="0"/>
              <w:rPr>
                <w:sz w:val="20"/>
                <w:szCs w:val="20"/>
                <w:color w:val="auto"/>
              </w:rPr>
            </w:pPr>
            <w:r>
              <w:rPr>
                <w:rFonts w:ascii="Arial" w:cs="Arial" w:eastAsia="Arial" w:hAnsi="Arial"/>
                <w:sz w:val="18"/>
                <w:szCs w:val="18"/>
                <w:color w:val="auto"/>
                <w:w w:val="90"/>
              </w:rPr>
              <w:t>Daewoo</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129,829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121,345</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480" w:type="dxa"/>
            <w:vAlign w:val="bottom"/>
          </w:tcPr>
          <w:p>
            <w:pPr>
              <w:jc w:val="center"/>
              <w:ind w:left="76"/>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6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ind w:left="2374"/>
              <w:spacing w:after="0"/>
              <w:rPr>
                <w:sz w:val="20"/>
                <w:szCs w:val="20"/>
                <w:color w:val="auto"/>
              </w:rPr>
            </w:pPr>
            <w:r>
              <w:rPr>
                <w:rFonts w:ascii="Arial" w:cs="Arial" w:eastAsia="Arial" w:hAnsi="Arial"/>
                <w:sz w:val="18"/>
                <w:szCs w:val="18"/>
                <w:color w:val="auto"/>
                <w:w w:val="89"/>
              </w:rPr>
              <w:t>Jiefang</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88,224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34,860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153.1</w:t>
            </w:r>
          </w:p>
        </w:tc>
        <w:tc>
          <w:tcPr>
            <w:tcW w:w="4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79"/>
              </w:rPr>
              <w:t>12</w:t>
            </w: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Vehicle sales primarily represent estimated sales to the ultimate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right="300"/>
        <w:spacing w:after="0" w:line="261" w:lineRule="auto"/>
        <w:rPr>
          <w:sz w:val="20"/>
          <w:szCs w:val="20"/>
          <w:color w:val="auto"/>
        </w:rPr>
      </w:pPr>
      <w:r>
        <w:rPr>
          <w:rFonts w:ascii="Arial" w:cs="Arial" w:eastAsia="Arial" w:hAnsi="Arial"/>
          <w:sz w:val="18"/>
          <w:szCs w:val="18"/>
          <w:color w:val="auto"/>
        </w:rPr>
        <w:t>The joint venture agreements with SGM (49%), SGMW (44%) and FAW-GM (50%) allows for significant rights as a member as well as the contractual right to report SGM, SGMW and FAW-GM joint venture vehicle sales in China as a part of global market share.</w:t>
      </w:r>
    </w:p>
    <w:p>
      <w:pPr>
        <w:sectPr>
          <w:pgSz w:w="11900" w:h="16838" w:orient="portrait"/>
          <w:cols w:equalWidth="0" w:num="2">
            <w:col w:w="60" w:space="400"/>
            <w:col w:w="10960"/>
          </w:cols>
          <w:pgMar w:left="240" w:top="125" w:right="239" w:bottom="1440" w:gutter="0" w:footer="0" w:header="0"/>
          <w:type w:val="continuous"/>
        </w:sectPr>
      </w:pPr>
    </w:p>
    <w:bookmarkStart w:id="5" w:name="page6"/>
    <w:bookmarkEnd w:id="5"/>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About General Motors – </w:t>
      </w:r>
      <w:r>
        <w:rPr>
          <w:rFonts w:ascii="Arial" w:cs="Arial" w:eastAsia="Arial" w:hAnsi="Arial"/>
          <w:sz w:val="16"/>
          <w:szCs w:val="16"/>
          <w:color w:val="auto"/>
        </w:rPr>
        <w:t>General Motors Company (NYSE: GM, TSX: GMM), one of the world’s largest automakers, traces its roots back to 1908.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global headquarters in Detroit, GM employs 209,000 people in every major region of the world and does business in more than 120 countries. GM and its strategic partners produce cars and trucks in 31 countries, and sell and service these vehicles through the following brands: Baojun, Buick, Cadillac, Chevrolet, GMC, Daewoo, Holden, Isuzu, Jiefang, Opel, Vauxhall, and Wuling. GM’s largest national market is China, followed by the United States, Brazil, the United Kingdom, Germany, Canada, Italy, Russia, Mexico and Uzbekistan.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Klaus-Peter Martin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+1-313-522-6303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klaus-peter.martin@gm.com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2019-12-11T07:44:55Z</dcterms:created>
  <dcterms:modified xsi:type="dcterms:W3CDTF">2019-12-11T07:44:55Z</dcterms:modified>
</cp:coreProperties>
</file>