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21,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October 21, 2015 a news release was issued on the subject of 2015 third quarter consolidated earnings for General Motors Company (GM). The news release and financial statements are attached as Exhibit 99.1.</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2015 third quarter consolidated earnings release are available on GM's website at www.gm.com/company/investors/earning-releases.html.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3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3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7300" w:type="dxa"/>
            <w:vAlign w:val="bottom"/>
            <w:gridSpan w:val="4"/>
            <w:vMerge w:val="restart"/>
          </w:tcPr>
          <w:p>
            <w:pPr>
              <w:spacing w:after="0"/>
              <w:rPr>
                <w:sz w:val="20"/>
                <w:szCs w:val="20"/>
                <w:color w:val="auto"/>
              </w:rPr>
            </w:pPr>
            <w:r>
              <w:rPr>
                <w:rFonts w:ascii="Arial" w:cs="Arial" w:eastAsia="Arial" w:hAnsi="Arial"/>
                <w:sz w:val="18"/>
                <w:szCs w:val="18"/>
                <w:color w:val="auto"/>
              </w:rPr>
              <w:t>News Release Dated October 21, 2015 and Financial Highlights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30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October 21, 2015</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Oct. 21, 2015, 7:30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Third-Quarter Net Income of $1.4 Billion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Record EBIT-Adjusted of $3.1 Billion</w:t>
      </w:r>
    </w:p>
    <w:p>
      <w:pPr>
        <w:spacing w:after="0" w:line="20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EPS of $0.84; EPS adjusted of $1.50, up 55 percent from a year ago</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GM North America sets records for EBIT-adjusted and EBIT-adjusted margin</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announced third-quarter net income to common stockholders of $1.4 billion or $0.84 per</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share, compared to $1.4 billion or $0.81 per diluted share a year ago. Improvement in operating performance during the quarter was offset by a net loss from special items.</w:t>
      </w:r>
    </w:p>
    <w:p>
      <w:pPr>
        <w:spacing w:after="0" w:line="184"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Earnings per share adjusted for special items was $1.50, up 55 percent compared to the third quarter of 2014. Year to date through the third quarter, adjusted earnings per share was $3.63, up 96 percent compared to the prior year.</w:t>
      </w:r>
    </w:p>
    <w:p>
      <w:pPr>
        <w:spacing w:after="0" w:line="177"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Third quarter earnings before interest and tax (EBIT) adjusted of $3.1 billion and EBIT-adjusted margin of 8.0 percent were both records for any quarter. These compare to EBIT-adjusted of $2.3 billion and an EBIT-adjusted margin of 5.8 percent in the third quarter of 2014.</w:t>
      </w:r>
    </w:p>
    <w:p>
      <w:pPr>
        <w:spacing w:after="0" w:line="13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“These results reflect our work to capitalize on our strengths in the U.S. and China, while taking decisive, proactive steps to mitigate challenges elsewhere," said GM CEO Mary Barra. “GM is a vastly different company today than just five years ago. We’re building a strong foundation, driving earnings growth in our core business and executing a plan to lead the future of personal mobility, all with the aim of creating shareholder value for years to come.”</w:t>
      </w:r>
    </w:p>
    <w:p>
      <w:pPr>
        <w:spacing w:after="0" w:line="19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Net income to common stockholders includes a net loss from special items of $1.5 billion before tax, or $0.66 per diluted share for the quarter. Special items included $0.9 billion related to a Deferred Prosecution Agreement reached with the U.S. Attorney’s Office for matters associated with the ignition switch recall, and approximately $0.6 billion for the settlement of certain civil actions involving 2014 product recalls, including the ignition switch recall.</w:t>
      </w:r>
    </w:p>
    <w:p>
      <w:pPr>
        <w:spacing w:after="0" w:line="19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Net revenue during the quarter was $38.8 billion compared to $39.3 billion in the third quarter of 2014. The change in net revenue is more than attributed to a negative net foreign currency exchange impact. Holding exchange rates constant, net revenue was $2.3 billion higher than the third quarter of 2014.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6"/>
        </w:trPr>
        <w:tc>
          <w:tcPr>
            <w:tcW w:w="6740" w:type="dxa"/>
            <w:vAlign w:val="bottom"/>
          </w:tcPr>
          <w:p>
            <w:pPr>
              <w:spacing w:after="0"/>
              <w:rPr>
                <w:sz w:val="20"/>
                <w:szCs w:val="20"/>
                <w:color w:val="auto"/>
              </w:rPr>
            </w:pPr>
            <w:r>
              <w:rPr>
                <w:rFonts w:ascii="Arial" w:cs="Arial" w:eastAsia="Arial" w:hAnsi="Arial"/>
                <w:sz w:val="20"/>
                <w:szCs w:val="20"/>
                <w:b w:val="1"/>
                <w:bCs w:val="1"/>
                <w:color w:val="auto"/>
              </w:rPr>
              <w:t xml:space="preserve">GM Results Overview </w:t>
            </w:r>
            <w:r>
              <w:rPr>
                <w:rFonts w:ascii="Arial" w:cs="Arial" w:eastAsia="Arial" w:hAnsi="Arial"/>
                <w:sz w:val="16"/>
                <w:szCs w:val="16"/>
                <w:color w:val="auto"/>
              </w:rPr>
              <w:t>(in billions except for per share amounts)</w:t>
            </w:r>
          </w:p>
        </w:tc>
        <w:tc>
          <w:tcPr>
            <w:tcW w:w="26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388"/>
        </w:trPr>
        <w:tc>
          <w:tcPr>
            <w:tcW w:w="6740" w:type="dxa"/>
            <w:vAlign w:val="bottom"/>
          </w:tcPr>
          <w:p>
            <w:pPr>
              <w:spacing w:after="0"/>
              <w:rPr>
                <w:sz w:val="24"/>
                <w:szCs w:val="24"/>
                <w:color w:val="auto"/>
              </w:rPr>
            </w:pPr>
          </w:p>
        </w:tc>
        <w:tc>
          <w:tcPr>
            <w:tcW w:w="2640" w:type="dxa"/>
            <w:vAlign w:val="bottom"/>
          </w:tcPr>
          <w:p>
            <w:pPr>
              <w:jc w:val="right"/>
              <w:ind w:right="170"/>
              <w:spacing w:after="0"/>
              <w:rPr>
                <w:sz w:val="20"/>
                <w:szCs w:val="20"/>
                <w:color w:val="auto"/>
              </w:rPr>
            </w:pPr>
            <w:r>
              <w:rPr>
                <w:rFonts w:ascii="Arial" w:cs="Arial" w:eastAsia="Arial" w:hAnsi="Arial"/>
                <w:sz w:val="18"/>
                <w:szCs w:val="18"/>
                <w:b w:val="1"/>
                <w:bCs w:val="1"/>
                <w:color w:val="auto"/>
              </w:rPr>
              <w:t>Q3 2015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Q3 2014</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Net Revenue</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$38.8</w:t>
            </w: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Earnings per share (EPS) diluted</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$0.84</w:t>
            </w:r>
          </w:p>
        </w:tc>
        <w:tc>
          <w:tcPr>
            <w:tcW w:w="92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Impact of special items on EPS diluted</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$(0.66)</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EPS diluted - adjusted</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$1.50</w:t>
            </w:r>
          </w:p>
        </w:tc>
        <w:tc>
          <w:tcPr>
            <w:tcW w:w="92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EBIT-adjusted</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 EBIT-adjusted margin</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Automotive net cash flow from operating activities</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Adjusted automotive free cash flow</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6740" w:type="dxa"/>
            <w:vAlign w:val="bottom"/>
          </w:tcPr>
          <w:p>
            <w:pPr>
              <w:ind w:left="1120"/>
              <w:spacing w:after="0"/>
              <w:rPr>
                <w:sz w:val="20"/>
                <w:szCs w:val="20"/>
                <w:color w:val="auto"/>
              </w:rPr>
            </w:pPr>
            <w:r>
              <w:rPr>
                <w:rFonts w:ascii="Arial" w:cs="Arial" w:eastAsia="Arial" w:hAnsi="Arial"/>
                <w:sz w:val="18"/>
                <w:szCs w:val="18"/>
                <w:b w:val="1"/>
                <w:bCs w:val="1"/>
                <w:color w:val="auto"/>
              </w:rPr>
              <w:t>Return on Invested Capital (ROIC) - %</w:t>
            </w: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26.0</w:t>
            </w: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EBIT-Adjusted Results</w:t>
      </w:r>
    </w:p>
    <w:p>
      <w:pPr>
        <w:spacing w:after="0" w:line="222" w:lineRule="exact"/>
        <w:rPr>
          <w:sz w:val="20"/>
          <w:szCs w:val="20"/>
          <w:color w:val="auto"/>
        </w:rPr>
      </w:pPr>
    </w:p>
    <w:p>
      <w:pPr>
        <w:ind w:left="660" w:hanging="328"/>
        <w:spacing w:after="0" w:line="27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North America reported record levels for EBIT-adjusted of $3.3 billion, EBIT-adjusted margin of 11.8 percent and net revenue of $27.8 billion. This compares with EBIT-adjusted of $2.5 billion and EBIT-adjusted margin of 9.5 percent a year ago.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Europe reported EBIT-adjusted of $(0.2) billion compared with $(0.4) billion in the third quarter of 2014.</w:t>
      </w:r>
    </w:p>
    <w:p>
      <w:pPr>
        <w:ind w:left="660" w:right="2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International Operations reported EBIT-adjusted of $0.3 billion, about equal to a year ago. Results included China equity income of $0.5 billion, which generated a 9.8 percent net income margin.</w:t>
      </w:r>
    </w:p>
    <w:p>
      <w:pPr>
        <w:spacing w:after="0" w:line="1" w:lineRule="exact"/>
        <w:rPr>
          <w:rFonts w:ascii="Arial" w:cs="Arial" w:eastAsia="Arial" w:hAnsi="Arial"/>
          <w:sz w:val="18"/>
          <w:szCs w:val="18"/>
          <w:color w:val="auto"/>
        </w:rPr>
      </w:pPr>
    </w:p>
    <w:p>
      <w:pPr>
        <w:ind w:left="660" w:right="1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South America reported EBIT-adjusted of $(0.2) billion compared with approximately break-even results in the third quarter of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Financial reported earnings before tax of $0.2 billion, about equal to a year ago, and posted record net revenue of $1.7 billion.</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235" w:lineRule="exact"/>
        <w:rPr>
          <w:sz w:val="20"/>
          <w:szCs w:val="20"/>
          <w:color w:val="auto"/>
        </w:rPr>
      </w:pPr>
    </w:p>
    <w:p>
      <w:pPr>
        <w:jc w:val="both"/>
        <w:ind w:right="80"/>
        <w:spacing w:after="0" w:line="316" w:lineRule="auto"/>
        <w:rPr>
          <w:sz w:val="20"/>
          <w:szCs w:val="20"/>
          <w:color w:val="auto"/>
        </w:rPr>
      </w:pPr>
      <w:r>
        <w:rPr>
          <w:rFonts w:ascii="Arial" w:cs="Arial" w:eastAsia="Arial" w:hAnsi="Arial"/>
          <w:sz w:val="18"/>
          <w:szCs w:val="18"/>
          <w:color w:val="auto"/>
        </w:rPr>
        <w:t>For the quarter, automotive cash flow from operating activities was $2.6 billion and adjusted automotive free cash flow was $0.8 billion. GM ended the quarter with very strong total automotive liquidity of $34.0 billion, and automotive cash and marketable securities of $21.9 billion.</w:t>
      </w:r>
    </w:p>
    <w:p>
      <w:pPr>
        <w:spacing w:after="0" w:line="13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Year-to-date through October 19, GM has returned approximately $4.6 billion of cash to shareholders through share repurchases of more than $2.9 billion and dividends of more than $1.6 billion.</w:t>
      </w:r>
    </w:p>
    <w:p>
      <w:pPr>
        <w:spacing w:after="0" w:line="17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third quarter was evidence of the earnings power of this company, as we continue to build on our track record for generating results and delivering on our financial commitments,” said Chuck Stevens, GM executive vice president and chief financial officer. “We expect our earnings to accelerate in the next several years, with double-digit earnings per share growth.”</w:t>
      </w:r>
    </w:p>
    <w:p>
      <w:pPr>
        <w:spacing w:after="0" w:line="18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562"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0"/>
                <w:szCs w:val="20"/>
                <w:color w:val="auto"/>
              </w:rPr>
            </w:pPr>
          </w:p>
        </w:tc>
      </w:tr>
      <w:tr>
        <w:trPr>
          <w:trHeight w:val="364"/>
        </w:trPr>
        <w:tc>
          <w:tcPr>
            <w:tcW w:w="5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178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54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1780" w:type="dxa"/>
            <w:vAlign w:val="bottom"/>
          </w:tcPr>
          <w:p>
            <w:pPr>
              <w:spacing w:after="0"/>
              <w:rPr>
                <w:sz w:val="20"/>
                <w:szCs w:val="20"/>
                <w:color w:val="auto"/>
              </w:rPr>
            </w:pPr>
            <w:r>
              <w:rPr>
                <w:rFonts w:ascii="Arial" w:cs="Arial" w:eastAsia="Arial" w:hAnsi="Arial"/>
                <w:sz w:val="18"/>
                <w:szCs w:val="18"/>
                <w:color w:val="auto"/>
              </w:rPr>
              <w:t>Randy Arickx</w:t>
            </w:r>
          </w:p>
        </w:tc>
      </w:tr>
      <w:tr>
        <w:trPr>
          <w:trHeight w:val="216"/>
        </w:trPr>
        <w:tc>
          <w:tcPr>
            <w:tcW w:w="54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GM Finance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2480" w:type="dxa"/>
            <w:vAlign w:val="bottom"/>
            <w:gridSpan w:val="2"/>
          </w:tcPr>
          <w:p>
            <w:pPr>
              <w:ind w:left="540"/>
              <w:spacing w:after="0"/>
              <w:rPr>
                <w:sz w:val="20"/>
                <w:szCs w:val="20"/>
                <w:color w:val="auto"/>
              </w:rPr>
            </w:pPr>
            <w:r>
              <w:rPr>
                <w:rFonts w:ascii="Arial" w:cs="Arial" w:eastAsia="Arial" w:hAnsi="Arial"/>
                <w:sz w:val="18"/>
                <w:szCs w:val="18"/>
                <w:color w:val="auto"/>
              </w:rPr>
              <w:t>313-410-2704</w:t>
            </w:r>
          </w:p>
        </w:tc>
        <w:tc>
          <w:tcPr>
            <w:tcW w:w="32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313-268-7070</w:t>
            </w:r>
          </w:p>
        </w:tc>
      </w:tr>
      <w:tr>
        <w:trPr>
          <w:trHeight w:val="190"/>
        </w:trPr>
        <w:tc>
          <w:tcPr>
            <w:tcW w:w="540" w:type="dxa"/>
            <w:vAlign w:val="bottom"/>
          </w:tcPr>
          <w:p>
            <w:pPr>
              <w:spacing w:after="0"/>
              <w:rPr>
                <w:sz w:val="16"/>
                <w:szCs w:val="16"/>
                <w:color w:val="auto"/>
              </w:rPr>
            </w:pPr>
          </w:p>
        </w:tc>
        <w:tc>
          <w:tcPr>
            <w:tcW w:w="5200" w:type="dxa"/>
            <w:vAlign w:val="bottom"/>
            <w:gridSpan w:val="2"/>
          </w:tcPr>
          <w:p>
            <w:pPr>
              <w:spacing w:after="0" w:line="190" w:lineRule="exact"/>
              <w:rPr>
                <w:sz w:val="20"/>
                <w:szCs w:val="20"/>
                <w:color w:val="auto"/>
              </w:rPr>
            </w:pPr>
            <w:r>
              <w:rPr>
                <w:rFonts w:ascii="Arial" w:cs="Arial" w:eastAsia="Arial" w:hAnsi="Arial"/>
                <w:sz w:val="18"/>
                <w:szCs w:val="18"/>
                <w:color w:val="0000FF"/>
              </w:rPr>
              <w:t>tom.e.henderson@gm.com</w:t>
            </w:r>
          </w:p>
        </w:tc>
        <w:tc>
          <w:tcPr>
            <w:tcW w:w="1780" w:type="dxa"/>
            <w:vAlign w:val="bottom"/>
          </w:tcPr>
          <w:p>
            <w:pPr>
              <w:spacing w:after="0" w:line="190" w:lineRule="exact"/>
              <w:rPr>
                <w:sz w:val="20"/>
                <w:szCs w:val="20"/>
                <w:color w:val="auto"/>
              </w:rPr>
            </w:pPr>
            <w:r>
              <w:rPr>
                <w:rFonts w:ascii="Arial" w:cs="Arial" w:eastAsia="Arial" w:hAnsi="Arial"/>
                <w:sz w:val="18"/>
                <w:szCs w:val="18"/>
                <w:color w:val="0000FF"/>
                <w:w w:val="91"/>
              </w:rPr>
              <w:t>randy.c.arickx@gm.com</w:t>
            </w:r>
          </w:p>
        </w:tc>
      </w:tr>
      <w:tr>
        <w:trPr>
          <w:trHeight w:val="20"/>
        </w:trPr>
        <w:tc>
          <w:tcPr>
            <w:tcW w:w="5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this press release, our use of the words “plans,” “anticipated,” “goals,” “expect,” “anticipate,” “possible,” “target,” “believe,” “commit,” “intend” “continue,” “may,” “would,” “could,” “should,” “project,” “appears,” “potential,” “projected,” “on track,”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various recalls and risks, consequences and costs associated with failure to comply with the deferred prosecution agreement; our ability to negotiate a successful new collective bargaining agreement with the UAW and avoid any costly work stoppage; our ability to remain competitive and our ability to continue to attract new customers, particularly for our new products. GM’s most recent reports on Form 10-K and Form 10-Q provide information about these and other factors, which we may revise or supplement in future reports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accompanying tables and charts include earnings before interest and taxes adjusted for special items, presented net of noncontrolling interests (EBIT-adjusted), return on invested capital (ROIC) and Automotive adjusted free cash flow. These metrics are not prepared in accordance with Accounting Principles Generally Accepted in the United States of America (U.S. GAAP) and have not been audited or reviewed by GM's independent auditors. EBIT-adjusted, ROIC and Automotive adjusted free cash flow are considered non-GAAP financial measures.</w:t>
      </w:r>
    </w:p>
    <w:p>
      <w:pPr>
        <w:spacing w:after="0" w:line="17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Management uses EBIT-adjusted to review the operating results of its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w:t>
      </w:r>
    </w:p>
    <w:p>
      <w:pPr>
        <w:spacing w:after="0" w:line="14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Management uses ROIC to review investment and capital allocation decisions. GM defines ROIC as EBIT-adjusted for the trailing four quarters divided by average net assets, which is considered to be the average equity balances adjusted for certain assets and liabilities during the same period.</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adjusted free cash flow to review the liquidity of its automotive operations. GM measures adjusted free cash flow as cash flow from operations less capital expenditures adjusted for management actions, primarily related to strengthening its balance sheet, such as accrued interest on prepayments of debt and voluntary contributions to employee benefit plans.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these non-GAAP measures in its financial and operational decision making processes, for internal reporting and as part of its forecasting and budgeting processes as they provide additional transparency of GM's core operations. These measures allow management to view operating trends, perform analytical comparisons and benchmark performance between periods and among geographic regions.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summarizes the reconciliation of EBIT-adjusted to its most comparable U.S. GAAP measure, Net income attributable to stockholders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2015</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2014</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2014</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segments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 North America (GMNA)</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21"/>
                <w:szCs w:val="21"/>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1"/>
                <w:szCs w:val="21"/>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8,255</w:t>
            </w:r>
          </w:p>
        </w:tc>
        <w:tc>
          <w:tcPr>
            <w:tcW w:w="120" w:type="dxa"/>
            <w:vAlign w:val="bottom"/>
          </w:tcPr>
          <w:p>
            <w:pPr>
              <w:spacing w:after="0"/>
              <w:rPr>
                <w:sz w:val="21"/>
                <w:szCs w:val="21"/>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Europe (GME)</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 International Operations (GMIO)</w:t>
            </w: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South America (GMSA)</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Motors Financial Company, Inc. (GM Financial)(a)</w:t>
            </w: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segments(b)</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3,096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8,049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1,359</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3,421</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income, interest expense and income tax benefit (expense) are recorded centrally in Corporate.</w:t>
      </w:r>
    </w:p>
    <w:p>
      <w:pPr>
        <w:spacing w:after="0" w:line="17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2015 special items consisted of charges for various legal matters of approximately $1.5 billion related to the ignition switch recall in Corporate.</w:t>
      </w:r>
    </w:p>
    <w:p>
      <w:pPr>
        <w:spacing w:after="0" w:line="10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2015 special items consisted of net insurance recoveries related to flood damage of $36 million in GMNA; costs related to the change in business model in Russia of $354 million in GME and $96 million in GMIO, which is net of noncontrolling interests; asset impairment charges of $297 million related to Thailand subsidiaries in GMIO; Venezuela currency devaluation of $604 million and asset impairment charges of $116 million related to Venezuela subsidiaries in GMSA; and charges related to the ignition switch recall including the compensation program of $225 million and various legal matters of approximately $1.5 billion in Corporate.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2014 special items consisted of charges related to flood damage of $132 million in GMNA; and property and intangible asset impairment charges of $194 million related to Russian subsidiaries in GME.</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2014 special items consisted of a catch-up adjustment related to the change in estimate for recall campaigns of $874 million and charges related to flood damage of $132 million in GMNA; property and intangible asset impairment charges of $194 million related to Russian subsidiaries in GME; Venezuela currency devaluation of $419 million in GMSA; and a charge related to the ignition switch recall compensation program of $400 million in Corporate.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4"/>
                <w:szCs w:val="14"/>
                <w:b w:val="1"/>
                <w:bCs w:val="1"/>
                <w:color w:val="auto"/>
              </w:rPr>
              <w:t>Four Quarters Ended</w:t>
            </w:r>
          </w:p>
        </w:tc>
        <w:tc>
          <w:tcPr>
            <w:tcW w:w="0" w:type="dxa"/>
            <w:vAlign w:val="bottom"/>
          </w:tcPr>
          <w:p>
            <w:pPr>
              <w:spacing w:after="0"/>
              <w:rPr>
                <w:sz w:val="1"/>
                <w:szCs w:val="1"/>
                <w:color w:val="auto"/>
              </w:rPr>
            </w:pPr>
          </w:p>
        </w:tc>
      </w:tr>
      <w:tr>
        <w:trPr>
          <w:trHeight w:val="264"/>
        </w:trPr>
        <w:tc>
          <w:tcPr>
            <w:tcW w:w="7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2015</w:t>
            </w:r>
          </w:p>
        </w:tc>
        <w:tc>
          <w:tcPr>
            <w:tcW w:w="320" w:type="dxa"/>
            <w:vAlign w:val="bottom"/>
          </w:tcPr>
          <w:p>
            <w:pPr>
              <w:spacing w:after="0"/>
              <w:rPr>
                <w:sz w:val="22"/>
                <w:szCs w:val="22"/>
                <w:color w:val="auto"/>
              </w:rPr>
            </w:pPr>
          </w:p>
        </w:tc>
        <w:tc>
          <w:tcPr>
            <w:tcW w:w="1580" w:type="dxa"/>
            <w:vAlign w:val="bottom"/>
          </w:tcPr>
          <w:p>
            <w:pPr>
              <w:jc w:val="right"/>
              <w:ind w:right="92"/>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20" w:type="dxa"/>
            <w:vAlign w:val="bottom"/>
          </w:tcPr>
          <w:p>
            <w:pPr>
              <w:spacing w:after="0"/>
              <w:rPr>
                <w:sz w:val="21"/>
                <w:szCs w:val="21"/>
                <w:color w:val="auto"/>
              </w:rPr>
            </w:pP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Average net automotive income tax asset</w:t>
            </w:r>
          </w:p>
        </w:tc>
        <w:tc>
          <w:tcPr>
            <w:tcW w:w="22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 average net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ROIC</w:t>
            </w: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following table summarizes the reconciliation of Automotive adjusted free cash flow to Automotive net cash provided by operating activities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adjusted free cash flow</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1,347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Adjustments</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5,052</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Automotive net cash provided by operating activities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2,643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744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b w:val="1"/>
                <w:bCs w:val="1"/>
                <w:color w:val="auto"/>
              </w:rPr>
              <w:t>7,760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b w:val="1"/>
                <w:bCs w:val="1"/>
                <w:color w:val="auto"/>
              </w:rPr>
              <w:t>6,346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30"/>
        </w:trPr>
        <w:tc>
          <w:tcPr>
            <w:tcW w:w="218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r>
      <w:tr>
        <w:trPr>
          <w:trHeight w:val="18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September 30, 2015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27,794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4,556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1,738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37,140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1,707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38,843</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1,835</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1,009</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657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1,981</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502</w:t>
            </w: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30"/>
        </w:trPr>
        <w:tc>
          <w:tcPr>
            <w:tcW w:w="218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r>
      <w:tr>
        <w:trPr>
          <w:trHeight w:val="18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September 30, 2014</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25,816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5,226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37,999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39,255</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1,664</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1,023</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282</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1,622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1,870</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497</w:t>
            </w: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30"/>
        </w:trPr>
        <w:tc>
          <w:tcPr>
            <w:tcW w:w="218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r>
      <w:tr>
        <w:trPr>
          <w:trHeight w:val="18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September 30, 2015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78,951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13,992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9,181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5,939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108,174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4,576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112,735</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5,324</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3,143</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378</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643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4,412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1,496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5,908</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1,579</w:t>
            </w: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130"/>
        </w:trPr>
        <w:tc>
          <w:tcPr>
            <w:tcW w:w="218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r>
      <w:tr>
        <w:trPr>
          <w:trHeight w:val="180"/>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September 30, 2014</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75,891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16,820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10,548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9,404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112,776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116,312</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5,089</w:t>
            </w: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3,336</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506</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297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4,673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5,296</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1,625</w:t>
            </w:r>
          </w:p>
        </w:tc>
      </w:tr>
      <w:tr>
        <w:trPr>
          <w:trHeight w:val="120"/>
        </w:trPr>
        <w:tc>
          <w:tcPr>
            <w:tcW w:w="2180" w:type="dxa"/>
            <w:vAlign w:val="bottom"/>
          </w:tcPr>
          <w:p>
            <w:pPr>
              <w:spacing w:after="0" w:line="120" w:lineRule="exact"/>
              <w:rPr>
                <w:sz w:val="20"/>
                <w:szCs w:val="20"/>
                <w:color w:val="auto"/>
              </w:rPr>
            </w:pPr>
            <w:r>
              <w:rPr>
                <w:rFonts w:ascii="Arial" w:cs="Arial" w:eastAsia="Arial" w:hAnsi="Arial"/>
                <w:sz w:val="11"/>
                <w:szCs w:val="11"/>
                <w:color w:val="auto"/>
              </w:rPr>
              <w:t>__________</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bl>
    <w:p>
      <w:pPr>
        <w:ind w:left="260" w:hanging="252"/>
        <w:spacing w:after="0"/>
        <w:tabs>
          <w:tab w:leader="none" w:pos="260" w:val="left"/>
        </w:tabs>
        <w:numPr>
          <w:ilvl w:val="0"/>
          <w:numId w:val="5"/>
        </w:numPr>
        <w:rPr>
          <w:rFonts w:ascii="Arial" w:cs="Arial" w:eastAsia="Arial" w:hAnsi="Arial"/>
          <w:sz w:val="10"/>
          <w:szCs w:val="10"/>
          <w:color w:val="auto"/>
        </w:rPr>
      </w:pPr>
      <w:r>
        <w:rPr>
          <w:rFonts w:ascii="Arial" w:cs="Arial" w:eastAsia="Arial" w:hAnsi="Arial"/>
          <w:sz w:val="10"/>
          <w:szCs w:val="10"/>
          <w:color w:val="auto"/>
        </w:rPr>
        <w:t>Includes automotive China joint venture equity income of $463 million and $484 million in the three months ended September 30, 2015 and 2014 and $1,485 million and $1,555 million in the nine months ended September 30, 2015 and 2014.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Sales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in the tables below and corresponding calculations of its market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GM's revenue from the sale of vehicles, which is the largest component of automotive Net sales and revenue. Wholesale vehicle sales exclude vehicles produced by joint ventures. In the nine months ended September 30, 2015, 48.4% of GM's wholesale vehicle sales volume was generated outside the U.S. The following table summarizes total wholesale vehicle sales of new vehicles by automotive segment (vehicles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2014</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GME</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GMSA</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4,358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Sales and Market Share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the end customers based upon the good faith estimates of management, including fleets, does not correlate directly to the revenue GM recognizes during the period. However, retail vehicle sales data is indicative of the underlying demand for GM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vehicles sales on non-GM trademarked vehicles by those joint ventures. Retail vehicle sales data includes vehicles sold through the dealer registration channel. This sales channel consists primarily of dealer demonstrator, loaner and self-registered vehicles (primarily in Europe). These vehicles are not eligible to be sold as new vehicles after being registered by dealers. Certain fleet sales that are accounted for as operating leases are included in retail vehicle sales at the time of delivery to the daily rental car companies. The following table summarizes total retail sales volume, or estimated sales volume where retail sales volume is not available, of new vehicles by geographic region (vehicles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2015</w:t>
            </w: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2014</w:t>
            </w: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2015</w:t>
            </w:r>
          </w:p>
        </w:tc>
        <w:tc>
          <w:tcPr>
            <w:tcW w:w="1580" w:type="dxa"/>
            <w:vAlign w:val="bottom"/>
          </w:tcPr>
          <w:p>
            <w:pPr>
              <w:jc w:val="right"/>
              <w:ind w:right="91"/>
              <w:spacing w:after="0"/>
              <w:rPr>
                <w:sz w:val="20"/>
                <w:szCs w:val="20"/>
                <w:color w:val="auto"/>
              </w:rPr>
            </w:pPr>
            <w:r>
              <w:rPr>
                <w:rFonts w:ascii="Arial" w:cs="Arial" w:eastAsia="Arial" w:hAnsi="Arial"/>
                <w:sz w:val="14"/>
                <w:szCs w:val="14"/>
                <w:b w:val="1"/>
                <w:bCs w:val="1"/>
                <w:color w:val="auto"/>
              </w:rPr>
              <w:t>September 30, 2014</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Chevrolet - Cars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688</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Chevrolet - Trucks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Chevrolet - Crossovers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Cadillac</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Buick</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GMC</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Total United States</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794</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752</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2,300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2,208</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Mexico and Other</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Total North America</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931</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885</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2,685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2,559</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Opel/Vauxhall</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817</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Chevrolet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Total Europe</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285</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898</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958</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 Middle East and Africa</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Chevrolet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976</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Wuling</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Buick</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671</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Baojun</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Cadillac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Total Asia/Pacific, Middle East and Africa</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1,005</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1,063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3,166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3,213</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r>
      <w:tr>
        <w:trPr>
          <w:trHeight w:val="25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Worldwide</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2,374</w:t>
            </w:r>
          </w:p>
        </w:tc>
        <w:tc>
          <w:tcPr>
            <w:tcW w:w="120" w:type="dxa"/>
            <w:vAlign w:val="bottom"/>
          </w:tcPr>
          <w:p>
            <w:pPr>
              <w:spacing w:after="0"/>
              <w:rPr>
                <w:sz w:val="21"/>
                <w:szCs w:val="21"/>
                <w:color w:val="auto"/>
              </w:rPr>
            </w:pPr>
          </w:p>
        </w:tc>
        <w:tc>
          <w:tcPr>
            <w:tcW w:w="16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2,450</w:t>
            </w:r>
          </w:p>
        </w:tc>
        <w:tc>
          <w:tcPr>
            <w:tcW w:w="120" w:type="dxa"/>
            <w:vAlign w:val="bottom"/>
          </w:tcPr>
          <w:p>
            <w:pPr>
              <w:spacing w:after="0"/>
              <w:rPr>
                <w:sz w:val="21"/>
                <w:szCs w:val="21"/>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7,235</w:t>
            </w:r>
          </w:p>
        </w:tc>
        <w:tc>
          <w:tcPr>
            <w:tcW w:w="100" w:type="dxa"/>
            <w:vAlign w:val="bottom"/>
          </w:tcPr>
          <w:p>
            <w:pPr>
              <w:spacing w:after="0"/>
              <w:rPr>
                <w:sz w:val="21"/>
                <w:szCs w:val="21"/>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8890</wp:posOffset>
            </wp:positionV>
            <wp:extent cx="42710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1010"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 Primarily Chevrolet.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wholesale vehicle sales at GM's China joint ventures presented in the following table are included in GM's retail vehicle sales on the preceding page (vehicles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 2014</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Sales Co., Ltd.</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8"/>
              </w:rPr>
              <w:t>SAIC-GM-Wuling Automobile Co., Ltd. and FAW-GM Light Duty Commercial</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Vehicle Co., Ltd.</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426"/>
        </w:trPr>
        <w:tc>
          <w:tcPr>
            <w:tcW w:w="606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24"/>
                <w:szCs w:val="24"/>
                <w:color w:val="auto"/>
              </w:rPr>
            </w:pPr>
          </w:p>
        </w:tc>
        <w:tc>
          <w:tcPr>
            <w:tcW w:w="260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 Share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United States - Cars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12.3%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 - Trucks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22.9%</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United States - Crossovers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17.6%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17.4%</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North America</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16.6%</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16.7%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Europe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6.9%</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Asia/Pacific, Middle East and Africa</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South America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16.4%</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b w:val="1"/>
                <w:bCs w:val="1"/>
                <w:color w:val="auto"/>
              </w:rPr>
              <w:t>Total Worldwide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11.2%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11.6%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11.1%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11.4%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b w:val="1"/>
                <w:bCs w:val="1"/>
                <w:color w:val="auto"/>
              </w:rPr>
              <w:t>% Total U.S. Fleet Mix</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17.7%</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22.4%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22.8%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24.9%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North America Capacity Two Shift Utilization</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105.3%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Income Statements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11"/>
          </w:tcPr>
          <w:p>
            <w:pPr>
              <w:ind w:left="120"/>
              <w:spacing w:after="0"/>
              <w:rPr>
                <w:sz w:val="20"/>
                <w:szCs w:val="20"/>
                <w:color w:val="auto"/>
              </w:rPr>
            </w:pPr>
            <w:r>
              <w:rPr>
                <w:rFonts w:ascii="Arial" w:cs="Arial" w:eastAsia="Arial" w:hAnsi="Arial"/>
                <w:sz w:val="11"/>
                <w:szCs w:val="11"/>
                <w:b w:val="1"/>
                <w:bCs w:val="1"/>
                <w:color w:val="auto"/>
                <w:w w:val="92"/>
              </w:rPr>
              <w:t>Three Months Ended September 30, 2015</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7"/>
          </w:tcPr>
          <w:p>
            <w:pPr>
              <w:ind w:left="60"/>
              <w:spacing w:after="0"/>
              <w:rPr>
                <w:sz w:val="20"/>
                <w:szCs w:val="20"/>
                <w:color w:val="auto"/>
              </w:rPr>
            </w:pPr>
            <w:r>
              <w:rPr>
                <w:rFonts w:ascii="Arial" w:cs="Arial" w:eastAsia="Arial" w:hAnsi="Arial"/>
                <w:sz w:val="11"/>
                <w:szCs w:val="11"/>
                <w:b w:val="1"/>
                <w:bCs w:val="1"/>
                <w:color w:val="auto"/>
                <w:w w:val="89"/>
              </w:rPr>
              <w:t>Three Months Ended September 30,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2"/>
              </w:rPr>
              <w:t>Automotive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5"/>
          </w:tcPr>
          <w:p>
            <w:pPr>
              <w:ind w:left="8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4"/>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Consolidated</w:t>
            </w:r>
          </w:p>
        </w:tc>
        <w:tc>
          <w:tcPr>
            <w:tcW w:w="1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21"/>
                <w:szCs w:val="21"/>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Automotive</w:t>
            </w: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37,140</w:t>
            </w:r>
          </w:p>
        </w:tc>
        <w:tc>
          <w:tcPr>
            <w:tcW w:w="460" w:type="dxa"/>
            <w:vAlign w:val="bottom"/>
            <w:gridSpan w:val="3"/>
            <w:vMerge w:val="restart"/>
          </w:tcPr>
          <w:p>
            <w:pPr>
              <w:jc w:val="right"/>
              <w:ind w:right="79"/>
              <w:spacing w:after="0"/>
              <w:rPr>
                <w:sz w:val="20"/>
                <w:szCs w:val="20"/>
                <w:color w:val="auto"/>
              </w:rPr>
            </w:pPr>
            <w:r>
              <w:rPr>
                <w:rFonts w:ascii="Arial" w:cs="Arial" w:eastAsia="Arial" w:hAnsi="Arial"/>
                <w:sz w:val="14"/>
                <w:szCs w:val="14"/>
                <w:color w:val="auto"/>
              </w:rPr>
              <w:t>$</w:t>
            </w:r>
          </w:p>
        </w:tc>
        <w:tc>
          <w:tcPr>
            <w:tcW w:w="70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37,140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37,999</w:t>
            </w:r>
          </w:p>
        </w:tc>
        <w:tc>
          <w:tcPr>
            <w:tcW w:w="36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color w:val="auto"/>
              </w:rPr>
              <w:t>37,999</w:t>
            </w:r>
          </w:p>
        </w:tc>
        <w:tc>
          <w:tcPr>
            <w:tcW w:w="0" w:type="dxa"/>
            <w:vAlign w:val="bottom"/>
          </w:tcPr>
          <w:p>
            <w:pPr>
              <w:spacing w:after="0"/>
              <w:rPr>
                <w:sz w:val="1"/>
                <w:szCs w:val="1"/>
                <w:color w:val="auto"/>
              </w:rPr>
            </w:pPr>
          </w:p>
        </w:tc>
      </w:tr>
      <w:tr>
        <w:trPr>
          <w:trHeight w:val="75"/>
        </w:trPr>
        <w:tc>
          <w:tcPr>
            <w:tcW w:w="334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82"/>
        </w:trPr>
        <w:tc>
          <w:tcPr>
            <w:tcW w:w="3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gridSpan w:val="2"/>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180"/>
              <w:spacing w:after="0"/>
              <w:rPr>
                <w:sz w:val="20"/>
                <w:szCs w:val="20"/>
                <w:color w:val="auto"/>
              </w:rPr>
            </w:pPr>
            <w:r>
              <w:rPr>
                <w:rFonts w:ascii="Arial" w:cs="Arial" w:eastAsia="Arial" w:hAnsi="Arial"/>
                <w:sz w:val="14"/>
                <w:szCs w:val="14"/>
                <w:color w:val="auto"/>
              </w:rPr>
              <w:t>Total net sales and revenue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37,140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38,843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37,999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color w:val="auto"/>
              </w:rPr>
              <w:t>39,255</w:t>
            </w:r>
          </w:p>
        </w:tc>
        <w:tc>
          <w:tcPr>
            <w:tcW w:w="0" w:type="dxa"/>
            <w:vAlign w:val="bottom"/>
          </w:tcPr>
          <w:p>
            <w:pPr>
              <w:spacing w:after="0"/>
              <w:rPr>
                <w:sz w:val="1"/>
                <w:szCs w:val="1"/>
                <w:color w:val="auto"/>
              </w:rPr>
            </w:pPr>
          </w:p>
        </w:tc>
      </w:tr>
      <w:tr>
        <w:trPr>
          <w:trHeight w:val="75"/>
        </w:trPr>
        <w:tc>
          <w:tcPr>
            <w:tcW w:w="33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Automotive cost of sales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32,060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32,058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34,058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color w:val="auto"/>
              </w:rPr>
              <w:t>34,054</w:t>
            </w:r>
          </w:p>
        </w:tc>
        <w:tc>
          <w:tcPr>
            <w:tcW w:w="0" w:type="dxa"/>
            <w:vAlign w:val="bottom"/>
          </w:tcPr>
          <w:p>
            <w:pPr>
              <w:spacing w:after="0"/>
              <w:rPr>
                <w:sz w:val="1"/>
                <w:szCs w:val="1"/>
                <w:color w:val="auto"/>
              </w:rPr>
            </w:pPr>
          </w:p>
        </w:tc>
      </w:tr>
      <w:tr>
        <w:trPr>
          <w:trHeight w:val="75"/>
        </w:trPr>
        <w:tc>
          <w:tcPr>
            <w:tcW w:w="3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GM Financial interest, operating and other expenses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82"/>
        </w:trPr>
        <w:tc>
          <w:tcPr>
            <w:tcW w:w="3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gridSpan w:val="4"/>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w w:val="91"/>
              </w:rPr>
              <w:t>Automotive selling, general and administrative expense</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4,282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2,921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2,921</w:t>
            </w:r>
          </w:p>
        </w:tc>
        <w:tc>
          <w:tcPr>
            <w:tcW w:w="0" w:type="dxa"/>
            <w:vAlign w:val="bottom"/>
          </w:tcPr>
          <w:p>
            <w:pPr>
              <w:spacing w:after="0"/>
              <w:rPr>
                <w:sz w:val="1"/>
                <w:szCs w:val="1"/>
                <w:color w:val="auto"/>
              </w:rPr>
            </w:pPr>
          </w:p>
        </w:tc>
      </w:tr>
      <w:tr>
        <w:trPr>
          <w:trHeight w:val="175"/>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costs and expenses</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36,342</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37,846</w:t>
            </w: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36,979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1,053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38,028</w:t>
            </w:r>
          </w:p>
        </w:tc>
        <w:tc>
          <w:tcPr>
            <w:tcW w:w="0" w:type="dxa"/>
            <w:vAlign w:val="bottom"/>
          </w:tcPr>
          <w:p>
            <w:pPr>
              <w:spacing w:after="0"/>
              <w:rPr>
                <w:sz w:val="1"/>
                <w:szCs w:val="1"/>
                <w:color w:val="auto"/>
              </w:rPr>
            </w:pPr>
          </w:p>
        </w:tc>
      </w:tr>
      <w:tr>
        <w:trPr>
          <w:trHeight w:val="82"/>
        </w:trPr>
        <w:tc>
          <w:tcPr>
            <w:tcW w:w="3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gridSpan w:val="2"/>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380"/>
              <w:spacing w:after="0"/>
              <w:rPr>
                <w:sz w:val="20"/>
                <w:szCs w:val="20"/>
                <w:color w:val="auto"/>
              </w:rPr>
            </w:pPr>
            <w:r>
              <w:rPr>
                <w:rFonts w:ascii="Arial" w:cs="Arial" w:eastAsia="Arial" w:hAnsi="Arial"/>
                <w:sz w:val="14"/>
                <w:szCs w:val="14"/>
                <w:color w:val="auto"/>
              </w:rPr>
              <w:t>Operating income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75"/>
        </w:trPr>
        <w:tc>
          <w:tcPr>
            <w:tcW w:w="3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interest expense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82"/>
        </w:trPr>
        <w:tc>
          <w:tcPr>
            <w:tcW w:w="3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00" w:type="dxa"/>
            <w:vAlign w:val="bottom"/>
            <w:gridSpan w:val="4"/>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 and other non-operating income, net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75"/>
        </w:trPr>
        <w:tc>
          <w:tcPr>
            <w:tcW w:w="3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extinguishment of debt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2"/>
        </w:trPr>
        <w:tc>
          <w:tcPr>
            <w:tcW w:w="3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00" w:type="dxa"/>
            <w:vAlign w:val="bottom"/>
            <w:gridSpan w:val="4"/>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gridSpan w:val="4"/>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gridSpan w:val="3"/>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40"/>
              <w:spacing w:after="0"/>
              <w:rPr>
                <w:sz w:val="20"/>
                <w:szCs w:val="20"/>
                <w:color w:val="auto"/>
              </w:rPr>
            </w:pPr>
            <w:r>
              <w:rPr>
                <w:rFonts w:ascii="Arial" w:cs="Arial" w:eastAsia="Arial" w:hAnsi="Arial"/>
                <w:sz w:val="14"/>
                <w:szCs w:val="14"/>
                <w:color w:val="auto"/>
              </w:rPr>
              <w:t>Equity income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75"/>
        </w:trPr>
        <w:tc>
          <w:tcPr>
            <w:tcW w:w="33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1,661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82"/>
        </w:trPr>
        <w:tc>
          <w:tcPr>
            <w:tcW w:w="3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gridSpan w:val="4"/>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4"/>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75"/>
        </w:trPr>
        <w:tc>
          <w:tcPr>
            <w:tcW w:w="33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82"/>
        </w:trPr>
        <w:tc>
          <w:tcPr>
            <w:tcW w:w="3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gridSpan w:val="4"/>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noncontrolling interests</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stockholders</w:t>
            </w:r>
          </w:p>
        </w:tc>
        <w:tc>
          <w:tcPr>
            <w:tcW w:w="20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1,134</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1,305</w:t>
            </w:r>
          </w:p>
        </w:tc>
        <w:tc>
          <w:tcPr>
            <w:tcW w:w="12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62"/>
        </w:trPr>
        <w:tc>
          <w:tcPr>
            <w:tcW w:w="334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gridSpan w:val="2"/>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4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gridSpan w:val="2"/>
            <w:vMerge w:val="continue"/>
            <w:shd w:val="clear" w:color="auto" w:fill="CCEEFF"/>
          </w:tcPr>
          <w:p>
            <w:pPr>
              <w:spacing w:after="0"/>
              <w:rPr>
                <w:sz w:val="5"/>
                <w:szCs w:val="5"/>
                <w:color w:val="auto"/>
              </w:rPr>
            </w:pPr>
          </w:p>
        </w:tc>
        <w:tc>
          <w:tcPr>
            <w:tcW w:w="120" w:type="dxa"/>
            <w:vAlign w:val="bottom"/>
            <w:tcBorders>
              <w:bottom w:val="single" w:sz="8" w:color="CCEEFF"/>
            </w:tcBorders>
            <w:gridSpan w:val="2"/>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gridSpan w:val="2"/>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12"/>
          </w:tcPr>
          <w:p>
            <w:pPr>
              <w:ind w:left="80"/>
              <w:spacing w:after="0"/>
              <w:rPr>
                <w:sz w:val="20"/>
                <w:szCs w:val="20"/>
                <w:color w:val="auto"/>
              </w:rPr>
            </w:pPr>
            <w:r>
              <w:rPr>
                <w:rFonts w:ascii="Arial" w:cs="Arial" w:eastAsia="Arial" w:hAnsi="Arial"/>
                <w:sz w:val="11"/>
                <w:szCs w:val="11"/>
                <w:b w:val="1"/>
                <w:bCs w:val="1"/>
                <w:color w:val="auto"/>
              </w:rPr>
              <w:t>Nine Months Ended September 30, 2015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7"/>
          </w:tcPr>
          <w:p>
            <w:pPr>
              <w:ind w:left="40"/>
              <w:spacing w:after="0"/>
              <w:rPr>
                <w:sz w:val="20"/>
                <w:szCs w:val="20"/>
                <w:color w:val="auto"/>
              </w:rPr>
            </w:pPr>
            <w:r>
              <w:rPr>
                <w:rFonts w:ascii="Arial" w:cs="Arial" w:eastAsia="Arial" w:hAnsi="Arial"/>
                <w:sz w:val="11"/>
                <w:szCs w:val="11"/>
                <w:b w:val="1"/>
                <w:bCs w:val="1"/>
                <w:color w:val="auto"/>
                <w:w w:val="93"/>
              </w:rPr>
              <w:t>Nine Months Ended September 30, 2014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6"/>
          </w:tcPr>
          <w:p>
            <w:pPr>
              <w:spacing w:after="0" w:line="20" w:lineRule="exact"/>
              <w:rPr>
                <w:sz w:val="1"/>
                <w:szCs w:val="1"/>
                <w:color w:val="auto"/>
              </w:rPr>
            </w:pPr>
          </w:p>
        </w:tc>
        <w:tc>
          <w:tcPr>
            <w:tcW w:w="1060" w:type="dxa"/>
            <w:vAlign w:val="bottom"/>
            <w:tcBorders>
              <w:bottom w:val="single" w:sz="8" w:color="auto"/>
            </w:tcBorders>
            <w:gridSpan w:val="5"/>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340" w:type="dxa"/>
            <w:vAlign w:val="bottom"/>
          </w:tcPr>
          <w:p>
            <w:pPr>
              <w:spacing w:after="0"/>
              <w:rPr>
                <w:sz w:val="21"/>
                <w:szCs w:val="21"/>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1060" w:type="dxa"/>
            <w:vAlign w:val="bottom"/>
            <w:gridSpan w:val="6"/>
          </w:tcPr>
          <w:p>
            <w:pPr>
              <w:ind w:left="40"/>
              <w:spacing w:after="0"/>
              <w:rPr>
                <w:sz w:val="20"/>
                <w:szCs w:val="20"/>
                <w:color w:val="auto"/>
              </w:rPr>
            </w:pPr>
            <w:r>
              <w:rPr>
                <w:rFonts w:ascii="Arial" w:cs="Arial" w:eastAsia="Arial" w:hAnsi="Arial"/>
                <w:sz w:val="11"/>
                <w:szCs w:val="11"/>
                <w:b w:val="1"/>
                <w:bCs w:val="1"/>
                <w:color w:val="auto"/>
              </w:rPr>
              <w:t>GM Financial</w:t>
            </w:r>
          </w:p>
        </w:tc>
        <w:tc>
          <w:tcPr>
            <w:tcW w:w="1060" w:type="dxa"/>
            <w:vAlign w:val="bottom"/>
            <w:gridSpan w:val="5"/>
          </w:tcPr>
          <w:p>
            <w:pPr>
              <w:ind w:left="60"/>
              <w:spacing w:after="0"/>
              <w:rPr>
                <w:sz w:val="20"/>
                <w:szCs w:val="20"/>
                <w:color w:val="auto"/>
              </w:rPr>
            </w:pPr>
            <w:r>
              <w:rPr>
                <w:rFonts w:ascii="Arial" w:cs="Arial" w:eastAsia="Arial" w:hAnsi="Arial"/>
                <w:sz w:val="11"/>
                <w:szCs w:val="11"/>
                <w:b w:val="1"/>
                <w:bCs w:val="1"/>
                <w:color w:val="auto"/>
              </w:rPr>
              <w:t>Eliminations</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Consolidated</w:t>
            </w:r>
          </w:p>
        </w:tc>
        <w:tc>
          <w:tcPr>
            <w:tcW w:w="88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w w:val="95"/>
              </w:rPr>
              <w:t>Automotive</w:t>
            </w:r>
          </w:p>
        </w:tc>
        <w:tc>
          <w:tcPr>
            <w:tcW w:w="12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11420"/>
          </w:cols>
          <w:pgMar w:left="240" w:top="580" w:right="239" w:bottom="1097" w:gutter="0" w:footer="0" w:header="0"/>
        </w:sectPr>
      </w:pPr>
    </w:p>
    <w:p>
      <w:pPr>
        <w:ind w:left="18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net sales and revenue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Costs and expenses</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GM Financial interest, operating and other expenses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Automotive selling, general and administrative expense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Automotive 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Interest income and other non-operating income, net</w:t>
      </w:r>
    </w:p>
    <w:p>
      <w:pPr>
        <w:spacing w:after="0" w:line="132" w:lineRule="exact"/>
        <w:rPr>
          <w:sz w:val="20"/>
          <w:szCs w:val="20"/>
          <w:color w:val="auto"/>
        </w:rPr>
      </w:pPr>
    </w:p>
    <w:p>
      <w:pPr>
        <w:ind w:left="40" w:right="1460"/>
        <w:spacing w:after="0" w:line="318" w:lineRule="auto"/>
        <w:rPr>
          <w:sz w:val="20"/>
          <w:szCs w:val="20"/>
          <w:color w:val="auto"/>
        </w:rPr>
      </w:pPr>
      <w:r>
        <w:rPr>
          <w:rFonts w:ascii="Arial" w:cs="Arial" w:eastAsia="Arial" w:hAnsi="Arial"/>
          <w:sz w:val="14"/>
          <w:szCs w:val="14"/>
          <w:color w:val="auto"/>
        </w:rPr>
        <w:t>Gain on extinguishment of debt Equity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 (benefit)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w:t>
      </w:r>
    </w:p>
    <w:p>
      <w:pPr>
        <w:spacing w:after="0" w:line="179" w:lineRule="exact"/>
        <w:rPr>
          <w:sz w:val="20"/>
          <w:szCs w:val="20"/>
          <w:color w:val="auto"/>
        </w:rPr>
      </w:pPr>
    </w:p>
    <w:p>
      <w:pPr>
        <w:ind w:left="40" w:right="100"/>
        <w:spacing w:after="0" w:line="412" w:lineRule="auto"/>
        <w:rPr>
          <w:sz w:val="20"/>
          <w:szCs w:val="20"/>
          <w:color w:val="auto"/>
        </w:rPr>
      </w:pPr>
      <w:r>
        <w:rPr>
          <w:rFonts w:ascii="Arial" w:cs="Arial" w:eastAsia="Arial" w:hAnsi="Arial"/>
          <w:sz w:val="12"/>
          <w:szCs w:val="12"/>
          <w:color w:val="auto"/>
        </w:rPr>
        <w:t xml:space="preserve">Net (income) loss attributable to noncontrolling interests </w:t>
      </w:r>
      <w:r>
        <w:rPr>
          <w:rFonts w:ascii="Arial" w:cs="Arial" w:eastAsia="Arial" w:hAnsi="Arial"/>
          <w:sz w:val="12"/>
          <w:szCs w:val="12"/>
          <w:b w:val="1"/>
          <w:bCs w:val="1"/>
          <w:color w:val="auto"/>
        </w:rPr>
        <w:t>Net income attributable to stockholders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108,174</w:t>
            </w:r>
          </w:p>
        </w:tc>
        <w:tc>
          <w:tcPr>
            <w:tcW w:w="120" w:type="dxa"/>
            <w:vAlign w:val="bottom"/>
          </w:tcPr>
          <w:p>
            <w:pPr>
              <w:spacing w:after="0"/>
              <w:rPr>
                <w:sz w:val="14"/>
                <w:szCs w:val="14"/>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108,174</w:t>
            </w:r>
          </w:p>
        </w:tc>
        <w:tc>
          <w:tcPr>
            <w:tcW w:w="12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112,776</w:t>
            </w:r>
          </w:p>
        </w:tc>
        <w:tc>
          <w:tcPr>
            <w:tcW w:w="100" w:type="dxa"/>
            <w:vAlign w:val="bottom"/>
          </w:tcPr>
          <w:p>
            <w:pPr>
              <w:spacing w:after="0"/>
              <w:rPr>
                <w:sz w:val="14"/>
                <w:szCs w:val="14"/>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112,776</w:t>
            </w:r>
          </w:p>
        </w:tc>
      </w:tr>
      <w:tr>
        <w:trPr>
          <w:trHeight w:val="278"/>
        </w:trPr>
        <w:tc>
          <w:tcPr>
            <w:tcW w:w="2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4,576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4,561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3,549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3,536</w:t>
            </w:r>
          </w:p>
        </w:tc>
      </w:tr>
      <w:tr>
        <w:trPr>
          <w:trHeight w:val="250"/>
        </w:trPr>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108,174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4,576</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112,735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112,776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3,549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116,312</w:t>
            </w:r>
          </w:p>
        </w:tc>
      </w:tr>
      <w:tr>
        <w:trPr>
          <w:trHeight w:val="526"/>
        </w:trPr>
        <w:tc>
          <w:tcPr>
            <w:tcW w:w="22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95,337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95,329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104,042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104,032</w:t>
            </w:r>
          </w:p>
        </w:tc>
      </w:tr>
      <w:tr>
        <w:trPr>
          <w:trHeight w:val="270"/>
        </w:trPr>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2,854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2,854</w:t>
            </w:r>
          </w:p>
        </w:tc>
      </w:tr>
      <w:tr>
        <w:trPr>
          <w:trHeight w:val="278"/>
        </w:trPr>
        <w:tc>
          <w:tcPr>
            <w:tcW w:w="22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10,376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10,376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9,205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9,205</w:t>
            </w:r>
          </w:p>
        </w:tc>
      </w:tr>
      <w:tr>
        <w:trPr>
          <w:trHeight w:val="250"/>
        </w:trPr>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105,713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109,697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113,247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2,854</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116,091</w:t>
            </w:r>
          </w:p>
        </w:tc>
      </w:tr>
      <w:tr>
        <w:trPr>
          <w:trHeight w:val="243"/>
        </w:trPr>
        <w:tc>
          <w:tcPr>
            <w:tcW w:w="22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3,038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221</w:t>
            </w:r>
          </w:p>
        </w:tc>
      </w:tr>
      <w:tr>
        <w:trPr>
          <w:trHeight w:val="270"/>
        </w:trPr>
        <w:tc>
          <w:tcPr>
            <w:tcW w:w="22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299</w:t>
            </w:r>
          </w:p>
        </w:tc>
      </w:tr>
      <w:tr>
        <w:trPr>
          <w:trHeight w:val="270"/>
        </w:trPr>
        <w:tc>
          <w:tcPr>
            <w:tcW w:w="22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409</w:t>
            </w:r>
          </w:p>
        </w:tc>
      </w:tr>
      <w:tr>
        <w:trPr>
          <w:trHeight w:val="270"/>
        </w:trPr>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w:t>
            </w:r>
          </w:p>
        </w:tc>
      </w:tr>
      <w:tr>
        <w:trPr>
          <w:trHeight w:val="278"/>
        </w:trPr>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1,625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1,625</w:t>
            </w:r>
          </w:p>
        </w:tc>
      </w:tr>
      <w:tr>
        <w:trPr>
          <w:trHeight w:val="243"/>
        </w:trPr>
        <w:tc>
          <w:tcPr>
            <w:tcW w:w="22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3,990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1,958</w:t>
            </w:r>
          </w:p>
        </w:tc>
      </w:tr>
      <w:tr>
        <w:trPr>
          <w:trHeight w:val="278"/>
        </w:trPr>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43"/>
        </w:trPr>
        <w:tc>
          <w:tcPr>
            <w:tcW w:w="22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2,839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3,389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2,009</w:t>
            </w:r>
          </w:p>
        </w:tc>
      </w:tr>
      <w:tr>
        <w:trPr>
          <w:trHeight w:val="278"/>
        </w:trPr>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37"/>
        </w:trPr>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2,871</w:t>
            </w:r>
          </w:p>
        </w:tc>
        <w:tc>
          <w:tcPr>
            <w:tcW w:w="120" w:type="dxa"/>
            <w:vAlign w:val="bottom"/>
          </w:tcPr>
          <w:p>
            <w:pPr>
              <w:spacing w:after="0"/>
              <w:rPr>
                <w:sz w:val="20"/>
                <w:szCs w:val="20"/>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0"/>
                <w:szCs w:val="20"/>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3,421</w:t>
            </w:r>
          </w:p>
        </w:tc>
        <w:tc>
          <w:tcPr>
            <w:tcW w:w="120" w:type="dxa"/>
            <w:vAlign w:val="bottom"/>
          </w:tcPr>
          <w:p>
            <w:pPr>
              <w:spacing w:after="0"/>
              <w:rPr>
                <w:sz w:val="20"/>
                <w:szCs w:val="20"/>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1,474</w:t>
            </w:r>
          </w:p>
        </w:tc>
        <w:tc>
          <w:tcPr>
            <w:tcW w:w="100" w:type="dxa"/>
            <w:vAlign w:val="bottom"/>
          </w:tcPr>
          <w:p>
            <w:pPr>
              <w:spacing w:after="0"/>
              <w:rPr>
                <w:sz w:val="20"/>
                <w:szCs w:val="20"/>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0"/>
                <w:szCs w:val="20"/>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1,962</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-2940685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-2597785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-2245995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-1903095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-1560195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-1217295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-874395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-530860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-187960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140"/>
            <w:col w:w="8080"/>
          </w:cols>
          <w:pgMar w:left="240" w:top="580" w:right="239" w:bottom="109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097"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ASSETS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Assets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securities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Restricted cash and marketable securities</w:t>
      </w:r>
    </w:p>
    <w:p>
      <w:pPr>
        <w:spacing w:after="0" w:line="177" w:lineRule="exact"/>
        <w:rPr>
          <w:sz w:val="20"/>
          <w:szCs w:val="20"/>
          <w:color w:val="auto"/>
        </w:rPr>
      </w:pPr>
    </w:p>
    <w:p>
      <w:pPr>
        <w:ind w:left="140" w:right="1020"/>
        <w:spacing w:after="0" w:line="411" w:lineRule="auto"/>
        <w:rPr>
          <w:sz w:val="20"/>
          <w:szCs w:val="20"/>
          <w:color w:val="auto"/>
        </w:rPr>
      </w:pPr>
      <w:r>
        <w:rPr>
          <w:rFonts w:ascii="Arial" w:cs="Arial" w:eastAsia="Arial" w:hAnsi="Arial"/>
          <w:sz w:val="12"/>
          <w:szCs w:val="12"/>
          <w:color w:val="auto"/>
        </w:rPr>
        <w:t>Accounts and notes receivable, net GM Financial receivables, net</w:t>
      </w:r>
    </w:p>
    <w:p>
      <w:pPr>
        <w:ind w:left="1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Equipment on operating leases,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Assets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Restricted cash and marketable securities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 receivables,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Property,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Goodwill and intangible assets, net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non-current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LIABILITIES AND EQUITY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payable (principally trade)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Short-term debt and current portion of long-term debt</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Accrued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Non-current Liabilities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Postretirement benefits other than pensions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Pensions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liabilities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non-current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Common stock</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Additional paid-in capital</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stockholders’ equity</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Noncontrolling interests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33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Consolidating Balance Sheets</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ind w:left="440"/>
              <w:spacing w:after="0"/>
              <w:rPr>
                <w:sz w:val="20"/>
                <w:szCs w:val="20"/>
                <w:color w:val="auto"/>
              </w:rPr>
            </w:pPr>
            <w:r>
              <w:rPr>
                <w:rFonts w:ascii="Arial" w:cs="Arial" w:eastAsia="Arial" w:hAnsi="Arial"/>
                <w:sz w:val="11"/>
                <w:szCs w:val="11"/>
                <w:b w:val="1"/>
                <w:bCs w:val="1"/>
                <w:color w:val="auto"/>
              </w:rPr>
              <w:t>September 30, 2015</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ind w:left="420"/>
              <w:spacing w:after="0"/>
              <w:rPr>
                <w:sz w:val="20"/>
                <w:szCs w:val="20"/>
                <w:color w:val="auto"/>
              </w:rPr>
            </w:pPr>
            <w:r>
              <w:rPr>
                <w:rFonts w:ascii="Arial" w:cs="Arial" w:eastAsia="Arial" w:hAnsi="Arial"/>
                <w:sz w:val="11"/>
                <w:szCs w:val="11"/>
                <w:b w:val="1"/>
                <w:bCs w:val="1"/>
                <w:color w:val="auto"/>
              </w:rPr>
              <w:t>December 31,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90"/>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13,831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15,433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15,980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2,974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18,954</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8,029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8,029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9,222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9,222</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1,338</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11,120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10,486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9,396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9,078</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17,403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17,217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16,705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16,528</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14,368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14,368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13,642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13,642</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4,596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4,596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3,564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3,564</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8,757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9,208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9,440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9,760</w:t>
            </w:r>
          </w:p>
        </w:tc>
      </w:tr>
      <w:tr>
        <w:trPr>
          <w:trHeight w:val="278"/>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1,485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1,584</w:t>
            </w:r>
          </w:p>
        </w:tc>
      </w:tr>
      <w:tr>
        <w:trPr>
          <w:trHeight w:val="243"/>
        </w:trPr>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62,002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21,834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82,341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62,790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22,163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83,670</w:t>
            </w:r>
          </w:p>
        </w:tc>
      </w:tr>
      <w:tr>
        <w:trPr>
          <w:trHeight w:val="540"/>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935</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17,671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17,671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16,006</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7,894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8,872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8,350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8,350</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29,174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29,381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27,570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27,743</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4,637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1,446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6,083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4,945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6,410</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16,915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16,915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7,060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7,060</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25,051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24,799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25,439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25,414</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2,447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2,573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2,089</w:t>
            </w:r>
          </w:p>
        </w:tc>
      </w:tr>
      <w:tr>
        <w:trPr>
          <w:trHeight w:val="250"/>
        </w:trPr>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69,258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37,858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106,659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68,944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25,698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94,007</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131,260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59,692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189,000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131,734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47,861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177,677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3"/>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25,257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(1,148)</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25,188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22,463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22,529</w:t>
            </w:r>
          </w:p>
        </w:tc>
      </w:tr>
      <w:tr>
        <w:trPr>
          <w:trHeight w:val="540"/>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500</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16,361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16,361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14,488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14,488</w:t>
            </w:r>
          </w:p>
        </w:tc>
      </w:tr>
      <w:tr>
        <w:trPr>
          <w:trHeight w:val="278"/>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29,308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1,241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30,549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27,444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28,184</w:t>
            </w:r>
          </w:p>
        </w:tc>
      </w:tr>
      <w:tr>
        <w:trPr>
          <w:trHeight w:val="243"/>
        </w:trPr>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55,555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18,681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(1,497)</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72,739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51,038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15,945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65,701</w:t>
            </w:r>
          </w:p>
        </w:tc>
      </w:tr>
      <w:tr>
        <w:trPr>
          <w:trHeight w:val="810"/>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8,503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8,503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8,910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8,910</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31,898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31,898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22,943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22,943</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5,959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5,959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6,229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6,229</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21,514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21,618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23,676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23,788</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12,181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1,422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13,148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13,396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14,082</w:t>
            </w:r>
          </w:p>
        </w:tc>
      </w:tr>
      <w:tr>
        <w:trPr>
          <w:trHeight w:val="250"/>
        </w:trPr>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48,157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33,424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81,126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52,211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24,377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75,952</w:t>
            </w:r>
          </w:p>
        </w:tc>
      </w:tr>
      <w:tr>
        <w:trPr>
          <w:trHeight w:val="243"/>
        </w:trPr>
        <w:tc>
          <w:tcPr>
            <w:tcW w:w="1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103,712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52,105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153,865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103,249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40,322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141,653</w:t>
            </w:r>
          </w:p>
        </w:tc>
      </w:tr>
      <w:tr>
        <w:trPr>
          <w:trHeight w:val="540"/>
        </w:trPr>
        <w:tc>
          <w:tcPr>
            <w:tcW w:w="1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16</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27,744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27,744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28,937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28,937</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6,369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8,543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14,912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6,604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7,973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14,577</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(7,078)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(8,034)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(8,073)</w:t>
            </w:r>
          </w:p>
        </w:tc>
      </w:tr>
      <w:tr>
        <w:trPr>
          <w:trHeight w:val="243"/>
        </w:trPr>
        <w:tc>
          <w:tcPr>
            <w:tcW w:w="1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27,051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7,587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34,638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27,918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35,457</w:t>
            </w:r>
          </w:p>
        </w:tc>
      </w:tr>
      <w:tr>
        <w:trPr>
          <w:trHeight w:val="278"/>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567</w:t>
            </w:r>
          </w:p>
        </w:tc>
      </w:tr>
      <w:tr>
        <w:trPr>
          <w:trHeight w:val="250"/>
        </w:trPr>
        <w:tc>
          <w:tcPr>
            <w:tcW w:w="1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27,548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7,587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35,135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28,485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7,539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36,024</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131,260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59,692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(1,952)</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189,000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131,734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47,861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177,677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-8446770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-8094980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-7752080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-7409180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-7065645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-6722745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-6379845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-6036945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-5693410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-5350510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-5007610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-4664710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-4304665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-3961130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-3618230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-3275330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-2932430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-2589530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-2245995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-1903095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-1560195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-1217295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-874395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-530860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-187960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280"/>
            <w:col w:w="8080"/>
          </w:cols>
          <w:pgMar w:left="280" w:top="580" w:right="239" w:bottom="406"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80" w:top="580" w:right="239" w:bottom="406"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w w:val="88"/>
              </w:rPr>
              <w:t>Nine Months Ended September 30, 2015</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jc w:val="right"/>
              <w:ind w:right="28"/>
              <w:spacing w:after="0"/>
              <w:rPr>
                <w:sz w:val="20"/>
                <w:szCs w:val="20"/>
                <w:color w:val="auto"/>
              </w:rPr>
            </w:pPr>
            <w:r>
              <w:rPr>
                <w:rFonts w:ascii="Arial" w:cs="Arial" w:eastAsia="Arial" w:hAnsi="Arial"/>
                <w:sz w:val="13"/>
                <w:szCs w:val="13"/>
                <w:b w:val="1"/>
                <w:bCs w:val="1"/>
                <w:color w:val="auto"/>
                <w:w w:val="90"/>
              </w:rPr>
              <w:t>Nine Months Ended September 30, 2014</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GM Financial</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w w:val="92"/>
              </w:rPr>
              <w:t>Reclassification(a)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87"/>
              </w:rPr>
              <w:t>Consolidated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Reclassification(a)</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6,894</w:t>
            </w: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(5,089)</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rPr>
              <w:t>Available-for-sale marketable securities,</w:t>
            </w:r>
          </w:p>
        </w:tc>
        <w:tc>
          <w:tcPr>
            <w:tcW w:w="1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(6,868)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(6,203)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(6,203)</w:t>
            </w:r>
          </w:p>
        </w:tc>
        <w:tc>
          <w:tcPr>
            <w:tcW w:w="0" w:type="dxa"/>
            <w:vAlign w:val="bottom"/>
          </w:tcPr>
          <w:p>
            <w:pPr>
              <w:spacing w:after="0"/>
              <w:rPr>
                <w:sz w:val="1"/>
                <w:szCs w:val="1"/>
                <w:color w:val="auto"/>
              </w:rPr>
            </w:pPr>
          </w:p>
        </w:tc>
      </w:tr>
      <w:tr>
        <w:trPr>
          <w:trHeight w:val="180"/>
        </w:trPr>
        <w:tc>
          <w:tcPr>
            <w:tcW w:w="2880" w:type="dxa"/>
            <w:vAlign w:val="bottom"/>
          </w:tcPr>
          <w:p>
            <w:pPr>
              <w:ind w:left="340"/>
              <w:spacing w:after="0"/>
              <w:rPr>
                <w:sz w:val="20"/>
                <w:szCs w:val="20"/>
                <w:color w:val="auto"/>
              </w:rPr>
            </w:pPr>
            <w:r>
              <w:rPr>
                <w:rFonts w:ascii="Arial" w:cs="Arial" w:eastAsia="Arial" w:hAnsi="Arial"/>
                <w:sz w:val="14"/>
                <w:szCs w:val="14"/>
                <w:color w:val="auto"/>
              </w:rPr>
              <w:t>acquisitions</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rPr>
              <w:t>Available-for-sale marketable securities,</w:t>
            </w:r>
          </w:p>
        </w:tc>
        <w:tc>
          <w:tcPr>
            <w:tcW w:w="12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7,485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7,485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5,242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5,242</w:t>
            </w:r>
          </w:p>
        </w:tc>
        <w:tc>
          <w:tcPr>
            <w:tcW w:w="0" w:type="dxa"/>
            <w:vAlign w:val="bottom"/>
          </w:tcPr>
          <w:p>
            <w:pPr>
              <w:spacing w:after="0"/>
              <w:rPr>
                <w:sz w:val="1"/>
                <w:szCs w:val="1"/>
                <w:color w:val="auto"/>
              </w:rPr>
            </w:pPr>
          </w:p>
        </w:tc>
      </w:tr>
      <w:tr>
        <w:trPr>
          <w:trHeight w:val="180"/>
        </w:trPr>
        <w:tc>
          <w:tcPr>
            <w:tcW w:w="2880" w:type="dxa"/>
            <w:vAlign w:val="bottom"/>
          </w:tcPr>
          <w:p>
            <w:pPr>
              <w:ind w:left="340"/>
              <w:spacing w:after="0"/>
              <w:rPr>
                <w:sz w:val="20"/>
                <w:szCs w:val="20"/>
                <w:color w:val="auto"/>
              </w:rPr>
            </w:pPr>
            <w:r>
              <w:rPr>
                <w:rFonts w:ascii="Arial" w:cs="Arial" w:eastAsia="Arial" w:hAnsi="Arial"/>
                <w:sz w:val="14"/>
                <w:szCs w:val="14"/>
                <w:color w:val="auto"/>
              </w:rPr>
              <w:t>liquidations</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w w:val="97"/>
              </w:rPr>
              <w:t>Acquisition of companies/investments, net of</w:t>
            </w:r>
          </w:p>
        </w:tc>
        <w:tc>
          <w:tcPr>
            <w:tcW w:w="1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0"/>
        </w:trPr>
        <w:tc>
          <w:tcPr>
            <w:tcW w:w="2880" w:type="dxa"/>
            <w:vAlign w:val="bottom"/>
          </w:tcPr>
          <w:p>
            <w:pPr>
              <w:ind w:left="340"/>
              <w:spacing w:after="0"/>
              <w:rPr>
                <w:sz w:val="20"/>
                <w:szCs w:val="20"/>
                <w:color w:val="auto"/>
              </w:rPr>
            </w:pPr>
            <w:r>
              <w:rPr>
                <w:rFonts w:ascii="Arial" w:cs="Arial" w:eastAsia="Arial" w:hAnsi="Arial"/>
                <w:sz w:val="14"/>
                <w:szCs w:val="14"/>
                <w:color w:val="auto"/>
              </w:rPr>
              <w:t>cash acquired</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business</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units/investments, net of cash disposed</w:t>
            </w: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rPr>
              <w:t>Increase in restricted cash and marketable</w:t>
            </w:r>
          </w:p>
        </w:tc>
        <w:tc>
          <w:tcPr>
            <w:tcW w:w="1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80"/>
        </w:trPr>
        <w:tc>
          <w:tcPr>
            <w:tcW w:w="2880" w:type="dxa"/>
            <w:vAlign w:val="bottom"/>
          </w:tcPr>
          <w:p>
            <w:pPr>
              <w:ind w:left="34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Decrease in restricted cash and marketable</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Purchases of finance receivables</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(13,576)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(11,658)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(10,824)</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Principal collections and recoveries on finance</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8,718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8,124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8,124</w:t>
            </w: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receivables</w:t>
            </w: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(11,036)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(3,169)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(3,169)</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Proceeds from termination of leased vehicles</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5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(11,425)</w:t>
            </w: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rPr>
              <w:t>Proceeds from issuance of debt (original</w:t>
            </w:r>
          </w:p>
        </w:tc>
        <w:tc>
          <w:tcPr>
            <w:tcW w:w="12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24,654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24,816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21,250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21,848</w:t>
            </w:r>
          </w:p>
        </w:tc>
        <w:tc>
          <w:tcPr>
            <w:tcW w:w="0" w:type="dxa"/>
            <w:vAlign w:val="bottom"/>
          </w:tcPr>
          <w:p>
            <w:pPr>
              <w:spacing w:after="0"/>
              <w:rPr>
                <w:sz w:val="1"/>
                <w:szCs w:val="1"/>
                <w:color w:val="auto"/>
              </w:rPr>
            </w:pPr>
          </w:p>
        </w:tc>
      </w:tr>
      <w:tr>
        <w:trPr>
          <w:trHeight w:val="180"/>
        </w:trPr>
        <w:tc>
          <w:tcPr>
            <w:tcW w:w="2880" w:type="dxa"/>
            <w:vAlign w:val="bottom"/>
          </w:tcPr>
          <w:p>
            <w:pPr>
              <w:ind w:left="340"/>
              <w:spacing w:after="0"/>
              <w:rPr>
                <w:sz w:val="20"/>
                <w:szCs w:val="20"/>
                <w:color w:val="auto"/>
              </w:rPr>
            </w:pPr>
            <w:r>
              <w:rPr>
                <w:rFonts w:ascii="Arial" w:cs="Arial" w:eastAsia="Arial" w:hAnsi="Arial"/>
                <w:sz w:val="14"/>
                <w:szCs w:val="14"/>
                <w:color w:val="auto"/>
              </w:rPr>
              <w:t>maturities greater than three months)</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Payments on debt (original maturities greater</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(12,098)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(14,907)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(15,526)</w:t>
            </w: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than three months)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Payments to purchase stock</w:t>
            </w:r>
          </w:p>
        </w:tc>
        <w:tc>
          <w:tcPr>
            <w:tcW w:w="12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(2,888)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financing activities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Net cash provided by (used in) financing</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12,971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5,323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activities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880" w:type="dxa"/>
            <w:vAlign w:val="bottom"/>
          </w:tcPr>
          <w:p>
            <w:pPr>
              <w:ind w:left="180"/>
              <w:spacing w:after="0"/>
              <w:rPr>
                <w:sz w:val="20"/>
                <w:szCs w:val="20"/>
                <w:color w:val="auto"/>
              </w:rPr>
            </w:pPr>
            <w:r>
              <w:rPr>
                <w:rFonts w:ascii="Arial" w:cs="Arial" w:eastAsia="Arial" w:hAnsi="Arial"/>
                <w:sz w:val="14"/>
                <w:szCs w:val="14"/>
                <w:color w:val="auto"/>
                <w:w w:val="95"/>
              </w:rPr>
              <w:t>Effect of exchange rate changes on cash and</w:t>
            </w:r>
          </w:p>
        </w:tc>
        <w:tc>
          <w:tcPr>
            <w:tcW w:w="1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(1,001)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80"/>
        </w:trPr>
        <w:tc>
          <w:tcPr>
            <w:tcW w:w="2880" w:type="dxa"/>
            <w:vAlign w:val="bottom"/>
          </w:tcPr>
          <w:p>
            <w:pPr>
              <w:ind w:left="340"/>
              <w:spacing w:after="0"/>
              <w:rPr>
                <w:sz w:val="20"/>
                <w:szCs w:val="20"/>
                <w:color w:val="auto"/>
              </w:rPr>
            </w:pPr>
            <w:r>
              <w:rPr>
                <w:rFonts w:ascii="Arial" w:cs="Arial" w:eastAsia="Arial" w:hAnsi="Arial"/>
                <w:sz w:val="14"/>
                <w:szCs w:val="14"/>
                <w:color w:val="auto"/>
              </w:rPr>
              <w:t>cash equivalents</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transactions with Automotive/GM</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Financial</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880" w:type="dxa"/>
            <w:vAlign w:val="bottom"/>
          </w:tcPr>
          <w:p>
            <w:pPr>
              <w:ind w:left="180"/>
              <w:spacing w:after="0" w:line="145" w:lineRule="exact"/>
              <w:rPr>
                <w:sz w:val="20"/>
                <w:szCs w:val="20"/>
                <w:color w:val="auto"/>
              </w:rPr>
            </w:pPr>
            <w:r>
              <w:rPr>
                <w:rFonts w:ascii="Arial" w:cs="Arial" w:eastAsia="Arial" w:hAnsi="Arial"/>
                <w:sz w:val="14"/>
                <w:szCs w:val="14"/>
                <w:color w:val="auto"/>
              </w:rPr>
              <w:t>Net increase (decrease) in cash and cash</w:t>
            </w:r>
          </w:p>
        </w:tc>
        <w:tc>
          <w:tcPr>
            <w:tcW w:w="12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(3,521)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180"/>
        </w:trPr>
        <w:tc>
          <w:tcPr>
            <w:tcW w:w="2880" w:type="dxa"/>
            <w:vAlign w:val="bottom"/>
          </w:tcPr>
          <w:p>
            <w:pPr>
              <w:ind w:left="340"/>
              <w:spacing w:after="0"/>
              <w:rPr>
                <w:sz w:val="20"/>
                <w:szCs w:val="20"/>
                <w:color w:val="auto"/>
              </w:rPr>
            </w:pPr>
            <w:r>
              <w:rPr>
                <w:rFonts w:ascii="Arial" w:cs="Arial" w:eastAsia="Arial" w:hAnsi="Arial"/>
                <w:sz w:val="14"/>
                <w:szCs w:val="14"/>
                <w:color w:val="auto"/>
              </w:rPr>
              <w:t>equivalents</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Cash and cash equivalents at beginning of period</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2,974</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18,954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18,947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20,021</w:t>
            </w:r>
          </w:p>
        </w:tc>
        <w:tc>
          <w:tcPr>
            <w:tcW w:w="0" w:type="dxa"/>
            <w:vAlign w:val="bottom"/>
          </w:tcPr>
          <w:p>
            <w:pPr>
              <w:spacing w:after="0"/>
              <w:rPr>
                <w:sz w:val="1"/>
                <w:szCs w:val="1"/>
                <w:color w:val="auto"/>
              </w:rPr>
            </w:pPr>
          </w:p>
        </w:tc>
      </w:tr>
      <w:tr>
        <w:trPr>
          <w:trHeight w:val="242"/>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w w:val="97"/>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13,831</w:t>
            </w:r>
          </w:p>
        </w:tc>
        <w:tc>
          <w:tcPr>
            <w:tcW w:w="12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21"/>
                <w:szCs w:val="21"/>
                <w:color w:val="auto"/>
              </w:rPr>
            </w:pPr>
          </w:p>
        </w:tc>
        <w:tc>
          <w:tcPr>
            <w:tcW w:w="4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16,543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1,517</w:t>
            </w:r>
          </w:p>
        </w:tc>
        <w:tc>
          <w:tcPr>
            <w:tcW w:w="100" w:type="dxa"/>
            <w:vAlign w:val="bottom"/>
          </w:tcPr>
          <w:p>
            <w:pPr>
              <w:spacing w:after="0"/>
              <w:rPr>
                <w:sz w:val="21"/>
                <w:szCs w:val="21"/>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18,060</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4"/>
                <w:szCs w:val="14"/>
                <w:color w:val="auto"/>
              </w:rPr>
              <w:t>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Reclassification of purchases/collections of wholesale finance receivables resulting from vehicles sold by GM to dealers that have arranged their inventory floor plan financing through GM Financial.</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2019-12-08T22:38:10Z</dcterms:created>
  <dcterms:modified xsi:type="dcterms:W3CDTF">2019-12-08T22:38:10Z</dcterms:modified>
</cp:coreProperties>
</file>