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September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001-34960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20"/>
          </w:cols>
          <w:pgMar w:left="240" w:top="314" w:right="639" w:bottom="1440" w:gutter="0" w:footer="0" w:header="0"/>
        </w:sect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40"/>
          </w:cols>
          <w:pgMar w:left="240" w:top="314" w:right="63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jc w:val="right"/>
        <w:ind w:right="35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Sales Release and Charts Dated September 1, 2011</w:t>
      </w:r>
    </w:p>
    <w:p>
      <w:pPr>
        <w:sectPr>
          <w:pgSz w:w="11900" w:h="16838" w:orient="portrait"/>
          <w:cols w:equalWidth="0" w:num="1">
            <w:col w:w="10219"/>
          </w:cols>
          <w:pgMar w:left="240" w:top="27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September 1, 2011, General Motors Company (GM) issued a news release announcing August sales. The release and charts are attached as Exhibit 99.1.</w:t>
      </w:r>
    </w:p>
    <w:p>
      <w:pPr>
        <w:spacing w:after="0" w:line="36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EXHIBIT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2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1"/>
              </w:rPr>
              <w:t>Description</w:t>
            </w:r>
          </w:p>
        </w:tc>
        <w:tc>
          <w:tcPr>
            <w:tcW w:w="364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Method of Filing</w:t>
            </w:r>
          </w:p>
        </w:tc>
        <w:tc>
          <w:tcPr>
            <w:tcW w:w="420" w:type="dxa"/>
            <w:vAlign w:val="bottom"/>
          </w:tcPr>
          <w:p>
            <w:pPr>
              <w:spacing w:after="0"/>
              <w:rPr>
                <w:sz w:val="14"/>
                <w:szCs w:val="14"/>
                <w:color w:val="auto"/>
              </w:rPr>
            </w:pPr>
          </w:p>
        </w:tc>
      </w:tr>
      <w:tr>
        <w:trPr>
          <w:trHeight w:val="309"/>
        </w:trPr>
        <w:tc>
          <w:tcPr>
            <w:tcW w:w="25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6580" w:type="dxa"/>
            <w:vAlign w:val="bottom"/>
            <w:gridSpan w:val="3"/>
          </w:tcPr>
          <w:p>
            <w:pPr>
              <w:ind w:left="1700"/>
              <w:spacing w:after="0"/>
              <w:rPr>
                <w:sz w:val="20"/>
                <w:szCs w:val="20"/>
                <w:color w:val="auto"/>
              </w:rPr>
            </w:pPr>
            <w:r>
              <w:rPr>
                <w:rFonts w:ascii="Arial" w:cs="Arial" w:eastAsia="Arial" w:hAnsi="Arial"/>
                <w:sz w:val="18"/>
                <w:szCs w:val="18"/>
                <w:color w:val="auto"/>
              </w:rPr>
              <w:t>Sales Release and Charts</w:t>
            </w:r>
          </w:p>
        </w:tc>
        <w:tc>
          <w:tcPr>
            <w:tcW w:w="1380" w:type="dxa"/>
            <w:vAlign w:val="bottom"/>
            <w:gridSpan w:val="2"/>
          </w:tcPr>
          <w:p>
            <w:pPr>
              <w:spacing w:after="0"/>
              <w:rPr>
                <w:sz w:val="20"/>
                <w:szCs w:val="20"/>
                <w:color w:val="auto"/>
              </w:rPr>
            </w:pPr>
            <w:r>
              <w:rPr>
                <w:rFonts w:ascii="Arial" w:cs="Arial" w:eastAsia="Arial" w:hAnsi="Arial"/>
                <w:sz w:val="18"/>
                <w:szCs w:val="18"/>
                <w:color w:val="auto"/>
                <w:w w:val="88"/>
              </w:rPr>
              <w:t>Attached as Exhibit</w:t>
            </w:r>
          </w:p>
        </w:tc>
      </w:tr>
      <w:tr>
        <w:trPr>
          <w:trHeight w:val="222"/>
        </w:trPr>
        <w:tc>
          <w:tcPr>
            <w:tcW w:w="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gridSpan w:val="3"/>
          </w:tcPr>
          <w:p>
            <w:pPr>
              <w:ind w:left="1700"/>
              <w:spacing w:after="0"/>
              <w:rPr>
                <w:sz w:val="20"/>
                <w:szCs w:val="20"/>
                <w:color w:val="auto"/>
              </w:rPr>
            </w:pPr>
            <w:r>
              <w:rPr>
                <w:rFonts w:ascii="Arial" w:cs="Arial" w:eastAsia="Arial" w:hAnsi="Arial"/>
                <w:sz w:val="18"/>
                <w:szCs w:val="18"/>
                <w:color w:val="auto"/>
              </w:rPr>
              <w:t>Dated September 1, 2011</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0980"/>
          </w:cols>
          <w:pgMar w:left="240" w:top="274" w:right="67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 September 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000"/>
          </w:cols>
          <w:pgMar w:left="240" w:top="27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118110</wp:posOffset>
            </wp:positionV>
            <wp:extent cx="2573020"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302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For Release: Sept. 1, 2011, 10 a.m. EDT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GM’s U.S. Sales Up 18 Percent in August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Double-digit retail sales increases for all four GM Brands</w:t>
      </w:r>
    </w:p>
    <w:p>
      <w:pPr>
        <w:spacing w:after="0" w:line="165"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General Motors Co. (NYSE: GM) today reported total sales of 218,479 vehicles in August, an 18 percent increase compared with August 2010.</w:t>
      </w:r>
    </w:p>
    <w:p>
      <w:pPr>
        <w:spacing w:after="0" w:line="20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Retail deliveries were up 22 percent compared with the same month a year ago and accounted for 74 percent of GM sales. Deliveries to fleet customers increased 8 percent.</w:t>
      </w:r>
    </w:p>
    <w:p>
      <w:pPr>
        <w:spacing w:after="0" w:line="132"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“Our balanced portfolio of trucks and fuel-efficient vehicles like the Chevrolet Cruze, Chevrolet Equinox and GMC Terrain are helping GM continue to gain market share, which has now increased in seven of the past eight months,” said Don Johnson, vice president, U.S. Sales Operations. “We’re carrying good momentum and we’re cautiously optimistic that we’ll see U.S. economic growth improve in the months ahead.”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 August, year-over-year passenger car sales increased 18 percent, crossover sales increased 17 percent and truck sales increased 18 percent.</w:t>
      </w:r>
    </w:p>
    <w:p>
      <w:pPr>
        <w:spacing w:after="0" w:line="107"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Chevrolet</w:t>
      </w:r>
      <w:r>
        <w:rPr>
          <w:rFonts w:ascii="Arial" w:cs="Arial" w:eastAsia="Arial" w:hAnsi="Arial"/>
          <w:sz w:val="18"/>
          <w:szCs w:val="18"/>
          <w:color w:val="auto"/>
        </w:rPr>
        <w:t>: Cruze sales surpassed 20,000 for the fifth month in a row; Equinox sales rose 58 percent compared with August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GMC</w:t>
      </w:r>
      <w:r>
        <w:rPr>
          <w:rFonts w:ascii="Arial" w:cs="Arial" w:eastAsia="Arial" w:hAnsi="Arial"/>
          <w:sz w:val="18"/>
          <w:szCs w:val="18"/>
          <w:color w:val="auto"/>
        </w:rPr>
        <w:t>: Terrain sales were up 88 percent; Acadia was up 54 percent compared with August 2010.</w:t>
      </w:r>
    </w:p>
    <w:p>
      <w:pPr>
        <w:spacing w:after="0" w:line="90" w:lineRule="exact"/>
        <w:rPr>
          <w:rFonts w:ascii="Arial" w:cs="Arial" w:eastAsia="Arial" w:hAnsi="Arial"/>
          <w:sz w:val="18"/>
          <w:szCs w:val="18"/>
          <w:color w:val="auto"/>
        </w:rPr>
      </w:pPr>
    </w:p>
    <w:p>
      <w:pPr>
        <w:ind w:left="900" w:right="12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Cadillac</w:t>
      </w:r>
      <w:r>
        <w:rPr>
          <w:rFonts w:ascii="Arial" w:cs="Arial" w:eastAsia="Arial" w:hAnsi="Arial"/>
          <w:sz w:val="18"/>
          <w:szCs w:val="18"/>
          <w:color w:val="auto"/>
        </w:rPr>
        <w:t>: Combined sales of the Cadillac CTS sedan, coupe and wagon increased 39 percent compared with August 2010. Cadillac reduced its fleet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by 51 percent.</w:t>
      </w:r>
    </w:p>
    <w:p>
      <w:pPr>
        <w:spacing w:after="0" w:line="38" w:lineRule="exact"/>
        <w:rPr>
          <w:rFonts w:ascii="Arial" w:cs="Arial" w:eastAsia="Arial" w:hAnsi="Arial"/>
          <w:sz w:val="18"/>
          <w:szCs w:val="18"/>
          <w:color w:val="auto"/>
        </w:rPr>
      </w:pPr>
    </w:p>
    <w:p>
      <w:pPr>
        <w:ind w:left="900" w:right="52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Buick</w:t>
      </w:r>
      <w:r>
        <w:rPr>
          <w:rFonts w:ascii="Arial" w:cs="Arial" w:eastAsia="Arial" w:hAnsi="Arial"/>
          <w:sz w:val="18"/>
          <w:szCs w:val="18"/>
          <w:color w:val="auto"/>
        </w:rPr>
        <w:t>: August was the brand’s 23</w:t>
      </w:r>
      <w:r>
        <w:rPr>
          <w:rFonts w:ascii="Arial" w:cs="Arial" w:eastAsia="Arial" w:hAnsi="Arial"/>
          <w:sz w:val="11"/>
          <w:szCs w:val="11"/>
          <w:color w:val="auto"/>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month of year-over-year sales gains, and the Regal had its best month since launch,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doubling sales.</w:t>
      </w:r>
    </w:p>
    <w:p>
      <w:pPr>
        <w:spacing w:after="0" w:line="126" w:lineRule="exact"/>
        <w:rPr>
          <w:sz w:val="20"/>
          <w:szCs w:val="20"/>
          <w:color w:val="auto"/>
        </w:rPr>
      </w:pPr>
    </w:p>
    <w:p>
      <w:pPr>
        <w:jc w:val="both"/>
        <w:ind w:right="260"/>
        <w:spacing w:after="0" w:line="332" w:lineRule="auto"/>
        <w:rPr>
          <w:sz w:val="20"/>
          <w:szCs w:val="20"/>
          <w:color w:val="auto"/>
        </w:rPr>
      </w:pPr>
      <w:r>
        <w:rPr>
          <w:rFonts w:ascii="Arial" w:cs="Arial" w:eastAsia="Arial" w:hAnsi="Arial"/>
          <w:sz w:val="16"/>
          <w:szCs w:val="16"/>
          <w:color w:val="auto"/>
        </w:rPr>
        <w:t>Month-end dealer inventory in the United States was 556,884 units, including 212,520 full-size pickup trucks. GM is on track to meet its target of ending 2011 with a full-size pickup inventory of about 200,000 units, thanks to improved sales, which were up 10 percent compared with July, and production adjustments.</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GM is closely monitoring consumer sentiment and other economic indicators but the company continues to expect that the full-year seasonally-adjusted annual rate (SAAR) for U.S. vehicle sales will be in the low end of our 13.0 million – 13.5 million unit range.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23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823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i w:val="1"/>
                <w:iCs w:val="1"/>
                <w:color w:val="auto"/>
                <w:w w:val="84"/>
              </w:rPr>
              <w:t>Aug. 2011</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i w:val="1"/>
                <w:iCs w:val="1"/>
                <w:color w:val="auto"/>
                <w:w w:val="87"/>
              </w:rPr>
              <w:t>CYTD Total</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i w:val="1"/>
                <w:iCs w:val="1"/>
                <w:color w:val="auto"/>
                <w:w w:val="89"/>
              </w:rPr>
              <w:t>CYTD Retail</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60" w:type="dxa"/>
            <w:vAlign w:val="bottom"/>
            <w:gridSpan w:val="2"/>
          </w:tcPr>
          <w:p>
            <w:pPr>
              <w:ind w:left="40"/>
              <w:spacing w:after="0" w:line="149" w:lineRule="exact"/>
              <w:rPr>
                <w:sz w:val="20"/>
                <w:szCs w:val="20"/>
                <w:color w:val="auto"/>
              </w:rPr>
            </w:pPr>
            <w:r>
              <w:rPr>
                <w:rFonts w:ascii="Arial" w:cs="Arial" w:eastAsia="Arial" w:hAnsi="Arial"/>
                <w:sz w:val="14"/>
                <w:szCs w:val="14"/>
                <w:b w:val="1"/>
                <w:bCs w:val="1"/>
                <w:i w:val="1"/>
                <w:iCs w:val="1"/>
                <w:color w:val="auto"/>
              </w:rPr>
              <w:t>Aug. 2011</w:t>
            </w: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i w:val="1"/>
                <w:iCs w:val="1"/>
                <w:color w:val="auto"/>
                <w:w w:val="83"/>
              </w:rPr>
              <w:t>Total</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i w:val="1"/>
                <w:iCs w:val="1"/>
                <w:color w:val="auto"/>
                <w:w w:val="83"/>
              </w:rPr>
              <w:t>Retail Sales</w:t>
            </w: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i w:val="1"/>
                <w:iCs w:val="1"/>
                <w:color w:val="auto"/>
                <w:w w:val="87"/>
              </w:rPr>
              <w:t>CYTD Total</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0" w:type="dxa"/>
            <w:vAlign w:val="bottom"/>
          </w:tcPr>
          <w:p>
            <w:pPr>
              <w:spacing w:after="0"/>
              <w:rPr>
                <w:sz w:val="1"/>
                <w:szCs w:val="1"/>
                <w:color w:val="auto"/>
              </w:rPr>
            </w:pPr>
          </w:p>
        </w:tc>
      </w:tr>
      <w:tr>
        <w:trPr>
          <w:trHeight w:val="149"/>
        </w:trPr>
        <w:tc>
          <w:tcPr>
            <w:tcW w:w="9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8"/>
              </w:rPr>
              <w:t>Sales Highlights</w:t>
            </w:r>
          </w:p>
        </w:tc>
        <w:tc>
          <w:tcPr>
            <w:tcW w:w="374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i w:val="1"/>
                <w:iCs w:val="1"/>
                <w:color w:val="auto"/>
              </w:rPr>
              <w:t>Total Sales</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i w:val="1"/>
                <w:iCs w:val="1"/>
                <w:color w:val="auto"/>
                <w:w w:val="82"/>
              </w:rPr>
              <w:t>Change vs.</w:t>
            </w: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i w:val="1"/>
                <w:iCs w:val="1"/>
                <w:color w:val="auto"/>
                <w:w w:val="80"/>
              </w:rPr>
              <w:t>vs. Aug.</w:t>
            </w: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i w:val="1"/>
                <w:iCs w:val="1"/>
                <w:color w:val="auto"/>
                <w:w w:val="82"/>
              </w:rPr>
              <w:t>Change vs.</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2"/>
              </w:rPr>
              <w:t>Change vs.</w:t>
            </w:r>
          </w:p>
        </w:tc>
        <w:tc>
          <w:tcPr>
            <w:tcW w:w="0" w:type="dxa"/>
            <w:vAlign w:val="bottom"/>
          </w:tcPr>
          <w:p>
            <w:pPr>
              <w:spacing w:after="0"/>
              <w:rPr>
                <w:sz w:val="1"/>
                <w:szCs w:val="1"/>
                <w:color w:val="auto"/>
              </w:rPr>
            </w:pPr>
          </w:p>
        </w:tc>
      </w:tr>
      <w:tr>
        <w:trPr>
          <w:trHeight w:val="151"/>
        </w:trPr>
        <w:tc>
          <w:tcPr>
            <w:tcW w:w="980" w:type="dxa"/>
            <w:vAlign w:val="bottom"/>
            <w:tcBorders>
              <w:bottom w:val="single" w:sz="8" w:color="auto"/>
            </w:tcBorders>
            <w:vMerge w:val="continue"/>
          </w:tcPr>
          <w:p>
            <w:pPr>
              <w:spacing w:after="0"/>
              <w:rPr>
                <w:sz w:val="12"/>
                <w:szCs w:val="12"/>
                <w:color w:val="auto"/>
              </w:rPr>
            </w:pPr>
          </w:p>
        </w:tc>
        <w:tc>
          <w:tcPr>
            <w:tcW w:w="3740" w:type="dxa"/>
            <w:vAlign w:val="bottom"/>
          </w:tcPr>
          <w:p>
            <w:pPr>
              <w:spacing w:after="0"/>
              <w:rPr>
                <w:sz w:val="12"/>
                <w:szCs w:val="12"/>
                <w:color w:val="auto"/>
              </w:rPr>
            </w:pPr>
          </w:p>
        </w:tc>
        <w:tc>
          <w:tcPr>
            <w:tcW w:w="1060" w:type="dxa"/>
            <w:vAlign w:val="bottom"/>
            <w:gridSpan w:val="2"/>
          </w:tcPr>
          <w:p>
            <w:pPr>
              <w:ind w:left="60"/>
              <w:spacing w:after="0" w:line="146" w:lineRule="exact"/>
              <w:rPr>
                <w:sz w:val="20"/>
                <w:szCs w:val="20"/>
                <w:color w:val="auto"/>
              </w:rPr>
            </w:pPr>
            <w:r>
              <w:rPr>
                <w:rFonts w:ascii="Arial" w:cs="Arial" w:eastAsia="Arial" w:hAnsi="Arial"/>
                <w:sz w:val="14"/>
                <w:szCs w:val="14"/>
                <w:b w:val="1"/>
                <w:bCs w:val="1"/>
                <w:i w:val="1"/>
                <w:iCs w:val="1"/>
                <w:color w:val="auto"/>
              </w:rPr>
              <w:t>(vehicles)</w:t>
            </w:r>
          </w:p>
        </w:tc>
        <w:tc>
          <w:tcPr>
            <w:tcW w:w="1140" w:type="dxa"/>
            <w:vAlign w:val="bottom"/>
            <w:gridSpan w:val="2"/>
          </w:tcPr>
          <w:p>
            <w:pPr>
              <w:jc w:val="center"/>
              <w:ind w:right="520"/>
              <w:spacing w:after="0" w:line="146" w:lineRule="exact"/>
              <w:rPr>
                <w:sz w:val="20"/>
                <w:szCs w:val="20"/>
                <w:color w:val="auto"/>
              </w:rPr>
            </w:pPr>
            <w:r>
              <w:rPr>
                <w:rFonts w:ascii="Arial" w:cs="Arial" w:eastAsia="Arial" w:hAnsi="Arial"/>
                <w:sz w:val="14"/>
                <w:szCs w:val="14"/>
                <w:b w:val="1"/>
                <w:bCs w:val="1"/>
                <w:i w:val="1"/>
                <w:iCs w:val="1"/>
                <w:color w:val="auto"/>
                <w:w w:val="87"/>
              </w:rPr>
              <w:t>Aug. 2010</w:t>
            </w:r>
          </w:p>
        </w:tc>
        <w:tc>
          <w:tcPr>
            <w:tcW w:w="6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2010</w:t>
            </w:r>
          </w:p>
        </w:tc>
        <w:tc>
          <w:tcPr>
            <w:tcW w:w="540" w:type="dxa"/>
            <w:vAlign w:val="bottom"/>
          </w:tcPr>
          <w:p>
            <w:pPr>
              <w:spacing w:after="0"/>
              <w:rPr>
                <w:sz w:val="12"/>
                <w:szCs w:val="12"/>
                <w:color w:val="auto"/>
              </w:rPr>
            </w:pPr>
          </w:p>
        </w:tc>
        <w:tc>
          <w:tcPr>
            <w:tcW w:w="1160" w:type="dxa"/>
            <w:vAlign w:val="bottom"/>
            <w:gridSpan w:val="2"/>
          </w:tcPr>
          <w:p>
            <w:pPr>
              <w:jc w:val="center"/>
              <w:ind w:right="420"/>
              <w:spacing w:after="0" w:line="146" w:lineRule="exact"/>
              <w:rPr>
                <w:sz w:val="20"/>
                <w:szCs w:val="20"/>
                <w:color w:val="auto"/>
              </w:rPr>
            </w:pPr>
            <w:r>
              <w:rPr>
                <w:rFonts w:ascii="Arial" w:cs="Arial" w:eastAsia="Arial" w:hAnsi="Arial"/>
                <w:sz w:val="14"/>
                <w:szCs w:val="14"/>
                <w:b w:val="1"/>
                <w:bCs w:val="1"/>
                <w:i w:val="1"/>
                <w:iCs w:val="1"/>
                <w:color w:val="auto"/>
                <w:w w:val="83"/>
              </w:rPr>
              <w:t>(vehicles)</w:t>
            </w:r>
          </w:p>
        </w:tc>
        <w:tc>
          <w:tcPr>
            <w:tcW w:w="68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2010</w:t>
            </w:r>
          </w:p>
        </w:tc>
        <w:tc>
          <w:tcPr>
            <w:tcW w:w="52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vMerge w:val="restart"/>
            <w:shd w:val="clear" w:color="auto" w:fill="CCEEFF"/>
          </w:tcPr>
          <w:p>
            <w:pPr>
              <w:spacing w:after="0"/>
              <w:rPr>
                <w:sz w:val="20"/>
                <w:szCs w:val="20"/>
                <w:color w:val="auto"/>
              </w:rPr>
            </w:pPr>
            <w:r>
              <w:rPr>
                <w:rFonts w:ascii="Arial" w:cs="Arial" w:eastAsia="Arial" w:hAnsi="Arial"/>
                <w:sz w:val="18"/>
                <w:szCs w:val="18"/>
                <w:i w:val="1"/>
                <w:iCs w:val="1"/>
                <w:color w:val="auto"/>
              </w:rPr>
              <w:t>Chevrolet</w:t>
            </w:r>
          </w:p>
        </w:tc>
        <w:tc>
          <w:tcPr>
            <w:tcW w:w="3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vMerge w:val="continue"/>
            <w:shd w:val="clear" w:color="auto" w:fill="CCEEFF"/>
          </w:tcPr>
          <w:p>
            <w:pPr>
              <w:spacing w:after="0"/>
              <w:rPr>
                <w:sz w:val="17"/>
                <w:szCs w:val="17"/>
                <w:color w:val="auto"/>
              </w:rPr>
            </w:pPr>
          </w:p>
        </w:tc>
        <w:tc>
          <w:tcPr>
            <w:tcW w:w="37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152,779</w:t>
            </w:r>
          </w:p>
        </w:tc>
        <w:tc>
          <w:tcPr>
            <w:tcW w:w="42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16%</w:t>
            </w:r>
          </w:p>
        </w:tc>
        <w:tc>
          <w:tcPr>
            <w:tcW w:w="120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1,206,332</w:t>
            </w:r>
          </w:p>
        </w:tc>
        <w:tc>
          <w:tcPr>
            <w:tcW w:w="42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i w:val="1"/>
                <w:iCs w:val="1"/>
                <w:color w:val="auto"/>
              </w:rPr>
              <w:t>GMC</w:t>
            </w:r>
          </w:p>
        </w:tc>
        <w:tc>
          <w:tcPr>
            <w:tcW w:w="4800" w:type="dxa"/>
            <w:vAlign w:val="bottom"/>
            <w:gridSpan w:val="3"/>
          </w:tcPr>
          <w:p>
            <w:pPr>
              <w:jc w:val="right"/>
              <w:ind w:right="420"/>
              <w:spacing w:after="0"/>
              <w:rPr>
                <w:sz w:val="20"/>
                <w:szCs w:val="20"/>
                <w:color w:val="auto"/>
              </w:rPr>
            </w:pPr>
            <w:r>
              <w:rPr>
                <w:rFonts w:ascii="Arial" w:cs="Arial" w:eastAsia="Arial" w:hAnsi="Arial"/>
                <w:sz w:val="18"/>
                <w:szCs w:val="18"/>
                <w:color w:val="auto"/>
              </w:rPr>
              <w:t>36,471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740" w:type="dxa"/>
            <w:vAlign w:val="bottom"/>
          </w:tcPr>
          <w:p>
            <w:pPr>
              <w:jc w:val="right"/>
              <w:spacing w:after="0"/>
              <w:rPr>
                <w:sz w:val="20"/>
                <w:szCs w:val="20"/>
                <w:color w:val="auto"/>
              </w:rPr>
            </w:pPr>
            <w:r>
              <w:rPr>
                <w:rFonts w:ascii="Arial" w:cs="Arial" w:eastAsia="Arial" w:hAnsi="Arial"/>
                <w:sz w:val="18"/>
                <w:szCs w:val="18"/>
                <w:color w:val="auto"/>
              </w:rPr>
              <w:t>261,753</w:t>
            </w:r>
          </w:p>
        </w:tc>
        <w:tc>
          <w:tcPr>
            <w:tcW w:w="4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Buick</w:t>
            </w:r>
          </w:p>
        </w:tc>
        <w:tc>
          <w:tcPr>
            <w:tcW w:w="4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16,021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126,493</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i w:val="1"/>
                <w:iCs w:val="1"/>
                <w:color w:val="auto"/>
              </w:rPr>
              <w:t>Cadillac</w:t>
            </w:r>
          </w:p>
        </w:tc>
        <w:tc>
          <w:tcPr>
            <w:tcW w:w="4800" w:type="dxa"/>
            <w:vAlign w:val="bottom"/>
            <w:gridSpan w:val="3"/>
          </w:tcPr>
          <w:p>
            <w:pPr>
              <w:jc w:val="right"/>
              <w:ind w:right="420"/>
              <w:spacing w:after="0"/>
              <w:rPr>
                <w:sz w:val="20"/>
                <w:szCs w:val="20"/>
                <w:color w:val="auto"/>
              </w:rPr>
            </w:pPr>
            <w:r>
              <w:rPr>
                <w:rFonts w:ascii="Arial" w:cs="Arial" w:eastAsia="Arial" w:hAnsi="Arial"/>
                <w:sz w:val="18"/>
                <w:szCs w:val="18"/>
                <w:color w:val="auto"/>
              </w:rPr>
              <w:t>13,208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740" w:type="dxa"/>
            <w:vAlign w:val="bottom"/>
          </w:tcPr>
          <w:p>
            <w:pPr>
              <w:jc w:val="right"/>
              <w:spacing w:after="0"/>
              <w:rPr>
                <w:sz w:val="20"/>
                <w:szCs w:val="20"/>
                <w:color w:val="auto"/>
              </w:rPr>
            </w:pPr>
            <w:r>
              <w:rPr>
                <w:rFonts w:ascii="Arial" w:cs="Arial" w:eastAsia="Arial" w:hAnsi="Arial"/>
                <w:sz w:val="18"/>
                <w:szCs w:val="18"/>
                <w:color w:val="auto"/>
              </w:rPr>
              <w:t>100,449</w:t>
            </w:r>
          </w:p>
        </w:tc>
        <w:tc>
          <w:tcPr>
            <w:tcW w:w="4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218,479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1,695,027</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Days Supply</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Days Supply</w:t>
            </w:r>
          </w:p>
        </w:tc>
        <w:tc>
          <w:tcPr>
            <w:tcW w:w="0" w:type="dxa"/>
            <w:vAlign w:val="bottom"/>
          </w:tcPr>
          <w:p>
            <w:pPr>
              <w:spacing w:after="0"/>
              <w:rPr>
                <w:sz w:val="1"/>
                <w:szCs w:val="1"/>
                <w:color w:val="auto"/>
              </w:rPr>
            </w:pPr>
          </w:p>
        </w:tc>
      </w:tr>
      <w:tr>
        <w:trPr>
          <w:trHeight w:val="149"/>
        </w:trPr>
        <w:tc>
          <w:tcPr>
            <w:tcW w:w="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5"/>
              </w:rPr>
              <w:t>Inventory</w:t>
            </w:r>
          </w:p>
        </w:tc>
        <w:tc>
          <w:tcPr>
            <w:tcW w:w="5000" w:type="dxa"/>
            <w:vAlign w:val="bottom"/>
            <w:vMerge w:val="restart"/>
          </w:tcPr>
          <w:p>
            <w:pPr>
              <w:spacing w:after="0"/>
              <w:rPr>
                <w:sz w:val="12"/>
                <w:szCs w:val="12"/>
                <w:color w:val="auto"/>
              </w:rPr>
            </w:pPr>
          </w:p>
        </w:tc>
        <w:tc>
          <w:tcPr>
            <w:tcW w:w="13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Units @</w:t>
            </w: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(selling days</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Units @</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(selling days</w:t>
            </w: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vMerge w:val="continue"/>
          </w:tcPr>
          <w:p>
            <w:pPr>
              <w:spacing w:after="0"/>
              <w:rPr>
                <w:sz w:val="14"/>
                <w:szCs w:val="14"/>
                <w:color w:val="auto"/>
              </w:rPr>
            </w:pPr>
          </w:p>
        </w:tc>
        <w:tc>
          <w:tcPr>
            <w:tcW w:w="5000" w:type="dxa"/>
            <w:vAlign w:val="bottom"/>
            <w:vMerge w:val="continue"/>
          </w:tcPr>
          <w:p>
            <w:pPr>
              <w:spacing w:after="0"/>
              <w:rPr>
                <w:sz w:val="14"/>
                <w:szCs w:val="14"/>
                <w:color w:val="auto"/>
              </w:rPr>
            </w:pPr>
          </w:p>
        </w:tc>
        <w:tc>
          <w:tcPr>
            <w:tcW w:w="138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4"/>
              </w:rPr>
              <w:t>Aug. 31, 2011</w:t>
            </w:r>
          </w:p>
        </w:tc>
        <w:tc>
          <w:tcPr>
            <w:tcW w:w="13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adjusted)</w:t>
            </w:r>
          </w:p>
        </w:tc>
        <w:tc>
          <w:tcPr>
            <w:tcW w:w="138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5"/>
              </w:rPr>
              <w:t>July 31, 2011</w:t>
            </w:r>
          </w:p>
        </w:tc>
        <w:tc>
          <w:tcPr>
            <w:tcW w:w="8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203"/>
        </w:trPr>
        <w:tc>
          <w:tcPr>
            <w:tcW w:w="5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All Vehicles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556,884</w:t>
            </w:r>
          </w:p>
        </w:tc>
        <w:tc>
          <w:tcPr>
            <w:tcW w:w="6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w:t>
            </w:r>
          </w:p>
        </w:tc>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537,822</w:t>
            </w: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Full-size Pickups</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212,520</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107</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209,261</w:t>
            </w: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About General Motors – </w:t>
      </w:r>
      <w:r>
        <w:rPr>
          <w:rFonts w:ascii="Arial" w:cs="Arial" w:eastAsia="Arial" w:hAnsi="Arial"/>
          <w:sz w:val="18"/>
          <w:szCs w:val="18"/>
          <w:color w:val="auto"/>
        </w:rPr>
        <w:t>General Motors (NYSE: GM, TSX: GMM), one of the world’s largest automakers, traces its roots back to 1908. With its global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headquarters in Detroit, GM employs 208,000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james.cain@gm.com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313-407-2843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4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August 2011 -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color w:val="auto"/>
              </w:rPr>
              <w:t>*S/D Curr: 26</w:t>
            </w: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97"/>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00" w:type="dxa"/>
            <w:vAlign w:val="bottom"/>
            <w:gridSpan w:val="3"/>
            <w:vMerge w:val="continue"/>
          </w:tcPr>
          <w:p>
            <w:pPr>
              <w:spacing w:after="0"/>
              <w:rPr>
                <w:sz w:val="12"/>
                <w:szCs w:val="12"/>
                <w:color w:val="auto"/>
              </w:rPr>
            </w:pPr>
          </w:p>
        </w:tc>
        <w:tc>
          <w:tcPr>
            <w:tcW w:w="3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380"/>
              <w:spacing w:after="0" w:line="146" w:lineRule="exact"/>
              <w:rPr>
                <w:sz w:val="20"/>
                <w:szCs w:val="20"/>
                <w:color w:val="auto"/>
              </w:rPr>
            </w:pPr>
            <w:r>
              <w:rPr>
                <w:rFonts w:ascii="Arial" w:cs="Arial" w:eastAsia="Arial" w:hAnsi="Arial"/>
                <w:sz w:val="14"/>
                <w:szCs w:val="14"/>
                <w:color w:val="auto"/>
              </w:rPr>
              <w:t>August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left="397"/>
              <w:spacing w:after="0" w:line="146" w:lineRule="exact"/>
              <w:rPr>
                <w:sz w:val="20"/>
                <w:szCs w:val="20"/>
                <w:color w:val="auto"/>
              </w:rPr>
            </w:pPr>
            <w:r>
              <w:rPr>
                <w:rFonts w:ascii="Arial" w:cs="Arial" w:eastAsia="Arial" w:hAnsi="Arial"/>
                <w:sz w:val="14"/>
                <w:szCs w:val="14"/>
                <w:color w:val="auto"/>
                <w:w w:val="86"/>
              </w:rPr>
              <w:t>January - August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700" w:type="dxa"/>
            <w:vAlign w:val="bottom"/>
            <w:gridSpan w:val="3"/>
            <w:vMerge w:val="restart"/>
          </w:tcPr>
          <w:p>
            <w:pPr>
              <w:spacing w:after="0"/>
              <w:rPr>
                <w:sz w:val="20"/>
                <w:szCs w:val="20"/>
                <w:color w:val="auto"/>
              </w:rPr>
            </w:pPr>
            <w:r>
              <w:rPr>
                <w:rFonts w:ascii="Arial" w:cs="Arial" w:eastAsia="Arial" w:hAnsi="Arial"/>
                <w:sz w:val="14"/>
                <w:szCs w:val="14"/>
                <w:color w:val="auto"/>
              </w:rPr>
              <w:t>*S/D Prev: 25</w:t>
            </w:r>
          </w:p>
        </w:tc>
        <w:tc>
          <w:tcPr>
            <w:tcW w:w="3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0"/>
              </w:rPr>
              <w:t>% Chg</w:t>
            </w: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9"/>
              </w:rPr>
              <w:t>%Chg</w:t>
            </w:r>
          </w:p>
        </w:tc>
        <w:tc>
          <w:tcPr>
            <w:tcW w:w="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9"/>
              </w:rPr>
              <w:t>%Chg</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00" w:type="dxa"/>
            <w:vAlign w:val="bottom"/>
            <w:gridSpan w:val="3"/>
            <w:vMerge w:val="continue"/>
          </w:tcPr>
          <w:p>
            <w:pPr>
              <w:spacing w:after="0"/>
              <w:rPr>
                <w:sz w:val="12"/>
                <w:szCs w:val="12"/>
                <w:color w:val="auto"/>
              </w:rPr>
            </w:pPr>
          </w:p>
        </w:tc>
        <w:tc>
          <w:tcPr>
            <w:tcW w:w="3880" w:type="dxa"/>
            <w:vAlign w:val="bottom"/>
            <w:gridSpan w:val="2"/>
          </w:tcPr>
          <w:p>
            <w:pPr>
              <w:jc w:val="right"/>
              <w:ind w:right="92"/>
              <w:spacing w:after="0" w:line="146" w:lineRule="exact"/>
              <w:rPr>
                <w:sz w:val="20"/>
                <w:szCs w:val="20"/>
                <w:color w:val="auto"/>
              </w:rPr>
            </w:pPr>
            <w:r>
              <w:rPr>
                <w:rFonts w:ascii="Arial" w:cs="Arial" w:eastAsia="Arial" w:hAnsi="Arial"/>
                <w:sz w:val="14"/>
                <w:szCs w:val="14"/>
                <w:color w:val="auto"/>
              </w:rPr>
              <w:t>2011</w:t>
            </w:r>
          </w:p>
        </w:tc>
        <w:tc>
          <w:tcPr>
            <w:tcW w:w="840" w:type="dxa"/>
            <w:vAlign w:val="bottom"/>
            <w:gridSpan w:val="2"/>
          </w:tcPr>
          <w:p>
            <w:pPr>
              <w:jc w:val="right"/>
              <w:ind w:right="96"/>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7"/>
              <w:spacing w:after="0" w:line="146"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760" w:type="dxa"/>
            <w:vAlign w:val="bottom"/>
          </w:tcPr>
          <w:p>
            <w:pPr>
              <w:jc w:val="right"/>
              <w:ind w:right="155"/>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56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Vehicle Total</w:t>
            </w:r>
          </w:p>
        </w:tc>
        <w:tc>
          <w:tcPr>
            <w:tcW w:w="3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218,479</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185,176</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1,695,027</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1,465,389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Brand 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218,479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184,921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1,695,027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1,453,930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700" w:type="dxa"/>
            <w:vAlign w:val="bottom"/>
            <w:gridSpan w:val="3"/>
          </w:tcPr>
          <w:p>
            <w:pPr>
              <w:spacing w:after="0"/>
              <w:rPr>
                <w:sz w:val="20"/>
                <w:szCs w:val="20"/>
                <w:color w:val="auto"/>
              </w:rPr>
            </w:pPr>
            <w:r>
              <w:rPr>
                <w:rFonts w:ascii="Arial" w:cs="Arial" w:eastAsia="Arial" w:hAnsi="Arial"/>
                <w:sz w:val="14"/>
                <w:szCs w:val="14"/>
                <w:color w:val="auto"/>
                <w:w w:val="97"/>
              </w:rPr>
              <w:t>GM Vehicle Deliveries by Marketing Division</w:t>
            </w:r>
          </w:p>
        </w:tc>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9"/>
              </w:rPr>
              <w:t>%Chg</w:t>
            </w: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9"/>
              </w:rPr>
              <w:t>%Chg</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%Chg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8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2011</w:t>
            </w:r>
          </w:p>
        </w:tc>
        <w:tc>
          <w:tcPr>
            <w:tcW w:w="840" w:type="dxa"/>
            <w:vAlign w:val="bottom"/>
            <w:gridSpan w:val="2"/>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7"/>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76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Buick Total</w:t>
            </w:r>
          </w:p>
        </w:tc>
        <w:tc>
          <w:tcPr>
            <w:tcW w:w="3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16,021</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101,125</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Cadillac 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13,208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12,689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100,449</w:t>
            </w:r>
          </w:p>
        </w:tc>
        <w:tc>
          <w:tcPr>
            <w:tcW w:w="760" w:type="dxa"/>
            <w:vAlign w:val="bottom"/>
          </w:tcPr>
          <w:p>
            <w:pPr>
              <w:jc w:val="right"/>
              <w:spacing w:after="0"/>
              <w:rPr>
                <w:sz w:val="20"/>
                <w:szCs w:val="20"/>
                <w:color w:val="auto"/>
              </w:rPr>
            </w:pPr>
            <w:r>
              <w:rPr>
                <w:rFonts w:ascii="Arial" w:cs="Arial" w:eastAsia="Arial" w:hAnsi="Arial"/>
                <w:sz w:val="18"/>
                <w:szCs w:val="18"/>
                <w:color w:val="auto"/>
              </w:rPr>
              <w:t>92,393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131,952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1,206,332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1,054,311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GMC Total **</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36,471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25,986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261,753</w:t>
            </w:r>
          </w:p>
        </w:tc>
        <w:tc>
          <w:tcPr>
            <w:tcW w:w="760" w:type="dxa"/>
            <w:vAlign w:val="bottom"/>
          </w:tcPr>
          <w:p>
            <w:pPr>
              <w:jc w:val="right"/>
              <w:spacing w:after="0"/>
              <w:rPr>
                <w:sz w:val="20"/>
                <w:szCs w:val="20"/>
                <w:color w:val="auto"/>
              </w:rPr>
            </w:pPr>
            <w:r>
              <w:rPr>
                <w:rFonts w:ascii="Arial" w:cs="Arial" w:eastAsia="Arial" w:hAnsi="Arial"/>
                <w:sz w:val="18"/>
                <w:szCs w:val="18"/>
                <w:color w:val="auto"/>
              </w:rPr>
              <w:t>206,101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218,479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184,921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1,695,027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1,453,930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HUMMER 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3,344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 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Saab 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 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Other Brand Total</w:t>
            </w:r>
          </w:p>
        </w:tc>
        <w:tc>
          <w:tcPr>
            <w:tcW w:w="3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11,459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3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218,479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185,176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1,695,027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1,465,389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Twenty-six selling days for the August period this year and twenty-five for last year.</w:t>
      </w:r>
    </w:p>
    <w:p>
      <w:pPr>
        <w:spacing w:after="0" w:line="1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Calendar Year 2010 includes GMC &amp; Chevrolet Dealer deliveries of commercial vehicles distributed by American Isuzu Motors, Inc.</w:t>
      </w:r>
    </w:p>
    <w:p>
      <w:pPr>
        <w:spacing w:after="0" w:line="151"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August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93"/>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rPr>
              <w:t>August</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Borders>
              <w:bottom w:val="single" w:sz="8" w:color="auto"/>
            </w:tcBorders>
            <w:gridSpan w:val="4"/>
          </w:tcPr>
          <w:p>
            <w:pPr>
              <w:jc w:val="center"/>
              <w:ind w:left="393"/>
              <w:spacing w:after="0" w:line="159" w:lineRule="exact"/>
              <w:rPr>
                <w:sz w:val="20"/>
                <w:szCs w:val="20"/>
                <w:color w:val="auto"/>
              </w:rPr>
            </w:pPr>
            <w:r>
              <w:rPr>
                <w:rFonts w:ascii="Arial" w:cs="Arial" w:eastAsia="Arial" w:hAnsi="Arial"/>
                <w:sz w:val="14"/>
                <w:szCs w:val="14"/>
                <w:color w:val="auto"/>
                <w:w w:val="86"/>
              </w:rPr>
              <w:t>January - August</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w w:val="95"/>
              </w:rPr>
              <w:t>% Chg</w:t>
            </w: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9"/>
              </w:rPr>
              <w:t>%Chg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4"/>
                <w:szCs w:val="14"/>
                <w:color w:val="auto"/>
                <w:w w:val="89"/>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Days (S/D)</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Arial" w:cs="Arial" w:eastAsia="Arial" w:hAnsi="Arial"/>
                <w:sz w:val="18"/>
                <w:szCs w:val="18"/>
                <w:color w:val="auto"/>
              </w:rPr>
              <w:t>Enclave</w:t>
            </w:r>
          </w:p>
        </w:tc>
        <w:tc>
          <w:tcPr>
            <w:tcW w:w="620" w:type="dxa"/>
            <w:vAlign w:val="bottom"/>
          </w:tcPr>
          <w:p>
            <w:pPr>
              <w:jc w:val="right"/>
              <w:spacing w:after="0"/>
              <w:rPr>
                <w:sz w:val="20"/>
                <w:szCs w:val="20"/>
                <w:color w:val="auto"/>
              </w:rPr>
            </w:pPr>
            <w:r>
              <w:rPr>
                <w:rFonts w:ascii="Arial" w:cs="Arial" w:eastAsia="Arial" w:hAnsi="Arial"/>
                <w:sz w:val="18"/>
                <w:szCs w:val="18"/>
                <w:color w:val="auto"/>
              </w:rPr>
              <w:t>5,387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4,595</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39,536</w:t>
            </w:r>
          </w:p>
        </w:tc>
        <w:tc>
          <w:tcPr>
            <w:tcW w:w="760" w:type="dxa"/>
            <w:vAlign w:val="bottom"/>
          </w:tcPr>
          <w:p>
            <w:pPr>
              <w:jc w:val="right"/>
              <w:spacing w:after="0"/>
              <w:rPr>
                <w:sz w:val="20"/>
                <w:szCs w:val="20"/>
                <w:color w:val="auto"/>
              </w:rPr>
            </w:pPr>
            <w:r>
              <w:rPr>
                <w:rFonts w:ascii="Arial" w:cs="Arial" w:eastAsia="Arial" w:hAnsi="Arial"/>
                <w:sz w:val="18"/>
                <w:szCs w:val="18"/>
                <w:color w:val="auto"/>
              </w:rPr>
              <w:t>35,881</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Lucerne</w:t>
            </w:r>
          </w:p>
        </w:tc>
        <w:tc>
          <w:tcPr>
            <w:tcW w:w="620" w:type="dxa"/>
            <w:vAlign w:val="bottom"/>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-47.6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-49.6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16,905</w:t>
            </w:r>
          </w:p>
        </w:tc>
        <w:tc>
          <w:tcPr>
            <w:tcW w:w="760" w:type="dxa"/>
            <w:vAlign w:val="bottom"/>
          </w:tcPr>
          <w:p>
            <w:pPr>
              <w:jc w:val="right"/>
              <w:spacing w:after="0"/>
              <w:rPr>
                <w:sz w:val="20"/>
                <w:szCs w:val="20"/>
                <w:color w:val="auto"/>
              </w:rPr>
            </w:pPr>
            <w:r>
              <w:rPr>
                <w:rFonts w:ascii="Arial" w:cs="Arial" w:eastAsia="Arial" w:hAnsi="Arial"/>
                <w:sz w:val="18"/>
                <w:szCs w:val="18"/>
                <w:color w:val="auto"/>
              </w:rPr>
              <w:t>18,571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124.2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115.6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Buick Total</w:t>
            </w:r>
          </w:p>
        </w:tc>
        <w:tc>
          <w:tcPr>
            <w:tcW w:w="620" w:type="dxa"/>
            <w:vAlign w:val="bottom"/>
          </w:tcPr>
          <w:p>
            <w:pPr>
              <w:jc w:val="right"/>
              <w:spacing w:after="0"/>
              <w:rPr>
                <w:sz w:val="20"/>
                <w:szCs w:val="20"/>
                <w:color w:val="auto"/>
              </w:rPr>
            </w:pPr>
            <w:r>
              <w:rPr>
                <w:rFonts w:ascii="Arial" w:cs="Arial" w:eastAsia="Arial" w:hAnsi="Arial"/>
                <w:sz w:val="18"/>
                <w:szCs w:val="18"/>
                <w:color w:val="auto"/>
              </w:rPr>
              <w:t>16,021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14,294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126,493</w:t>
            </w:r>
          </w:p>
        </w:tc>
        <w:tc>
          <w:tcPr>
            <w:tcW w:w="760" w:type="dxa"/>
            <w:vAlign w:val="bottom"/>
          </w:tcPr>
          <w:p>
            <w:pPr>
              <w:jc w:val="right"/>
              <w:spacing w:after="0"/>
              <w:rPr>
                <w:sz w:val="20"/>
                <w:szCs w:val="20"/>
                <w:color w:val="auto"/>
              </w:rPr>
            </w:pPr>
            <w:r>
              <w:rPr>
                <w:rFonts w:ascii="Arial" w:cs="Arial" w:eastAsia="Arial" w:hAnsi="Arial"/>
                <w:sz w:val="18"/>
                <w:szCs w:val="18"/>
                <w:color w:val="auto"/>
              </w:rPr>
              <w:t>101,125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DTS</w:t>
            </w:r>
          </w:p>
        </w:tc>
        <w:tc>
          <w:tcPr>
            <w:tcW w:w="620" w:type="dxa"/>
            <w:vAlign w:val="bottom"/>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10,172</w:t>
            </w:r>
          </w:p>
        </w:tc>
        <w:tc>
          <w:tcPr>
            <w:tcW w:w="760" w:type="dxa"/>
            <w:vAlign w:val="bottom"/>
          </w:tcPr>
          <w:p>
            <w:pPr>
              <w:jc w:val="right"/>
              <w:spacing w:after="0"/>
              <w:rPr>
                <w:sz w:val="20"/>
                <w:szCs w:val="20"/>
                <w:color w:val="auto"/>
              </w:rPr>
            </w:pPr>
            <w:r>
              <w:rPr>
                <w:rFonts w:ascii="Arial" w:cs="Arial" w:eastAsia="Arial" w:hAnsi="Arial"/>
                <w:sz w:val="18"/>
                <w:szCs w:val="18"/>
                <w:color w:val="auto"/>
              </w:rPr>
              <w:t>12,117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Escalade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Escalade ESV</w:t>
            </w:r>
          </w:p>
        </w:tc>
        <w:tc>
          <w:tcPr>
            <w:tcW w:w="620" w:type="dxa"/>
            <w:vAlign w:val="bottom"/>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5,057</w:t>
            </w:r>
          </w:p>
        </w:tc>
        <w:tc>
          <w:tcPr>
            <w:tcW w:w="760" w:type="dxa"/>
            <w:vAlign w:val="bottom"/>
          </w:tcPr>
          <w:p>
            <w:pPr>
              <w:jc w:val="right"/>
              <w:spacing w:after="0"/>
              <w:rPr>
                <w:sz w:val="20"/>
                <w:szCs w:val="20"/>
                <w:color w:val="auto"/>
              </w:rPr>
            </w:pPr>
            <w:r>
              <w:rPr>
                <w:rFonts w:ascii="Arial" w:cs="Arial" w:eastAsia="Arial" w:hAnsi="Arial"/>
                <w:sz w:val="18"/>
                <w:szCs w:val="18"/>
                <w:color w:val="auto"/>
              </w:rPr>
              <w:t>4,874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Escalade EXT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SRX</w:t>
            </w:r>
          </w:p>
        </w:tc>
        <w:tc>
          <w:tcPr>
            <w:tcW w:w="620" w:type="dxa"/>
            <w:vAlign w:val="bottom"/>
          </w:tcPr>
          <w:p>
            <w:pPr>
              <w:jc w:val="right"/>
              <w:spacing w:after="0"/>
              <w:rPr>
                <w:sz w:val="20"/>
                <w:szCs w:val="20"/>
                <w:color w:val="auto"/>
              </w:rPr>
            </w:pPr>
            <w:r>
              <w:rPr>
                <w:rFonts w:ascii="Arial" w:cs="Arial" w:eastAsia="Arial" w:hAnsi="Arial"/>
                <w:sz w:val="18"/>
                <w:szCs w:val="18"/>
                <w:color w:val="auto"/>
              </w:rPr>
              <w:t>4,627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34,960</w:t>
            </w:r>
          </w:p>
        </w:tc>
        <w:tc>
          <w:tcPr>
            <w:tcW w:w="760" w:type="dxa"/>
            <w:vAlign w:val="bottom"/>
          </w:tcPr>
          <w:p>
            <w:pPr>
              <w:jc w:val="right"/>
              <w:spacing w:after="0"/>
              <w:rPr>
                <w:sz w:val="20"/>
                <w:szCs w:val="20"/>
                <w:color w:val="auto"/>
              </w:rPr>
            </w:pPr>
            <w:r>
              <w:rPr>
                <w:rFonts w:ascii="Arial" w:cs="Arial" w:eastAsia="Arial" w:hAnsi="Arial"/>
                <w:sz w:val="18"/>
                <w:szCs w:val="18"/>
                <w:color w:val="auto"/>
              </w:rPr>
              <w:t>32,703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XLR</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Cadillac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Avalanche</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1,815</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12,128</w:t>
            </w:r>
          </w:p>
        </w:tc>
        <w:tc>
          <w:tcPr>
            <w:tcW w:w="760" w:type="dxa"/>
            <w:vAlign w:val="bottom"/>
          </w:tcPr>
          <w:p>
            <w:pPr>
              <w:jc w:val="right"/>
              <w:spacing w:after="0"/>
              <w:rPr>
                <w:sz w:val="20"/>
                <w:szCs w:val="20"/>
                <w:color w:val="auto"/>
              </w:rPr>
            </w:pPr>
            <w:r>
              <w:rPr>
                <w:rFonts w:ascii="Arial" w:cs="Arial" w:eastAsia="Arial" w:hAnsi="Arial"/>
                <w:sz w:val="18"/>
                <w:szCs w:val="18"/>
                <w:color w:val="auto"/>
              </w:rPr>
              <w:t>13,268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Aveo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Camaro</w:t>
            </w:r>
          </w:p>
        </w:tc>
        <w:tc>
          <w:tcPr>
            <w:tcW w:w="620" w:type="dxa"/>
            <w:vAlign w:val="bottom"/>
          </w:tcPr>
          <w:p>
            <w:pPr>
              <w:jc w:val="right"/>
              <w:spacing w:after="0"/>
              <w:rPr>
                <w:sz w:val="20"/>
                <w:szCs w:val="20"/>
                <w:color w:val="auto"/>
              </w:rPr>
            </w:pPr>
            <w:r>
              <w:rPr>
                <w:rFonts w:ascii="Arial" w:cs="Arial" w:eastAsia="Arial" w:hAnsi="Arial"/>
                <w:sz w:val="18"/>
                <w:szCs w:val="18"/>
                <w:color w:val="auto"/>
              </w:rPr>
              <w:t>6,823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6,321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63,255</w:t>
            </w:r>
          </w:p>
        </w:tc>
        <w:tc>
          <w:tcPr>
            <w:tcW w:w="760" w:type="dxa"/>
            <w:vAlign w:val="bottom"/>
          </w:tcPr>
          <w:p>
            <w:pPr>
              <w:jc w:val="right"/>
              <w:spacing w:after="0"/>
              <w:rPr>
                <w:sz w:val="20"/>
                <w:szCs w:val="20"/>
                <w:color w:val="auto"/>
              </w:rPr>
            </w:pPr>
            <w:r>
              <w:rPr>
                <w:rFonts w:ascii="Arial" w:cs="Arial" w:eastAsia="Arial" w:hAnsi="Arial"/>
                <w:sz w:val="18"/>
                <w:szCs w:val="18"/>
                <w:color w:val="auto"/>
              </w:rPr>
              <w:t>60,185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Caprice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Chevy C/T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Chevy W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Cobalt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5,643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839</w:t>
            </w:r>
          </w:p>
        </w:tc>
        <w:tc>
          <w:tcPr>
            <w:tcW w:w="760" w:type="dxa"/>
            <w:vAlign w:val="bottom"/>
          </w:tcPr>
          <w:p>
            <w:pPr>
              <w:jc w:val="right"/>
              <w:spacing w:after="0"/>
              <w:rPr>
                <w:sz w:val="20"/>
                <w:szCs w:val="20"/>
                <w:color w:val="auto"/>
              </w:rPr>
            </w:pPr>
            <w:r>
              <w:rPr>
                <w:rFonts w:ascii="Arial" w:cs="Arial" w:eastAsia="Arial" w:hAnsi="Arial"/>
                <w:sz w:val="18"/>
                <w:szCs w:val="18"/>
                <w:color w:val="auto"/>
              </w:rPr>
              <w:t>90,376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Corvette</w:t>
            </w:r>
          </w:p>
        </w:tc>
        <w:tc>
          <w:tcPr>
            <w:tcW w:w="620" w:type="dxa"/>
            <w:vAlign w:val="bottom"/>
          </w:tcPr>
          <w:p>
            <w:pPr>
              <w:jc w:val="right"/>
              <w:spacing w:after="0"/>
              <w:rPr>
                <w:sz w:val="20"/>
                <w:szCs w:val="20"/>
                <w:color w:val="auto"/>
              </w:rPr>
            </w:pPr>
            <w:r>
              <w:rPr>
                <w:rFonts w:ascii="Arial" w:cs="Arial" w:eastAsia="Arial" w:hAnsi="Arial"/>
                <w:sz w:val="18"/>
                <w:szCs w:val="18"/>
                <w:color w:val="auto"/>
              </w:rPr>
              <w:t>936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9,123</w:t>
            </w:r>
          </w:p>
        </w:tc>
        <w:tc>
          <w:tcPr>
            <w:tcW w:w="760" w:type="dxa"/>
            <w:vAlign w:val="bottom"/>
          </w:tcPr>
          <w:p>
            <w:pPr>
              <w:jc w:val="right"/>
              <w:spacing w:after="0"/>
              <w:rPr>
                <w:sz w:val="20"/>
                <w:szCs w:val="20"/>
                <w:color w:val="auto"/>
              </w:rPr>
            </w:pPr>
            <w:r>
              <w:rPr>
                <w:rFonts w:ascii="Arial" w:cs="Arial" w:eastAsia="Arial" w:hAnsi="Arial"/>
                <w:sz w:val="18"/>
                <w:szCs w:val="18"/>
                <w:color w:val="auto"/>
              </w:rPr>
              <w:t>8,689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Cruze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169,427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Equinox</w:t>
            </w:r>
          </w:p>
        </w:tc>
        <w:tc>
          <w:tcPr>
            <w:tcW w:w="620" w:type="dxa"/>
            <w:vAlign w:val="bottom"/>
          </w:tcPr>
          <w:p>
            <w:pPr>
              <w:jc w:val="right"/>
              <w:spacing w:after="0"/>
              <w:rPr>
                <w:sz w:val="20"/>
                <w:szCs w:val="20"/>
                <w:color w:val="auto"/>
              </w:rPr>
            </w:pPr>
            <w:r>
              <w:rPr>
                <w:rFonts w:ascii="Arial" w:cs="Arial" w:eastAsia="Arial" w:hAnsi="Arial"/>
                <w:sz w:val="18"/>
                <w:szCs w:val="18"/>
                <w:color w:val="auto"/>
              </w:rPr>
              <w:t>16,606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10,538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51.5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129,538</w:t>
            </w:r>
          </w:p>
        </w:tc>
        <w:tc>
          <w:tcPr>
            <w:tcW w:w="760" w:type="dxa"/>
            <w:vAlign w:val="bottom"/>
          </w:tcPr>
          <w:p>
            <w:pPr>
              <w:jc w:val="right"/>
              <w:spacing w:after="0"/>
              <w:rPr>
                <w:sz w:val="20"/>
                <w:szCs w:val="20"/>
                <w:color w:val="auto"/>
              </w:rPr>
            </w:pPr>
            <w:r>
              <w:rPr>
                <w:rFonts w:ascii="Arial" w:cs="Arial" w:eastAsia="Arial" w:hAnsi="Arial"/>
                <w:sz w:val="18"/>
                <w:szCs w:val="18"/>
                <w:color w:val="auto"/>
              </w:rPr>
              <w:t>87,397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Express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HHR</w:t>
            </w:r>
          </w:p>
        </w:tc>
        <w:tc>
          <w:tcPr>
            <w:tcW w:w="62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9,470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-91.6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-91.9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36,613</w:t>
            </w:r>
          </w:p>
        </w:tc>
        <w:tc>
          <w:tcPr>
            <w:tcW w:w="760" w:type="dxa"/>
            <w:vAlign w:val="bottom"/>
          </w:tcPr>
          <w:p>
            <w:pPr>
              <w:jc w:val="right"/>
              <w:spacing w:after="0"/>
              <w:rPr>
                <w:sz w:val="20"/>
                <w:szCs w:val="20"/>
                <w:color w:val="auto"/>
              </w:rPr>
            </w:pPr>
            <w:r>
              <w:rPr>
                <w:rFonts w:ascii="Arial" w:cs="Arial" w:eastAsia="Arial" w:hAnsi="Arial"/>
                <w:sz w:val="18"/>
                <w:szCs w:val="18"/>
                <w:color w:val="auto"/>
              </w:rPr>
              <w:t>57,242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Impala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Kodiak 4/5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Kodiak 6/7/8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Malibu</w:t>
            </w:r>
          </w:p>
        </w:tc>
        <w:tc>
          <w:tcPr>
            <w:tcW w:w="620" w:type="dxa"/>
            <w:vAlign w:val="bottom"/>
          </w:tcPr>
          <w:p>
            <w:pPr>
              <w:jc w:val="right"/>
              <w:spacing w:after="0"/>
              <w:rPr>
                <w:sz w:val="20"/>
                <w:szCs w:val="20"/>
                <w:color w:val="auto"/>
              </w:rPr>
            </w:pPr>
            <w:r>
              <w:rPr>
                <w:rFonts w:ascii="Arial" w:cs="Arial" w:eastAsia="Arial" w:hAnsi="Arial"/>
                <w:sz w:val="18"/>
                <w:szCs w:val="18"/>
                <w:color w:val="auto"/>
              </w:rPr>
              <w:t>17,840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18,182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160,152</w:t>
            </w:r>
          </w:p>
        </w:tc>
        <w:tc>
          <w:tcPr>
            <w:tcW w:w="760" w:type="dxa"/>
            <w:vAlign w:val="bottom"/>
          </w:tcPr>
          <w:p>
            <w:pPr>
              <w:jc w:val="right"/>
              <w:spacing w:after="0"/>
              <w:rPr>
                <w:sz w:val="20"/>
                <w:szCs w:val="20"/>
                <w:color w:val="auto"/>
              </w:rPr>
            </w:pPr>
            <w:r>
              <w:rPr>
                <w:rFonts w:ascii="Arial" w:cs="Arial" w:eastAsia="Arial" w:hAnsi="Arial"/>
                <w:sz w:val="18"/>
                <w:szCs w:val="18"/>
                <w:color w:val="auto"/>
              </w:rPr>
              <w:t>146,957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Silverado-C/K Pickup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252,738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Sonic</w:t>
            </w:r>
          </w:p>
        </w:tc>
        <w:tc>
          <w:tcPr>
            <w:tcW w:w="62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Tahoe</w:t>
            </w:r>
          </w:p>
        </w:tc>
        <w:tc>
          <w:tcPr>
            <w:tcW w:w="620" w:type="dxa"/>
            <w:vAlign w:val="bottom"/>
          </w:tcPr>
          <w:p>
            <w:pPr>
              <w:jc w:val="right"/>
              <w:spacing w:after="0"/>
              <w:rPr>
                <w:sz w:val="20"/>
                <w:szCs w:val="20"/>
                <w:color w:val="auto"/>
              </w:rPr>
            </w:pPr>
            <w:r>
              <w:rPr>
                <w:rFonts w:ascii="Arial" w:cs="Arial" w:eastAsia="Arial" w:hAnsi="Arial"/>
                <w:sz w:val="18"/>
                <w:szCs w:val="18"/>
                <w:color w:val="auto"/>
              </w:rPr>
              <w:t>8,069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47,823</w:t>
            </w:r>
          </w:p>
        </w:tc>
        <w:tc>
          <w:tcPr>
            <w:tcW w:w="760" w:type="dxa"/>
            <w:vAlign w:val="bottom"/>
          </w:tcPr>
          <w:p>
            <w:pPr>
              <w:jc w:val="right"/>
              <w:spacing w:after="0"/>
              <w:rPr>
                <w:sz w:val="20"/>
                <w:szCs w:val="20"/>
                <w:color w:val="auto"/>
              </w:rPr>
            </w:pPr>
            <w:r>
              <w:rPr>
                <w:rFonts w:ascii="Arial" w:cs="Arial" w:eastAsia="Arial" w:hAnsi="Arial"/>
                <w:sz w:val="18"/>
                <w:szCs w:val="18"/>
                <w:color w:val="auto"/>
              </w:rPr>
              <w:t>49,721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TrailBlazer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Traverse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11,281</w:t>
            </w:r>
          </w:p>
        </w:tc>
        <w:tc>
          <w:tcPr>
            <w:tcW w:w="640" w:type="dxa"/>
            <w:vAlign w:val="bottom"/>
          </w:tcPr>
          <w:p>
            <w:pPr>
              <w:jc w:val="right"/>
              <w:spacing w:after="0"/>
              <w:rPr>
                <w:sz w:val="20"/>
                <w:szCs w:val="20"/>
                <w:color w:val="auto"/>
              </w:rPr>
            </w:pPr>
            <w:r>
              <w:rPr>
                <w:rFonts w:ascii="Arial" w:cs="Arial" w:eastAsia="Arial" w:hAnsi="Arial"/>
                <w:sz w:val="18"/>
                <w:szCs w:val="18"/>
                <w:color w:val="auto"/>
              </w:rPr>
              <w:t>7,850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43.7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38.2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75,591</w:t>
            </w:r>
          </w:p>
        </w:tc>
        <w:tc>
          <w:tcPr>
            <w:tcW w:w="760" w:type="dxa"/>
            <w:vAlign w:val="bottom"/>
          </w:tcPr>
          <w:p>
            <w:pPr>
              <w:jc w:val="right"/>
              <w:spacing w:after="0"/>
              <w:rPr>
                <w:sz w:val="20"/>
                <w:szCs w:val="20"/>
                <w:color w:val="auto"/>
              </w:rPr>
            </w:pPr>
            <w:r>
              <w:rPr>
                <w:rFonts w:ascii="Arial" w:cs="Arial" w:eastAsia="Arial" w:hAnsi="Arial"/>
                <w:sz w:val="18"/>
                <w:szCs w:val="18"/>
                <w:color w:val="auto"/>
              </w:rPr>
              <w:t>70,098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Uplander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Volt</w:t>
            </w: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3,172</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152,779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131,952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1,206,332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1,054,311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Acadia</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4,223</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47.8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56,726</w:t>
            </w:r>
          </w:p>
        </w:tc>
        <w:tc>
          <w:tcPr>
            <w:tcW w:w="760" w:type="dxa"/>
            <w:vAlign w:val="bottom"/>
          </w:tcPr>
          <w:p>
            <w:pPr>
              <w:jc w:val="right"/>
              <w:spacing w:after="0"/>
              <w:rPr>
                <w:sz w:val="20"/>
                <w:szCs w:val="20"/>
                <w:color w:val="auto"/>
              </w:rPr>
            </w:pPr>
            <w:r>
              <w:rPr>
                <w:rFonts w:ascii="Arial" w:cs="Arial" w:eastAsia="Arial" w:hAnsi="Arial"/>
                <w:sz w:val="18"/>
                <w:szCs w:val="18"/>
                <w:color w:val="auto"/>
              </w:rPr>
              <w:t>45,121</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Canyon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140.8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131.5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Envoy</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GMC C/T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GMC W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Savana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Sierra</w:t>
            </w:r>
          </w:p>
        </w:tc>
        <w:tc>
          <w:tcPr>
            <w:tcW w:w="620" w:type="dxa"/>
            <w:vAlign w:val="bottom"/>
          </w:tcPr>
          <w:p>
            <w:pPr>
              <w:jc w:val="right"/>
              <w:spacing w:after="0"/>
              <w:rPr>
                <w:sz w:val="20"/>
                <w:szCs w:val="20"/>
                <w:color w:val="auto"/>
              </w:rPr>
            </w:pPr>
            <w:r>
              <w:rPr>
                <w:rFonts w:ascii="Arial" w:cs="Arial" w:eastAsia="Arial" w:hAnsi="Arial"/>
                <w:sz w:val="18"/>
                <w:szCs w:val="18"/>
                <w:color w:val="auto"/>
              </w:rPr>
              <w:t>13,244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11,640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93,438</w:t>
            </w:r>
          </w:p>
        </w:tc>
        <w:tc>
          <w:tcPr>
            <w:tcW w:w="760" w:type="dxa"/>
            <w:vAlign w:val="bottom"/>
          </w:tcPr>
          <w:p>
            <w:pPr>
              <w:jc w:val="right"/>
              <w:spacing w:after="0"/>
              <w:rPr>
                <w:sz w:val="20"/>
                <w:szCs w:val="20"/>
                <w:color w:val="auto"/>
              </w:rPr>
            </w:pPr>
            <w:r>
              <w:rPr>
                <w:rFonts w:ascii="Arial" w:cs="Arial" w:eastAsia="Arial" w:hAnsi="Arial"/>
                <w:sz w:val="18"/>
                <w:szCs w:val="18"/>
                <w:color w:val="auto"/>
              </w:rPr>
              <w:t>79,158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Terrain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Topkick 4/5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Yukon</w:t>
            </w:r>
          </w:p>
        </w:tc>
        <w:tc>
          <w:tcPr>
            <w:tcW w:w="620" w:type="dxa"/>
            <w:vAlign w:val="bottom"/>
          </w:tcPr>
          <w:p>
            <w:pPr>
              <w:jc w:val="right"/>
              <w:spacing w:after="0"/>
              <w:rPr>
                <w:sz w:val="20"/>
                <w:szCs w:val="20"/>
                <w:color w:val="auto"/>
              </w:rPr>
            </w:pPr>
            <w:r>
              <w:rPr>
                <w:rFonts w:ascii="Arial" w:cs="Arial" w:eastAsia="Arial" w:hAnsi="Arial"/>
                <w:sz w:val="18"/>
                <w:szCs w:val="18"/>
                <w:color w:val="auto"/>
              </w:rPr>
              <w:t>3,597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2,387</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20,999</w:t>
            </w:r>
          </w:p>
        </w:tc>
        <w:tc>
          <w:tcPr>
            <w:tcW w:w="760" w:type="dxa"/>
            <w:vAlign w:val="bottom"/>
          </w:tcPr>
          <w:p>
            <w:pPr>
              <w:jc w:val="right"/>
              <w:spacing w:after="0"/>
              <w:rPr>
                <w:sz w:val="20"/>
                <w:szCs w:val="20"/>
                <w:color w:val="auto"/>
              </w:rPr>
            </w:pPr>
            <w:r>
              <w:rPr>
                <w:rFonts w:ascii="Arial" w:cs="Arial" w:eastAsia="Arial" w:hAnsi="Arial"/>
                <w:sz w:val="18"/>
                <w:szCs w:val="18"/>
                <w:color w:val="auto"/>
              </w:rPr>
              <w:t>16,564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Yukon XL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GMC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36,471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25,986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261,753</w:t>
            </w:r>
          </w:p>
        </w:tc>
        <w:tc>
          <w:tcPr>
            <w:tcW w:w="760" w:type="dxa"/>
            <w:vAlign w:val="bottom"/>
          </w:tcPr>
          <w:p>
            <w:pPr>
              <w:jc w:val="right"/>
              <w:spacing w:after="0"/>
              <w:rPr>
                <w:sz w:val="20"/>
                <w:szCs w:val="20"/>
                <w:color w:val="auto"/>
              </w:rPr>
            </w:pPr>
            <w:r>
              <w:rPr>
                <w:rFonts w:ascii="Arial" w:cs="Arial" w:eastAsia="Arial" w:hAnsi="Arial"/>
                <w:sz w:val="18"/>
                <w:szCs w:val="18"/>
                <w:color w:val="auto"/>
              </w:rPr>
              <w:t>206,101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218,479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184,921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1,695,027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1,453,930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HUMMER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3,344</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Saab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11,459</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GM Vehicle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218,479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185,176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1,695,027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1,465,389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96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ind w:left="640"/>
              <w:spacing w:after="0"/>
              <w:rPr>
                <w:sz w:val="20"/>
                <w:szCs w:val="20"/>
                <w:color w:val="auto"/>
              </w:rPr>
            </w:pPr>
            <w:r>
              <w:rPr>
                <w:rFonts w:ascii="Arial" w:cs="Arial" w:eastAsia="Arial" w:hAnsi="Arial"/>
                <w:sz w:val="18"/>
                <w:szCs w:val="18"/>
                <w:color w:val="auto"/>
                <w:w w:val="93"/>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07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2019-12-11T06:09:01Z</dcterms:created>
  <dcterms:modified xsi:type="dcterms:W3CDTF">2019-12-11T06:09:01Z</dcterms:modified>
</cp:coreProperties>
</file>