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20549-1004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10-Q</w:t>
      </w:r>
    </w:p>
    <w:p>
      <w:pPr>
        <w:spacing w:after="0" w:line="177" w:lineRule="exact"/>
        <w:rPr>
          <w:sz w:val="24"/>
          <w:szCs w:val="24"/>
          <w:color w:val="auto"/>
        </w:rPr>
      </w:pPr>
    </w:p>
    <w:p>
      <w:pPr>
        <w:ind w:left="440" w:right="640" w:hanging="405"/>
        <w:spacing w:after="0" w:line="354" w:lineRule="auto"/>
        <w:tabs>
          <w:tab w:leader="none" w:pos="724"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 For the quarterly period ended March 31, 2016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OR</w:t>
      </w:r>
    </w:p>
    <w:p>
      <w:pPr>
        <w:spacing w:after="0" w:line="17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2" w:lineRule="exact"/>
        <w:rPr>
          <w:sz w:val="24"/>
          <w:szCs w:val="24"/>
          <w:color w:val="auto"/>
        </w:rPr>
      </w:pPr>
    </w:p>
    <w:p>
      <w:pPr>
        <w:ind w:left="440"/>
        <w:spacing w:after="0"/>
        <w:tabs>
          <w:tab w:leader="none" w:pos="368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Commission file number 001-34960</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GENERAL MOTORS COMPANY</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i w:val="1"/>
          <w:iCs w:val="1"/>
          <w:color w:val="auto"/>
        </w:rPr>
        <w:t>(Exact name of registrant as specified in its charter)</w:t>
      </w:r>
    </w:p>
    <w:p>
      <w:pPr>
        <w:spacing w:after="0" w:line="140" w:lineRule="exact"/>
        <w:rPr>
          <w:sz w:val="24"/>
          <w:szCs w:val="24"/>
          <w:color w:val="auto"/>
        </w:rPr>
      </w:pPr>
    </w:p>
    <w:tbl>
      <w:tblPr>
        <w:tblLayout w:type="fixed"/>
        <w:tblInd w:w="1060" w:type="dxa"/>
        <w:tblCellMar>
          <w:top w:w="0" w:type="dxa"/>
          <w:left w:w="0" w:type="dxa"/>
          <w:bottom w:w="0" w:type="dxa"/>
          <w:right w:w="0" w:type="dxa"/>
        </w:tblCellMar>
      </w:tblPr>
      <w:tr>
        <w:trPr>
          <w:trHeight w:val="256"/>
        </w:trPr>
        <w:tc>
          <w:tcPr>
            <w:tcW w:w="6760" w:type="dxa"/>
            <w:vAlign w:val="bottom"/>
          </w:tcPr>
          <w:p>
            <w:pPr>
              <w:jc w:val="center"/>
              <w:ind w:right="3061"/>
              <w:spacing w:after="0"/>
              <w:rPr>
                <w:sz w:val="20"/>
                <w:szCs w:val="20"/>
                <w:color w:val="auto"/>
              </w:rPr>
            </w:pPr>
            <w:r>
              <w:rPr>
                <w:rFonts w:ascii="Arial" w:cs="Arial" w:eastAsia="Arial" w:hAnsi="Arial"/>
                <w:sz w:val="20"/>
                <w:szCs w:val="20"/>
                <w:b w:val="1"/>
                <w:bCs w:val="1"/>
                <w:color w:val="auto"/>
                <w:w w:val="96"/>
              </w:rPr>
              <w:t>STATE OF DELAWARE</w:t>
            </w: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88"/>
              </w:rPr>
              <w:t>27-0756180</w:t>
            </w:r>
          </w:p>
        </w:tc>
      </w:tr>
      <w:tr>
        <w:trPr>
          <w:trHeight w:val="263"/>
        </w:trPr>
        <w:tc>
          <w:tcPr>
            <w:tcW w:w="6760" w:type="dxa"/>
            <w:vAlign w:val="bottom"/>
          </w:tcPr>
          <w:p>
            <w:pPr>
              <w:jc w:val="center"/>
              <w:ind w:right="3061"/>
              <w:spacing w:after="0"/>
              <w:rPr>
                <w:sz w:val="20"/>
                <w:szCs w:val="20"/>
                <w:color w:val="auto"/>
              </w:rPr>
            </w:pPr>
            <w:r>
              <w:rPr>
                <w:rFonts w:ascii="Arial" w:cs="Arial" w:eastAsia="Arial" w:hAnsi="Arial"/>
                <w:sz w:val="20"/>
                <w:szCs w:val="20"/>
                <w:i w:val="1"/>
                <w:iCs w:val="1"/>
                <w:color w:val="auto"/>
                <w:w w:val="92"/>
              </w:rPr>
              <w:t>(State or other jurisdiction of</w:t>
            </w:r>
          </w:p>
        </w:tc>
        <w:tc>
          <w:tcPr>
            <w:tcW w:w="1480" w:type="dxa"/>
            <w:vAlign w:val="bottom"/>
          </w:tcPr>
          <w:p>
            <w:pPr>
              <w:jc w:val="center"/>
              <w:spacing w:after="0"/>
              <w:rPr>
                <w:sz w:val="20"/>
                <w:szCs w:val="20"/>
                <w:color w:val="auto"/>
              </w:rPr>
            </w:pPr>
            <w:r>
              <w:rPr>
                <w:rFonts w:ascii="Arial" w:cs="Arial" w:eastAsia="Arial" w:hAnsi="Arial"/>
                <w:sz w:val="20"/>
                <w:szCs w:val="20"/>
                <w:i w:val="1"/>
                <w:iCs w:val="1"/>
                <w:color w:val="auto"/>
                <w:w w:val="88"/>
              </w:rPr>
              <w:t>(I.R.S. Employer</w:t>
            </w:r>
          </w:p>
        </w:tc>
      </w:tr>
      <w:tr>
        <w:trPr>
          <w:trHeight w:val="250"/>
        </w:trPr>
        <w:tc>
          <w:tcPr>
            <w:tcW w:w="6760" w:type="dxa"/>
            <w:vAlign w:val="bottom"/>
          </w:tcPr>
          <w:p>
            <w:pPr>
              <w:jc w:val="center"/>
              <w:ind w:right="3061"/>
              <w:spacing w:after="0"/>
              <w:rPr>
                <w:sz w:val="20"/>
                <w:szCs w:val="20"/>
                <w:color w:val="auto"/>
              </w:rPr>
            </w:pPr>
            <w:r>
              <w:rPr>
                <w:rFonts w:ascii="Arial" w:cs="Arial" w:eastAsia="Arial" w:hAnsi="Arial"/>
                <w:sz w:val="20"/>
                <w:szCs w:val="20"/>
                <w:i w:val="1"/>
                <w:iCs w:val="1"/>
                <w:color w:val="auto"/>
                <w:w w:val="93"/>
              </w:rPr>
              <w:t>incorporation or organization)</w:t>
            </w:r>
          </w:p>
        </w:tc>
        <w:tc>
          <w:tcPr>
            <w:tcW w:w="1480" w:type="dxa"/>
            <w:vAlign w:val="bottom"/>
          </w:tcPr>
          <w:p>
            <w:pPr>
              <w:jc w:val="center"/>
              <w:spacing w:after="0"/>
              <w:rPr>
                <w:sz w:val="20"/>
                <w:szCs w:val="20"/>
                <w:color w:val="auto"/>
              </w:rPr>
            </w:pPr>
            <w:r>
              <w:rPr>
                <w:rFonts w:ascii="Arial" w:cs="Arial" w:eastAsia="Arial" w:hAnsi="Arial"/>
                <w:sz w:val="20"/>
                <w:szCs w:val="20"/>
                <w:i w:val="1"/>
                <w:iCs w:val="1"/>
                <w:color w:val="auto"/>
                <w:w w:val="93"/>
              </w:rPr>
              <w:t>Identification No.)</w:t>
            </w:r>
          </w:p>
        </w:tc>
      </w:tr>
      <w:tr>
        <w:trPr>
          <w:trHeight w:val="419"/>
        </w:trPr>
        <w:tc>
          <w:tcPr>
            <w:tcW w:w="6760" w:type="dxa"/>
            <w:vAlign w:val="bottom"/>
          </w:tcPr>
          <w:p>
            <w:pPr>
              <w:jc w:val="center"/>
              <w:ind w:right="3061"/>
              <w:spacing w:after="0"/>
              <w:rPr>
                <w:sz w:val="20"/>
                <w:szCs w:val="20"/>
                <w:color w:val="auto"/>
              </w:rPr>
            </w:pPr>
            <w:r>
              <w:rPr>
                <w:rFonts w:ascii="Arial" w:cs="Arial" w:eastAsia="Arial" w:hAnsi="Arial"/>
                <w:sz w:val="20"/>
                <w:szCs w:val="20"/>
                <w:b w:val="1"/>
                <w:bCs w:val="1"/>
                <w:color w:val="auto"/>
                <w:w w:val="89"/>
              </w:rPr>
              <w:t>300 Renaissance Center, Detroit, Michigan</w:t>
            </w: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88"/>
              </w:rPr>
              <w:t>48265-3000</w:t>
            </w:r>
          </w:p>
        </w:tc>
      </w:tr>
      <w:tr>
        <w:trPr>
          <w:trHeight w:val="284"/>
        </w:trPr>
        <w:tc>
          <w:tcPr>
            <w:tcW w:w="6760" w:type="dxa"/>
            <w:vAlign w:val="bottom"/>
          </w:tcPr>
          <w:p>
            <w:pPr>
              <w:jc w:val="center"/>
              <w:ind w:right="3041"/>
              <w:spacing w:after="0"/>
              <w:rPr>
                <w:sz w:val="20"/>
                <w:szCs w:val="20"/>
                <w:color w:val="auto"/>
              </w:rPr>
            </w:pPr>
            <w:r>
              <w:rPr>
                <w:rFonts w:ascii="Arial" w:cs="Arial" w:eastAsia="Arial" w:hAnsi="Arial"/>
                <w:sz w:val="20"/>
                <w:szCs w:val="20"/>
                <w:i w:val="1"/>
                <w:iCs w:val="1"/>
                <w:color w:val="auto"/>
                <w:w w:val="90"/>
              </w:rPr>
              <w:t>(Address of principal executive offices)</w:t>
            </w:r>
          </w:p>
        </w:tc>
        <w:tc>
          <w:tcPr>
            <w:tcW w:w="1480" w:type="dxa"/>
            <w:vAlign w:val="bottom"/>
          </w:tcPr>
          <w:p>
            <w:pPr>
              <w:jc w:val="center"/>
              <w:spacing w:after="0"/>
              <w:rPr>
                <w:sz w:val="20"/>
                <w:szCs w:val="20"/>
                <w:color w:val="auto"/>
              </w:rPr>
            </w:pPr>
            <w:r>
              <w:rPr>
                <w:rFonts w:ascii="Arial" w:cs="Arial" w:eastAsia="Arial" w:hAnsi="Arial"/>
                <w:sz w:val="20"/>
                <w:szCs w:val="20"/>
                <w:i w:val="1"/>
                <w:iCs w:val="1"/>
                <w:color w:val="auto"/>
                <w:w w:val="90"/>
              </w:rPr>
              <w:t>(Zip Code)</w:t>
            </w:r>
          </w:p>
        </w:tc>
      </w:tr>
      <w:tr>
        <w:trPr>
          <w:trHeight w:val="236"/>
        </w:trPr>
        <w:tc>
          <w:tcPr>
            <w:tcW w:w="6760" w:type="dxa"/>
            <w:vAlign w:val="bottom"/>
          </w:tcPr>
          <w:p>
            <w:pPr>
              <w:jc w:val="center"/>
              <w:ind w:left="2461"/>
              <w:spacing w:after="0"/>
              <w:rPr>
                <w:sz w:val="20"/>
                <w:szCs w:val="20"/>
                <w:color w:val="auto"/>
              </w:rPr>
            </w:pPr>
            <w:r>
              <w:rPr>
                <w:rFonts w:ascii="Arial" w:cs="Arial" w:eastAsia="Arial" w:hAnsi="Arial"/>
                <w:sz w:val="20"/>
                <w:szCs w:val="20"/>
                <w:b w:val="1"/>
                <w:bCs w:val="1"/>
                <w:color w:val="auto"/>
                <w:w w:val="90"/>
              </w:rPr>
              <w:t>(313) 556-5000</w:t>
            </w:r>
          </w:p>
        </w:tc>
        <w:tc>
          <w:tcPr>
            <w:tcW w:w="1480" w:type="dxa"/>
            <w:vAlign w:val="bottom"/>
          </w:tcPr>
          <w:p>
            <w:pPr>
              <w:spacing w:after="0"/>
              <w:rPr>
                <w:sz w:val="20"/>
                <w:szCs w:val="20"/>
                <w:color w:val="auto"/>
              </w:rPr>
            </w:pPr>
          </w:p>
        </w:tc>
      </w:tr>
      <w:tr>
        <w:trPr>
          <w:trHeight w:val="250"/>
        </w:trPr>
        <w:tc>
          <w:tcPr>
            <w:tcW w:w="6760" w:type="dxa"/>
            <w:vAlign w:val="bottom"/>
          </w:tcPr>
          <w:p>
            <w:pPr>
              <w:jc w:val="center"/>
              <w:ind w:left="2461"/>
              <w:spacing w:after="0"/>
              <w:rPr>
                <w:sz w:val="20"/>
                <w:szCs w:val="20"/>
                <w:color w:val="auto"/>
              </w:rPr>
            </w:pPr>
            <w:r>
              <w:rPr>
                <w:rFonts w:ascii="Arial" w:cs="Arial" w:eastAsia="Arial" w:hAnsi="Arial"/>
                <w:sz w:val="20"/>
                <w:szCs w:val="20"/>
                <w:i w:val="1"/>
                <w:iCs w:val="1"/>
                <w:color w:val="auto"/>
                <w:w w:val="89"/>
              </w:rPr>
              <w:t>(Registrant’s telephone number, including area code)</w:t>
            </w:r>
          </w:p>
        </w:tc>
        <w:tc>
          <w:tcPr>
            <w:tcW w:w="1480" w:type="dxa"/>
            <w:vAlign w:val="bottom"/>
          </w:tcPr>
          <w:p>
            <w:pPr>
              <w:spacing w:after="0"/>
              <w:rPr>
                <w:sz w:val="21"/>
                <w:szCs w:val="21"/>
                <w:color w:val="auto"/>
              </w:rPr>
            </w:pPr>
          </w:p>
        </w:tc>
      </w:tr>
      <w:tr>
        <w:trPr>
          <w:trHeight w:val="438"/>
        </w:trPr>
        <w:tc>
          <w:tcPr>
            <w:tcW w:w="6760" w:type="dxa"/>
            <w:vAlign w:val="bottom"/>
          </w:tcPr>
          <w:p>
            <w:pPr>
              <w:jc w:val="center"/>
              <w:ind w:left="2441"/>
              <w:spacing w:after="0"/>
              <w:rPr>
                <w:sz w:val="20"/>
                <w:szCs w:val="20"/>
                <w:color w:val="auto"/>
              </w:rPr>
            </w:pPr>
            <w:r>
              <w:rPr>
                <w:rFonts w:ascii="Arial" w:cs="Arial" w:eastAsia="Arial" w:hAnsi="Arial"/>
                <w:sz w:val="20"/>
                <w:szCs w:val="20"/>
                <w:b w:val="1"/>
                <w:bCs w:val="1"/>
                <w:color w:val="auto"/>
                <w:w w:val="89"/>
              </w:rPr>
              <w:t>Not applicable</w:t>
            </w:r>
          </w:p>
        </w:tc>
        <w:tc>
          <w:tcPr>
            <w:tcW w:w="1480" w:type="dxa"/>
            <w:vAlign w:val="bottom"/>
          </w:tcPr>
          <w:p>
            <w:pPr>
              <w:spacing w:after="0"/>
              <w:rPr>
                <w:sz w:val="24"/>
                <w:szCs w:val="24"/>
                <w:color w:val="auto"/>
              </w:rPr>
            </w:pPr>
          </w:p>
        </w:tc>
      </w:tr>
      <w:tr>
        <w:trPr>
          <w:trHeight w:val="250"/>
        </w:trPr>
        <w:tc>
          <w:tcPr>
            <w:tcW w:w="8240" w:type="dxa"/>
            <w:vAlign w:val="bottom"/>
            <w:gridSpan w:val="2"/>
          </w:tcPr>
          <w:p>
            <w:pPr>
              <w:jc w:val="center"/>
              <w:ind w:left="981"/>
              <w:spacing w:after="0"/>
              <w:rPr>
                <w:sz w:val="20"/>
                <w:szCs w:val="20"/>
                <w:color w:val="auto"/>
              </w:rPr>
            </w:pPr>
            <w:r>
              <w:rPr>
                <w:rFonts w:ascii="Arial" w:cs="Arial" w:eastAsia="Arial" w:hAnsi="Arial"/>
                <w:sz w:val="20"/>
                <w:szCs w:val="20"/>
                <w:i w:val="1"/>
                <w:iCs w:val="1"/>
                <w:color w:val="auto"/>
                <w:w w:val="90"/>
              </w:rPr>
              <w:t>(Former name, former address and former fiscal year, if changed since last report)</w:t>
            </w:r>
          </w:p>
        </w:tc>
      </w:tr>
    </w:tbl>
    <w:p>
      <w:pPr>
        <w:spacing w:after="0" w:line="303" w:lineRule="exact"/>
        <w:rPr>
          <w:sz w:val="24"/>
          <w:szCs w:val="24"/>
          <w:color w:val="auto"/>
        </w:rPr>
      </w:pPr>
    </w:p>
    <w:p>
      <w:pPr>
        <w:jc w:val="both"/>
        <w:ind w:firstLine="108"/>
        <w:spacing w:after="0" w:line="244" w:lineRule="exact"/>
        <w:rPr>
          <w:sz w:val="20"/>
          <w:szCs w:val="20"/>
          <w:color w:val="auto"/>
        </w:rPr>
      </w:pPr>
      <w:r>
        <w:rPr>
          <w:rFonts w:ascii="Arial" w:cs="Arial" w:eastAsia="Arial" w:hAnsi="Arial"/>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Arial" w:cs="Arial" w:eastAsia="Arial" w:hAnsi="Arial"/>
          <w:sz w:val="20"/>
          <w:szCs w:val="20"/>
          <w:color w:val="auto"/>
        </w:rPr>
        <w:t xml:space="preserve"> No </w:t>
      </w:r>
      <w:r>
        <w:rPr>
          <w:rFonts w:ascii="MS PGothic" w:cs="MS PGothic" w:eastAsia="MS PGothic" w:hAnsi="MS PGothic"/>
          <w:sz w:val="20"/>
          <w:szCs w:val="20"/>
          <w:color w:val="auto"/>
        </w:rPr>
        <w:t>☐</w:t>
      </w:r>
    </w:p>
    <w:p>
      <w:pPr>
        <w:spacing w:after="0" w:line="67" w:lineRule="exact"/>
        <w:rPr>
          <w:sz w:val="24"/>
          <w:szCs w:val="24"/>
          <w:color w:val="auto"/>
        </w:rPr>
      </w:pPr>
    </w:p>
    <w:p>
      <w:pPr>
        <w:jc w:val="both"/>
        <w:ind w:right="20" w:firstLine="108"/>
        <w:spacing w:after="0" w:line="244" w:lineRule="exact"/>
        <w:rPr>
          <w:sz w:val="20"/>
          <w:szCs w:val="20"/>
          <w:color w:val="auto"/>
        </w:rPr>
      </w:pPr>
      <w:r>
        <w:rPr>
          <w:rFonts w:ascii="Arial" w:cs="Arial" w:eastAsia="Arial" w:hAnsi="Arial"/>
          <w:sz w:val="19"/>
          <w:szCs w:val="19"/>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68" w:lineRule="exact"/>
        <w:rPr>
          <w:sz w:val="24"/>
          <w:szCs w:val="24"/>
          <w:color w:val="auto"/>
        </w:rPr>
      </w:pPr>
    </w:p>
    <w:p>
      <w:pPr>
        <w:jc w:val="both"/>
        <w:ind w:firstLine="108"/>
        <w:spacing w:after="0" w:line="30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ind w:left="1560"/>
        <w:spacing w:after="0" w:line="230" w:lineRule="exact"/>
        <w:rPr>
          <w:sz w:val="20"/>
          <w:szCs w:val="20"/>
          <w:color w:val="auto"/>
        </w:rPr>
      </w:pPr>
      <w:r>
        <w:rPr>
          <w:rFonts w:ascii="Arial" w:cs="Arial" w:eastAsia="Arial" w:hAnsi="Arial"/>
          <w:sz w:val="20"/>
          <w:szCs w:val="20"/>
          <w:color w:val="auto"/>
        </w:rPr>
        <w:t xml:space="preserve">Large accelerated filer </w:t>
      </w:r>
      <w:r>
        <w:rPr>
          <w:rFonts w:ascii="MS PGothic" w:cs="MS PGothic" w:eastAsia="MS PGothic" w:hAnsi="MS PGothic"/>
          <w:sz w:val="20"/>
          <w:szCs w:val="20"/>
          <w:color w:val="auto"/>
        </w:rPr>
        <w:t>☑</w:t>
      </w:r>
      <w:r>
        <w:rPr>
          <w:rFonts w:ascii="Arial" w:cs="Arial" w:eastAsia="Arial" w:hAnsi="Arial"/>
          <w:sz w:val="20"/>
          <w:szCs w:val="20"/>
          <w:color w:val="auto"/>
        </w:rPr>
        <w:t xml:space="preserve"> Accelerated filer </w:t>
      </w:r>
      <w:r>
        <w:rPr>
          <w:rFonts w:ascii="MS PGothic" w:cs="MS PGothic" w:eastAsia="MS PGothic" w:hAnsi="MS PGothic"/>
          <w:sz w:val="20"/>
          <w:szCs w:val="20"/>
          <w:color w:val="auto"/>
        </w:rPr>
        <w:t>☐</w:t>
      </w:r>
      <w:r>
        <w:rPr>
          <w:rFonts w:ascii="Arial" w:cs="Arial" w:eastAsia="Arial" w:hAnsi="Arial"/>
          <w:sz w:val="20"/>
          <w:szCs w:val="20"/>
          <w:color w:val="auto"/>
        </w:rPr>
        <w:t xml:space="preserve"> Non-accelerated filer </w:t>
      </w:r>
      <w:r>
        <w:rPr>
          <w:rFonts w:ascii="MS PGothic" w:cs="MS PGothic" w:eastAsia="MS PGothic" w:hAnsi="MS PGothic"/>
          <w:sz w:val="20"/>
          <w:szCs w:val="20"/>
          <w:color w:val="auto"/>
        </w:rPr>
        <w:t>☐</w:t>
      </w:r>
      <w:r>
        <w:rPr>
          <w:rFonts w:ascii="Arial" w:cs="Arial" w:eastAsia="Arial" w:hAnsi="Arial"/>
          <w:sz w:val="20"/>
          <w:szCs w:val="20"/>
          <w:color w:val="auto"/>
        </w:rPr>
        <w:t xml:space="preserve"> Smaller reporting company </w:t>
      </w:r>
      <w:r>
        <w:rPr>
          <w:rFonts w:ascii="MS PGothic" w:cs="MS PGothic" w:eastAsia="MS PGothic" w:hAnsi="MS PGothic"/>
          <w:sz w:val="20"/>
          <w:szCs w:val="20"/>
          <w:color w:val="auto"/>
        </w:rPr>
        <w:t>☐</w:t>
      </w:r>
    </w:p>
    <w:p>
      <w:pPr>
        <w:spacing w:after="0" w:line="115" w:lineRule="exact"/>
        <w:rPr>
          <w:sz w:val="24"/>
          <w:szCs w:val="24"/>
          <w:color w:val="auto"/>
        </w:rPr>
      </w:pPr>
    </w:p>
    <w:p>
      <w:pPr>
        <w:ind w:left="120"/>
        <w:spacing w:after="0" w:line="230" w:lineRule="exact"/>
        <w:rPr>
          <w:sz w:val="20"/>
          <w:szCs w:val="20"/>
          <w:color w:val="auto"/>
        </w:rPr>
      </w:pPr>
      <w:r>
        <w:rPr>
          <w:rFonts w:ascii="Arial" w:cs="Arial" w:eastAsia="Arial" w:hAnsi="Arial"/>
          <w:sz w:val="20"/>
          <w:szCs w:val="20"/>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rFonts w:ascii="Arial" w:cs="Arial" w:eastAsia="Arial" w:hAnsi="Arial"/>
          <w:sz w:val="20"/>
          <w:szCs w:val="20"/>
          <w:color w:val="auto"/>
        </w:rPr>
        <w:t xml:space="preserve"> No </w:t>
      </w:r>
      <w:r>
        <w:rPr>
          <w:rFonts w:ascii="MS PGothic" w:cs="MS PGothic" w:eastAsia="MS PGothic" w:hAnsi="MS PGothic"/>
          <w:sz w:val="20"/>
          <w:szCs w:val="20"/>
          <w:color w:val="auto"/>
        </w:rPr>
        <w:t>☑</w:t>
      </w:r>
    </w:p>
    <w:p>
      <w:pPr>
        <w:spacing w:after="0" w:line="138" w:lineRule="exact"/>
        <w:rPr>
          <w:sz w:val="24"/>
          <w:szCs w:val="24"/>
          <w:color w:val="auto"/>
        </w:rPr>
      </w:pPr>
    </w:p>
    <w:p>
      <w:pPr>
        <w:ind w:left="120"/>
        <w:spacing w:after="0"/>
        <w:rPr>
          <w:sz w:val="20"/>
          <w:szCs w:val="20"/>
          <w:color w:val="auto"/>
        </w:rPr>
      </w:pPr>
      <w:r>
        <w:rPr>
          <w:rFonts w:ascii="Arial" w:cs="Arial" w:eastAsia="Arial" w:hAnsi="Arial"/>
          <w:sz w:val="20"/>
          <w:szCs w:val="20"/>
          <w:color w:val="auto"/>
        </w:rPr>
        <w:t>As of April 14, 2016 the number of shares outstanding of common stock was 1,539,825,376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4"/>
          </w:tcPr>
          <w:p>
            <w:pPr>
              <w:ind w:left="168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 net</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4.</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Inventories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6.</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Debt</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Stockholders' Equity</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Subsequent Event</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Controls and Procedures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334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Legal Proceedings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Signature</w:t>
            </w: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983"/>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2016</w:t>
            </w:r>
          </w:p>
        </w:tc>
        <w:tc>
          <w:tcPr>
            <w:tcW w:w="240" w:type="dxa"/>
            <w:vAlign w:val="bottom"/>
          </w:tcPr>
          <w:p>
            <w:pPr>
              <w:spacing w:after="0"/>
              <w:rPr>
                <w:sz w:val="22"/>
                <w:szCs w:val="22"/>
                <w:color w:val="auto"/>
              </w:rPr>
            </w:pPr>
          </w:p>
        </w:tc>
        <w:tc>
          <w:tcPr>
            <w:tcW w:w="1340" w:type="dxa"/>
            <w:vAlign w:val="bottom"/>
          </w:tcPr>
          <w:p>
            <w:pPr>
              <w:jc w:val="right"/>
              <w:ind w:right="303"/>
              <w:spacing w:after="0"/>
              <w:rPr>
                <w:sz w:val="20"/>
                <w:szCs w:val="20"/>
                <w:color w:val="auto"/>
              </w:rPr>
            </w:pPr>
            <w:r>
              <w:rPr>
                <w:rFonts w:ascii="Arial" w:cs="Arial" w:eastAsia="Arial" w:hAnsi="Arial"/>
                <w:sz w:val="13"/>
                <w:szCs w:val="13"/>
                <w:b w:val="1"/>
                <w:bCs w:val="1"/>
                <w:color w:val="auto"/>
              </w:rPr>
              <w:t>March 31, 2015</w:t>
            </w:r>
          </w:p>
        </w:tc>
      </w:tr>
      <w:tr>
        <w:trPr>
          <w:trHeight w:val="210"/>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Automotive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6"/>
              <w:spacing w:after="0"/>
              <w:rPr>
                <w:sz w:val="20"/>
                <w:szCs w:val="20"/>
                <w:color w:val="auto"/>
              </w:rPr>
            </w:pPr>
            <w:r>
              <w:rPr>
                <w:rFonts w:ascii="Arial" w:cs="Arial" w:eastAsia="Arial" w:hAnsi="Arial"/>
                <w:sz w:val="16"/>
                <w:szCs w:val="16"/>
                <w:color w:val="auto"/>
              </w:rPr>
              <w:t>35,195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34,364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2,070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1,348</w:t>
            </w: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Total net sales and revenue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6"/>
              <w:spacing w:after="0"/>
              <w:rPr>
                <w:sz w:val="20"/>
                <w:szCs w:val="20"/>
                <w:color w:val="auto"/>
              </w:rPr>
            </w:pPr>
            <w:r>
              <w:rPr>
                <w:rFonts w:ascii="Arial" w:cs="Arial" w:eastAsia="Arial" w:hAnsi="Arial"/>
                <w:sz w:val="16"/>
                <w:szCs w:val="16"/>
                <w:color w:val="auto"/>
              </w:rPr>
              <w:t>37,265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35,712</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bl>
    <w:p>
      <w:pPr>
        <w:spacing w:after="0" w:line="17" w:lineRule="exact"/>
        <w:rPr>
          <w:sz w:val="20"/>
          <w:szCs w:val="20"/>
          <w:color w:val="auto"/>
        </w:rPr>
      </w:pPr>
    </w:p>
    <w:p>
      <w:pPr>
        <w:sectPr>
          <w:pgSz w:w="11900" w:h="16838" w:orient="portrait"/>
          <w:cols w:equalWidth="0" w:num="1">
            <w:col w:w="11420"/>
          </w:cols>
          <w:pgMar w:left="240" w:top="341" w:right="239" w:bottom="1440" w:gutter="0" w:footer="0" w:header="0"/>
        </w:sectPr>
      </w:pPr>
    </w:p>
    <w:p>
      <w:pPr>
        <w:ind w:left="180"/>
        <w:spacing w:after="0"/>
        <w:rPr>
          <w:sz w:val="20"/>
          <w:szCs w:val="20"/>
          <w:color w:val="auto"/>
        </w:rPr>
      </w:pPr>
      <w:r>
        <w:rPr>
          <w:rFonts w:ascii="Arial" w:cs="Arial" w:eastAsia="Arial" w:hAnsi="Arial"/>
          <w:sz w:val="16"/>
          <w:szCs w:val="16"/>
          <w:color w:val="auto"/>
        </w:rPr>
        <w:t>Automotive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GM Financial interest, operating and other expenses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Automotive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costs and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Automotive 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income and other non-operating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income (Note 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(Note 11)</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attributable to noncontrolling interests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Earnings per share (Note 14)</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Basic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30,589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30,674</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1,886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1,168</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3,117</w:t>
            </w:r>
          </w:p>
        </w:tc>
      </w:tr>
      <w:tr>
        <w:trPr>
          <w:trHeight w:val="33"/>
        </w:trPr>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35,293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34,959</w:t>
            </w:r>
          </w:p>
        </w:tc>
      </w:tr>
      <w:tr>
        <w:trPr>
          <w:trHeight w:val="33"/>
        </w:trPr>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753</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553</w:t>
            </w:r>
          </w:p>
        </w:tc>
      </w:tr>
      <w:tr>
        <w:trPr>
          <w:trHeight w:val="33"/>
        </w:trPr>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2,490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1,437</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529</w:t>
            </w:r>
          </w:p>
        </w:tc>
      </w:tr>
      <w:tr>
        <w:trPr>
          <w:trHeight w:val="33"/>
        </w:trPr>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908</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945</w:t>
            </w:r>
          </w:p>
        </w:tc>
      </w:tr>
      <w:tr>
        <w:trPr>
          <w:trHeight w:val="33"/>
        </w:trPr>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40" w:lineRule="exact"/>
        <w:rPr>
          <w:sz w:val="20"/>
          <w:szCs w:val="20"/>
          <w:color w:val="auto"/>
        </w:rPr>
      </w:pPr>
    </w:p>
    <w:p>
      <w:pPr>
        <w:sectPr>
          <w:pgSz w:w="11900" w:h="16838" w:orient="portrait"/>
          <w:cols w:equalWidth="0" w:num="2">
            <w:col w:w="7400" w:space="720"/>
            <w:col w:w="330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w:t>
            </w:r>
          </w:p>
        </w:tc>
        <w:tc>
          <w:tcPr>
            <w:tcW w:w="30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0.58</w:t>
            </w:r>
          </w:p>
        </w:tc>
      </w:tr>
      <w:tr>
        <w:trPr>
          <w:trHeight w:val="237"/>
        </w:trPr>
        <w:tc>
          <w:tcPr>
            <w:tcW w:w="56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30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1,546</w:t>
            </w:r>
          </w:p>
        </w:tc>
        <w:tc>
          <w:tcPr>
            <w:tcW w:w="7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1,617</w:t>
            </w:r>
          </w:p>
        </w:tc>
      </w:tr>
      <w:tr>
        <w:trPr>
          <w:trHeight w:val="33"/>
        </w:trPr>
        <w:tc>
          <w:tcPr>
            <w:tcW w:w="5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Diluted</w:t>
            </w:r>
          </w:p>
        </w:tc>
        <w:tc>
          <w:tcPr>
            <w:tcW w:w="30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180"/>
              <w:spacing w:after="0"/>
              <w:rPr>
                <w:sz w:val="20"/>
                <w:szCs w:val="20"/>
                <w:color w:val="auto"/>
              </w:rPr>
            </w:pPr>
            <w:r>
              <w:rPr>
                <w:rFonts w:ascii="Arial" w:cs="Arial" w:eastAsia="Arial" w:hAnsi="Arial"/>
                <w:sz w:val="16"/>
                <w:szCs w:val="16"/>
                <w:color w:val="auto"/>
              </w:rPr>
              <w:t>Diluted earnings per common share</w:t>
            </w:r>
          </w:p>
        </w:tc>
        <w:tc>
          <w:tcPr>
            <w:tcW w:w="30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0.56</w:t>
            </w:r>
          </w:p>
        </w:tc>
      </w:tr>
      <w:tr>
        <w:trPr>
          <w:trHeight w:val="33"/>
        </w:trPr>
        <w:tc>
          <w:tcPr>
            <w:tcW w:w="5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30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1,580</w:t>
            </w: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1,686</w:t>
            </w:r>
          </w:p>
        </w:tc>
      </w:tr>
      <w:tr>
        <w:trPr>
          <w:trHeight w:val="122"/>
        </w:trPr>
        <w:tc>
          <w:tcPr>
            <w:tcW w:w="56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37"/>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3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0.38</w:t>
            </w:r>
          </w:p>
        </w:tc>
        <w:tc>
          <w:tcPr>
            <w:tcW w:w="7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r>
      <w:tr>
        <w:trPr>
          <w:trHeight w:val="33"/>
        </w:trPr>
        <w:tc>
          <w:tcPr>
            <w:tcW w:w="566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981"/>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2016</w:t>
            </w:r>
          </w:p>
        </w:tc>
        <w:tc>
          <w:tcPr>
            <w:tcW w:w="240" w:type="dxa"/>
            <w:vAlign w:val="bottom"/>
          </w:tcPr>
          <w:p>
            <w:pPr>
              <w:spacing w:after="0"/>
              <w:rPr>
                <w:sz w:val="22"/>
                <w:szCs w:val="22"/>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March 31, 2015</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908</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 net of tax (Note 13)</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Defined benefit plans, net</w:t>
            </w:r>
          </w:p>
        </w:tc>
        <w:tc>
          <w:tcPr>
            <w:tcW w:w="240" w:type="dxa"/>
            <w:vAlign w:val="bottom"/>
          </w:tcPr>
          <w:p>
            <w:pPr>
              <w:spacing w:after="0"/>
              <w:rPr>
                <w:sz w:val="20"/>
                <w:szCs w:val="20"/>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554</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751</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1,893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1,659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attributable to stockholders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1,935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1,687</w:t>
            </w:r>
          </w:p>
        </w:tc>
      </w:tr>
      <w:tr>
        <w:trPr>
          <w:trHeight w:val="33"/>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should be made to the notes to condensed consolidated financial statements.</w:t>
      </w:r>
    </w:p>
    <w:p>
      <w:pPr>
        <w:sectPr>
          <w:pgSz w:w="11900" w:h="16838" w:orient="portrait"/>
          <w:cols w:equalWidth="0" w:num="1">
            <w:col w:w="11420"/>
          </w:cols>
          <w:pgMar w:left="240" w:top="341" w:right="2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4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2015</w:t>
            </w: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15,238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Marketable securities (Note 2)</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6,537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8,163</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and marketable securities (Note 2; Note 6 at VIEs)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and notes receivable, net</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8,337</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3; Note 6 at VIEs)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18,051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Inventories (Note 4)</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15,817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13,764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1,658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1,482</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71,034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69,408</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and marketable securities (Note 2; Note 6 at VIEs)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receivables, net (Note 3; Note 6 at VIEs)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18,500</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net assets of nonconsolidated affiliates (Note 5)</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Property, net</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32,652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31,229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and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equipment on operating leases, net (Note 6 at VIEs)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24,538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20,172</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 (Note 1)</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36,860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3,705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2,438</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124,930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203,618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194,338</w:t>
            </w:r>
          </w:p>
        </w:tc>
      </w:tr>
      <w:tr>
        <w:trPr>
          <w:trHeight w:val="73"/>
        </w:trPr>
        <w:tc>
          <w:tcPr>
            <w:tcW w:w="8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302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74"/>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6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6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9)</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13)</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26,766</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24,062</w:t>
            </w:r>
          </w:p>
        </w:tc>
      </w:tr>
      <w:tr>
        <w:trPr>
          <w:trHeight w:val="54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20,756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18,745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26,633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27,593</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74,987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71,217</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9,946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7,948</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39,615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35,601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5,720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5,685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19,245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20,911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12,780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12,653</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87,306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82,798</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162,293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154,015</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27,463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27,607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21,508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20,285</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(8,054)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(8,036)</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40,932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39,871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452</w:t>
            </w:r>
          </w:p>
        </w:tc>
      </w:tr>
    </w:tbl>
    <w:p>
      <w:pPr>
        <w:spacing w:after="0" w:line="13" w:lineRule="exact"/>
        <w:rPr>
          <w:sz w:val="20"/>
          <w:szCs w:val="20"/>
          <w:color w:val="auto"/>
        </w:rPr>
      </w:pPr>
    </w:p>
    <w:p>
      <w:pPr>
        <w:sectPr>
          <w:pgSz w:w="11900" w:h="16838" w:orient="portrait"/>
          <w:cols w:equalWidth="0" w:num="2">
            <w:col w:w="7400" w:space="720"/>
            <w:col w:w="330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41,325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40,323</w:t>
            </w:r>
          </w:p>
        </w:tc>
      </w:tr>
      <w:tr>
        <w:trPr>
          <w:trHeight w:val="33"/>
        </w:trPr>
        <w:tc>
          <w:tcPr>
            <w:tcW w:w="8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203,618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194,338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341" w:right="239" w:bottom="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41" w:right="239" w:bottom="0" w:gutter="0" w:footer="0" w:header="0"/>
          <w:type w:val="continuous"/>
        </w:sectPr>
      </w:pPr>
    </w:p>
    <w:bookmarkStart w:id="4" w:name="page5"/>
    <w:bookmarkEnd w:id="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Pr>
          <w:p>
            <w:pPr>
              <w:spacing w:after="0"/>
              <w:rPr>
                <w:sz w:val="22"/>
                <w:szCs w:val="22"/>
                <w:color w:val="auto"/>
              </w:rPr>
            </w:pPr>
          </w:p>
        </w:tc>
        <w:tc>
          <w:tcPr>
            <w:tcW w:w="1380" w:type="dxa"/>
            <w:vAlign w:val="bottom"/>
          </w:tcPr>
          <w:p>
            <w:pPr>
              <w:jc w:val="right"/>
              <w:ind w:right="230"/>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908</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Foreign currency remeasurement and transaction losses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188</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discount and issuance costs on debt issues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Undistributed earnings of nonconsolidated affiliates, net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Pension contributions and OPEB payments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Pension and OPEB (income) expense, net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for deferred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Change in other operating assets and liabilities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(1,968)</w:t>
            </w:r>
          </w:p>
        </w:tc>
      </w:tr>
      <w:tr>
        <w:trPr>
          <w:trHeight w:val="27"/>
        </w:trPr>
        <w:tc>
          <w:tcPr>
            <w:tcW w:w="8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Expenditures for property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Available-for-sale marketable securities, acquisitions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(1,634)</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Trading marketable securities,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Available-for-sale marketable securities, liquidations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2,467</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Trading marketable securities, liquidations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Acquisition of companies/investments, net of cash acquired</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in restricted cash and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Decrease in restricted cash and marketable securities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finance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Principal collections and recoveries on finance receivables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2,814</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leased vehicles,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Proceeds from termination of leased vehicles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185</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investing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(5,468)</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Net increase in short-term debt</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98</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6,155</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Payments on debt (original maturities greater than three months)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(3,109)</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Payments to purchase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financing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2,359</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37"/>
        </w:trPr>
        <w:tc>
          <w:tcPr>
            <w:tcW w:w="8040" w:type="dxa"/>
            <w:vAlign w:val="bottom"/>
          </w:tcPr>
          <w:p>
            <w:pPr>
              <w:ind w:left="160"/>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(3,178)</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18,954</w:t>
            </w: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14,894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15,776</w:t>
            </w:r>
          </w:p>
        </w:tc>
      </w:tr>
      <w:tr>
        <w:trPr>
          <w:trHeight w:val="67"/>
        </w:trPr>
        <w:tc>
          <w:tcPr>
            <w:tcW w:w="80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80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Significant Non-cash Investing Activity</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Non-cash property additions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1,649</w:t>
            </w: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380"/>
          </w:cols>
          <w:pgMar w:left="240" w:top="341" w:right="27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341" w:right="27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9"/>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36,024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Dividends declared or paid to noncontrolling interests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28,819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14,825</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36,823</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Balance at January 1,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27,607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20,285</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40,323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or paid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21,508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41,325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General Motors Company (sometimes referred to in this Quarterly Report on Form 10-Q as we, our, us, ourselves, the Company, General Motors or GM) designs, builds and sells cars, trucks, crossovers and automobile parts worldwide. We also provide automotive financing services through General Motors Financial Company, Inc. (GM Financial). We analyze the results of our business through the following segments: GM North America (GMNA), GM Europe (GME), GM International Operations (GMIO), GM South America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9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2015 Form 10-K. Except for per share amounts or as otherwise specified, dollar amounts presented within tables are stated in millions.</w:t>
      </w:r>
    </w:p>
    <w:p>
      <w:pPr>
        <w:spacing w:after="0" w:line="1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Effective January 1, 2016 we retrospectively adopted Accounting Standards Update (ASU) 2015-17, Balance Sheet Classification of Deferred Taxes, which requires all deferred tax assets and liabilities to be classified as non-current. As a result current Deferred income taxes and Accrued liabilities decreased by $8.6 billion and $249 million and non-current Deferred income taxes increased by $8.4 billion at December 31, 2015 in our condensed consolidated balance sheets.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2016 ASU 2016-02, Leases (ASU 2016-02), was issued which requires the lessee to recognize most leases on the balance sheet thereby resulting in the recognition of lease assets and liabilities for those leases currently classified as operating leases. The accounting for leases where we are the lessor is largely unchanged. ASU 2016-02 is effective for annual reporting periods beginning after December 15, 2018 with early adoption permitted. We are currently assessing the impact ASU 2016-02 will have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securities which approximates cost: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3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Sovereign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Trading securities – sovereign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 (including securities classified as cash equivalents)</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12,707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15,671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 primarily 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Restricted cash, cash equivalents and time deposits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Available-for-sale securities included above with contractual maturities</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Marketable securities classified as cash equivalents totaled $6.2 billion and $7.5 billion at March 31, 2016 and December 31, 2015 and consisted of corporate debt, money market funds and sovereign debt. Sales proceeds from investments classified as available-for-sale and sold prior to maturity were $2.6 billion and $1.4 billion in the three months ended March 31, 2016 and 2015. Net unrealized gains and losses on trading securities were insignificant in the three months ended March 31, 2016 and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GM Financial Receivables, net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17"/>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53"/>
        </w:trPr>
        <w:tc>
          <w:tcPr>
            <w:tcW w:w="47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29,476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38,370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36,551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Allowance for loan losses classified as current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(601)</w:t>
            </w:r>
          </w:p>
        </w:tc>
      </w:tr>
    </w:tbl>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GM Financial estimates the fair value of retail finance receivables using observable and unobservable inputs within a cash flow model, a Level 3 input.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or current interest rates. The weighted-average cost of capital uses unobservable debt and equity percentages, an unobservable cost of equity and an observable cost of debt based on companies with a similar credit rating and maturity profile as the portfolio. Macroeconomic factors could affect the credit performance of the portfolio and therefore could potentially affect the assumptions used in GM Financial's cash flow model. A substantial majority of GM Financial's commercial finance receivables have variable interest rates and maturities of one year or less. Therefore, the carrying amount is considered to be a reasonable estimate of fair value using Level 2 inputs.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loss allowance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Loan loss allowance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728</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activity for the allowance for commercial loan losses was insignificant in the three months ended March 31,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Retail Finance Receivables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uses proprietary scoring systems in its underwriting process that measure the credit quality of retail finance receivables using several factors, such as credit bureau information, consumer credit risk scores (e.g. FICO scores)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were considered to be prime credit quality. At March 31, 2016 and December 31, 2015, 57% and 60% of the retail finance receivables in North America were from consumers with sub-prime credit scores, which are defined as FICO scores of less than 620 at the time of loan origination.</w:t>
      </w:r>
    </w:p>
    <w:p>
      <w:pPr>
        <w:spacing w:after="0" w:line="1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payment was contractually due. At March 31, 2016 and December 31, 2015 the accrual of finance charge income had been suspended on delinquent retail finance receivables with contractual amounts due of $667 million and $778 million. The following table summarizes the contractual amount of delinquent contracts, which is not significantly different than the recorded investment of the retail finance receivables: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Amount Due</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At March 31, 2016 and December 31, 2015 retail finance receivables classified as troubled debt restructurings and individually evaluated for impairment were $1.7 billion and $1.6 billion and the allowance for loan losses included $229 million and $220 million of specific allowances on these receivables.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commercial finance receivables consist of dealer financings, primarily for inventory purchases. A proprietary model is used to assign a risk rating to each dealer. A credit review of each dealer is performed at least annually, and if necessary, the dealer's risk rating is adjusted on the basis of the review. The credit lines for Group VI dealers are typically suspended and no further funding is extended to these dealers. At March 31, 2016 and December 31, 2015 the commercial finance receivables on non-accrual status were insignificant. The following table summarizes the credit risk profile by dealer grouping of commercial finance receivables: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March 31, 2016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53"/>
        </w:trPr>
        <w:tc>
          <w:tcPr>
            <w:tcW w:w="52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 – Dealers with superior financial metrics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1,316</w:t>
            </w:r>
          </w:p>
        </w:tc>
        <w:tc>
          <w:tcPr>
            <w:tcW w:w="5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Group II – Dealers with strong financial metrics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2,775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 – Dealers with fair financial metrics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2,872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Group IV – Dealers with weak financial metrics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55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Group V – Dealers warranting special mention due to potential weaknesses</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6560" w:type="dxa"/>
            <w:vAlign w:val="bottom"/>
            <w:gridSpan w:val="4"/>
          </w:tcPr>
          <w:p>
            <w:pPr>
              <w:ind w:left="40"/>
              <w:spacing w:after="0"/>
              <w:rPr>
                <w:sz w:val="20"/>
                <w:szCs w:val="20"/>
                <w:color w:val="auto"/>
              </w:rPr>
            </w:pPr>
            <w:r>
              <w:rPr>
                <w:rFonts w:ascii="Arial" w:cs="Arial" w:eastAsia="Arial" w:hAnsi="Arial"/>
                <w:sz w:val="18"/>
                <w:szCs w:val="18"/>
                <w:color w:val="auto"/>
              </w:rPr>
              <w:t>Group VI – Dealers with loans classified as substandard, doubtful or impaired</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8,941</w:t>
            </w:r>
          </w:p>
        </w:tc>
        <w:tc>
          <w:tcPr>
            <w:tcW w:w="5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Inventories</w:t>
            </w: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2016</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782</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5,379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9,683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8,786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3,423</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8"/>
              </w:rPr>
              <w:t>1,340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15,817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2015</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7,589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2,879</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8"/>
              </w:rPr>
              <w:t>1,229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13,764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Equity in Net Assets of Nonconsolidated Affiliates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 Our nonconsolidated affiliates are involved in various aspects of the development, production and marketing of cars, trucks, crossovers and automobile parts. We enter into transactions with certain nonconsolidated affiliates to purchase and sell component parts and vehicles. Revenue and expenses of our joint ventures are not consolidated into our financial statements; rather, our proportionate share of the earnings of each joint venture is reflected as Equity income. There have been no significant ownership changes in our Automotive China joint ventures (Automotive China JVs) since December 31, 2015. The following table summarizes information regarding Equity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JVs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joint ventures</w:t>
            </w: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Dividends received from nonconsolidated affiliates were insignificant in the three months ended March 31, 2016 and 2015. At March 31, 2016 and December 31, 2015 we had undistributed earnings of $2.6 billion and $2.2 billion related to our nonconsolidated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Variable Interest Entities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uses special purpose entities (SPEs) that are considered variable interest entities (VIEs) to issue variable funding notes to third party bank-sponsored warehouse facilities or asset-backed securities to investors in securitization transactions. The debt issued by these VIEs is backed by finance receivables and leasing related assets transferred by GM Financial to the VIEs (Securitized Assets). GM Financial holds variable interests in the VIEs that could potentially be significant to the VIEs. GM Financial determined that it is the primary beneficiary of the SPEs because: (1) the servicing responsibilities for the Securitized</w:t>
      </w:r>
    </w:p>
    <w:p>
      <w:pPr>
        <w:sectPr>
          <w:pgSz w:w="11900" w:h="16838" w:orient="portrait"/>
          <w:cols w:equalWidth="0" w:num="1">
            <w:col w:w="11420"/>
          </w:cols>
          <w:pgMar w:left="240" w:top="34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41"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Assets give GM Financial the power to direct the activities that most significantly impact the performance of the VIEs; and (2)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they are separate legal entities and their assets are legally owned by them and are not available to GM Financial's creditors. The following table summarizes the assets and liabilities related to GM Financial's consolidated VIEs: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2015</w:t>
            </w:r>
          </w:p>
        </w:tc>
      </w:tr>
      <w:tr>
        <w:trPr>
          <w:trHeight w:val="28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1,478</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1,345</w:t>
            </w:r>
          </w:p>
        </w:tc>
      </w:tr>
      <w:tr>
        <w:trPr>
          <w:trHeight w:val="289"/>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531</w:t>
            </w:r>
          </w:p>
        </w:tc>
      </w:tr>
      <w:tr>
        <w:trPr>
          <w:trHeight w:val="306"/>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GM Financial receivables, net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12,224</w:t>
            </w:r>
          </w:p>
        </w:tc>
      </w:tr>
      <w:tr>
        <w:trPr>
          <w:trHeight w:val="289"/>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GM Financial receivables, net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12,482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12,597</w:t>
            </w:r>
          </w:p>
        </w:tc>
      </w:tr>
      <w:tr>
        <w:trPr>
          <w:trHeight w:val="25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14,703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13,545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15,841</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Securitized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Debt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8,765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9,387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fair value of debt measured utilizing Level 1 inputs was based on quoted prices in active markets for identical instruments that a market participant can access at the measurement date. The fair value of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2016 we issued $2.0 billion in aggregate principal amount of senior unsecured notes comprising $1.25 billion of 6.60% notes due in 2036 and $750 million of 6.75% notes due in 2046. These notes contain terms and covenants customary of these types of securities including limitations on the amount of certain secured debt we may incur. The net proceeds from the issuance of these senior unsecured notes were used to fund discretionary contributions to our U.S. hourly pension plan as described in Note 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 Debt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6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2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27,638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27,999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23,657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23,726</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60,371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60,772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54,346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54,397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48,716</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Fair value utilizing Level 3 inputs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debt measured utilizing Level 2 inputs was based on quoted market prices for identical instruments and if unavailable, quoted market prices of similar instruments. For debt that has terms of one year or less or has been priced within the last six months, the carrying amount or par value is considered to be a reasonable estimate of fair value. The fair value of debt measured utilizing Level 3 inputs was based on the discounted future net cash flows expected to be settled using current risk-adjusted rates.</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Secured debt consists of revolving credit facilities and securitization notes payable. Most of the secured debt was issued by VIEs and is repayable only from proceeds related to the underlying pledged Securitized Assets. Refer to Note 6 for additional information on GM Financial's involvement with VIEs. In the three months ended March 31, 2016 GM Financial issued securitization notes payable of $3.2 billion and entered into new or renewed credit facilities with substantially the same terms as existing debt and a total net additional borrowing capacity of $366 million.</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Unsecured debt consists of senior notes, credit facilities, retail customer deposits and other unsecured debt. In March 2016 GM Financial issued $2.75 billion in aggregate principal amount of senior notes comprising $1.5 billion of 4.20% notes due in March 2021 and $1.25 billion of 5.25% notes due in March 2026. These notes contain terms and covenants customary of these types of securities including limitations on GM Financial's ability to incur certain liens.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accepts deposits from retail banking customers in Germany. At March 31, 2016 the outstanding balance of these deposits was $1.6 billion, of which 41% were overnight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Product Warranty and Related Liabilities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activity for product warranty and related liabilities which include policy, product warranty, recall campaigns and courtesy transportation: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9,646</w:t>
            </w:r>
          </w:p>
        </w:tc>
      </w:tr>
      <w:tr>
        <w:trPr>
          <w:trHeight w:val="289"/>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recall campaigns and courtesy transportation</w:t>
            </w:r>
          </w:p>
        </w:tc>
        <w:tc>
          <w:tcPr>
            <w:tcW w:w="22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183</w:t>
            </w:r>
          </w:p>
        </w:tc>
      </w:tr>
      <w:tr>
        <w:trPr>
          <w:trHeight w:val="306"/>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policy and product warranty</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9,242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Pensions and Other Postretirement Benefits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net periodic pension and other postretirement benefits (OPEB) (income) expense: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Three Months Ended March 31, 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Three Months Ended March 31, 2015</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Global OPEB</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Global OPEB</w:t>
            </w:r>
          </w:p>
        </w:tc>
        <w:tc>
          <w:tcPr>
            <w:tcW w:w="0" w:type="dxa"/>
            <w:vAlign w:val="bottom"/>
          </w:tcPr>
          <w:p>
            <w:pPr>
              <w:spacing w:after="0"/>
              <w:rPr>
                <w:sz w:val="1"/>
                <w:szCs w:val="1"/>
                <w:color w:val="auto"/>
              </w:rPr>
            </w:pPr>
          </w:p>
        </w:tc>
      </w:tr>
      <w:tr>
        <w:trPr>
          <w:trHeight w:val="71"/>
        </w:trPr>
        <w:tc>
          <w:tcPr>
            <w:tcW w:w="5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Non-U.S.</w:t>
            </w:r>
          </w:p>
        </w:tc>
        <w:tc>
          <w:tcPr>
            <w:tcW w:w="100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Non-U.S.</w:t>
            </w: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Plans</w:t>
            </w: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Effective January 2016 the discount rate used to determine the service cost and interest cost for our pension and OPEB plans was based on individual annual yield curve rates. This refinement is considered a change in estimate and has been applied prospectively. The use of the individual annual yield curve rates has reduced the service cost and interest cost by $191 million in the three months ended March 31, 2016, which will be offset in the actuarial gains and losses upon the next remeasurement of the plans' obligations.</w:t>
      </w:r>
    </w:p>
    <w:p>
      <w:pPr>
        <w:spacing w:after="0" w:line="18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We made discretionary contributions of $1.5 billion to our U.S. hourly pension plan in the three months ended March 31, 2016 and $482 million in April 2016. These discretionary contributions were funded with the net proceeds from the issuance of the senior unsecured notes described in Note 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Litigation-Related Liability and Tax Administrative Matters</w:t>
      </w:r>
    </w:p>
    <w:p>
      <w:pPr>
        <w:spacing w:after="0" w:line="22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the normal course of business, we are named from time to time as a defendant in various legal actions, including arbitrations, class actions and other litigation, that arise in connection with our business as a global company. We identify below the material individual proceedings and investigatory activity in connection with which we believe a material loss is reasonably possible or probable. For various legal matters we have established reserves when we believe that losses are probable and can be reasonably estimated. In many proceedings, however it is inherently difficult to determine whether any loss is probable or even reasonably possible or to estimate the size or range of the possible loss. Accordingly it is possible that an adverse outcome from such proceedings could exceed the amounts accrued by an amount that could be material to our consolidated financial position, results of operations or cash flows in any particular reporting period. Reserves for losses deemed probable and reasonably estimable were $1.3 billion and $1.2 billion at March 31, 2016 and December 31, 2015 and these reserves are recorded in Accrued liabilities and Other liabilities.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Proceedings Related to Ignition Switch Recall and Other Recalls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2014 we announced various recalls relating to safety, customer satisfaction and other matters. Those 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Through April 15, 2016 we were aware of 101 putative class actions pending against GM in various federal and state trial courts in the U.S. and 21 putative class actions pending in various Provincial Courts in Canada alleging that consumers who purchased or leased vehicles manufactured by GM or General Motors Corporation had been economically harmed by one or more of the recalls announced in 2014 and/or the underlying vehicle conditions associated with those recalls (economic-loss cases). In general, these economic-loss cases seek recovery for purported compensatory damages, such as alleged diminution in value of the vehicles, as well as punitive damages, injunctive relief and other relief. There are also two civil actions brought by state governmental entities relating to the 2014 recalls that seek injunctive relief as well as economic damages and attorneys' fees for alleged violations of state consumer protection statutes.</w:t>
      </w:r>
    </w:p>
    <w:p>
      <w:pPr>
        <w:spacing w:after="0" w:line="18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Through April 15, 2016 we were aware of 270 actions pending in various federal and state trial courts in the U.S. and 14 actions pending in various Provincial Courts in Canada alleging injury or death as a result of defects that may be the subject of recalls announced in 2014 (personal injury cases). In general, these personal injury cases seek recovery for purported compensatory damages, punitive damages and other relief.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Since June 2014 the United States Judicial Panel on Multidistrict Litigation (JPML) has issued orders from time to time directing that certain pending economic-loss and personal injury federal lawsuits involving faulty or allegedly faulty ignition switches or other defects that may be related to the recalls announced in 2014 be transferred to, and consolidated in, a single federal court, the Southern District of New York (the multidistrict litigation). Through April 15, 2016 the JPML has transferred 289 pending cases to, and consolidated them with, the multidistrict litigation. At the court's suggestion, the parties to the multidistrict litigation engage from time to time in discussions of possible mechanisms to resolve pending litigation. As described below, on September 17, 2015 we announced that we had reached a memorandum of understanding with certain personal injury claimants regarding possible settlement of their claims.</w:t>
      </w:r>
    </w:p>
    <w:p>
      <w:pPr>
        <w:spacing w:after="0" w:line="16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order to facilitate the resolution of the multidistrict litigation, the Southern District of New York scheduled six bellwether trials (i.e., trials designed to be representative of the group of personal injury cases in the multidistrict litigation). Through April 15, 2016 two of the cases set for bellwether trials were dismissed with prejudice by plaintiffs. In a third bellwether trial, a jury concluded that GM was not liable to plaintiffs. In a fourth case set for a bellwether trial, GM and the plaintiff entered into a confidential settlement term sheet. Each bellwether trial will be tried on its facts and the result of any subsequent bellwether trial may be different from the preceding trials. It is also possible that the court will schedule one or more additional bellwether trials.</w:t>
      </w:r>
    </w:p>
    <w:p>
      <w:pPr>
        <w:spacing w:after="0" w:line="15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Because many plaintiffs in the actions described in the above paragraphs are suing over the conduct of General Motors Corporation or vehicles manufactured by that entity for liabilities not expressly assumed by GM, we moved to enforce the terms of the July 2009 Sale Order and Injunction issued by the United States Bankruptcy Court for the Southern District of New York (Bankruptcy Court) to preclude claims from being asserted against us for, among other things, personal injuries based on pre-sale accidents, any economic-loss claims based on acts or conduct of General Motors Corporation and claims asserting successor liability for obligations owed by General Motors Corporation (successor liability claims). On April 15, 2015 the Bankruptcy Court issued a Decision precluding claims against us based upon pre-sale accidents, claims based upon the acts or conduct by General Motors Corporation and successor liability claims, except for claims asserting liabilities that had been expressly assumed by us in the July 2009 Sale Agreement and claims that could be asserted against us only if they were otherwise viable and arose solely out of our own independent post-closing acts and did not in any way rely on acts or conduct by General Motors Corporation. Plaintiffs have appealed the Bankruptcy Court’s decision and we have cross appealed with respect to certain issues to preserve our rights. The United States Court of Appeals for the Second Circuit (Second Circuit) heard oral argument on the appeals on March 15, 2016. In addition on December 4, 2015 the Bankruptcy Court issued a judgment regarding certain issues left unresolved by its April 15, 2015 decision including the extent to which punitive damages could be asserted against GM based on claims involving vehicles manufactured by General Motors Corporation. Various groups of plaintiffs have appealed that decision to the district court overseeing the multidistrict litigation.</w:t>
      </w:r>
    </w:p>
    <w:p>
      <w:pPr>
        <w:spacing w:after="0" w:line="17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putative shareholder class action filed in the United States District Court for the Eastern District of Michigan (Shareholder Class Action), the court appointed the New York State Teachers’ Retirement System as the lead plaintiff. On January 15, 2015 the New York State Teachers’ Retirement System filed a Consolidated Class Action Complaint against GM and several current and former officers and employees (Defendants) on behalf of purchasers of our common stock from November 17, 2010 to July 24, 2014. The Consolidated Class Action Complaint alleges that Defendants made material misstatements and omissions relating to problems with the ignition switch and other matters in SEC filings and other public statements. As described below, on September 17, 2015 we announced that we had entered into a binding term sheet regarding settlement of this matter.</w:t>
      </w:r>
    </w:p>
    <w:p>
      <w:pPr>
        <w:spacing w:after="0" w:line="178"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Four shareholder derivative actions pending in the Delaware Chancery Court were consolidated and plaintiffs filed an amended consolidated complaint on October 13, 2014. On June 26, 2015 the Delaware Chancery Court granted our motion to dismiss the amended consolidated complaint. On February 11, 2016 the Delaware Supreme Court affirmed the Chancery Court’s decision. Two shareholder derivative actions pending in the United States District Court for the Eastern District of Michigan have been consolidated and all proceedings, including those related to the motion to dismiss we filed in that court in October 2014, were suspended pending disposition of the parallel action described above that was being litigated in Delaware. In light of the Delaware Supreme Court’s decision, proceedings have resumed in the two shareholder derivative actions in the Eastern District of Michigan. During the three months ended March 31, 2016, an additional shareholder derivative action was filed in the United States District Court for the Eastern District of Michigan against certain current and former GM directors and officers making similar allegations to the two other shareholder derivative actions that are pending in the Eastern District of Michigan. This new derivative action has been transferred to the same judge handling those two other shareholder derivative actions. Two derivative actions filed in the Circuit Court of Wayne County, Michigan, have been consolidated and remain stayed pending disposition of the federal derivative actions.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In connection with the 2014 recalls, various investigations, inquiries and complaints have been received from the United States Attorney’s Office for the Southern District of New York (the Office), Congress, the SEC, Transport Canada and 50 state attorneys general. In connection with the foregoing we have received subpoenas and requests for additional information and we have participated in discussions with various governmental authorities. We have not received inquiries from the committees in Congress for a substantial period of time and are unaware of any further action they may take. On June 3, 2015 we received notice of an investigation by the Federal Trade Commission (FTC) concerning certified pre-owned vehicle advertising where dealers had certified vehicles that allegedly needed recall repairs. On January 28, 2016 the FTC published a proposed consent agreement for public comment. The public comment period has closed; the matter remains pending before the FTC. We believe we are cooperating fully with all pending requests for information in ongoing investigations. Such matters could in the future result in the imposition of material damages, fines, civil consent orders, civil and criminal penalties or other remedies.</w:t>
      </w:r>
    </w:p>
    <w:p>
      <w:pPr>
        <w:spacing w:after="0" w:line="19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As described more specifically below, we have resolved, partially or totally, several matters relating to the recalls announced in 2014, including the recognition of additional liabilities for such matters.</w:t>
      </w:r>
    </w:p>
    <w:p>
      <w:pPr>
        <w:spacing w:after="0" w:line="170"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First, with regard to the investigation by the Office, on September 16, 2015 we entered into a Deferred Prosecution Agreement (the DPA) with the Office regarding its investigation of the events leading up to certain recalls regarding faulty ignition switches. Under the DPA we have paid the United States $900 million as a financial penalty, and we agreed to retain an independent monitor to review and assess our policies, practices or procedures related to statements about motor vehicle safety, the provision of information to those responsible for recall decisions, recall processes and addressing known defects in certified pre-owned vehicles. In addition, the Office agreed to recommend to the U.S. District Court for the Southern District of New York (the Court) that prosecution of GM on the two-count information filed in the Court be deferred for three years. The Office also agreed that if we are in compliance with all of our obligations under the DPA, the Office will, within 30 days after the expiration of the period of deferral (including any extensions thereto), seek dismissal with prejudice of the two-count information filed against GM. For a further description of the terms and conditions of the DPA refer to Note 15 of our 2015 Form 10-K.</w:t>
      </w:r>
    </w:p>
    <w:p>
      <w:pPr>
        <w:spacing w:after="0" w:line="19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Second, on September 17, 2015 we announced we had entered into a binding term sheet for the settlement of the Shareholder Class Action described above for $300 million. The court entered preliminary approval of the settlement on November 20, 2015 and held a final settlement fairness hearing on April 20, 2016.</w:t>
      </w:r>
    </w:p>
    <w:p>
      <w:pPr>
        <w:spacing w:after="0" w:line="1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Third, on September 17, 2015 we announced we had reached a memorandum of understanding regarding a $275 million settlement that could potentially cover approximately 1,400 personal injury claimants who have lawsuits pending in the multidistrict litigation or who have otherwise asserted claims related to the Ignition Switch Recall or certain other recalls announced in 2014. In December 2015 the court overseeing the multidistrict litigation established a qualified settlement fund and appointed a special master to administer certain facets of the settlement pursuant to the terms of the memorandum of understanding. The special master commenced his work in the three months ended December 31, 2015 and his work continues.</w:t>
      </w:r>
    </w:p>
    <w:p>
      <w:pPr>
        <w:spacing w:after="0" w:line="17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total amount accrued at March 31, 2016 for the remaining investigations, claims and/or lawsuits relating to the ignition switch recalls and other related recalls represents a combination of our best estimates and, where no such estimate is determinable, our estimate of the low end of the range of probable loss with regard to such matters. We believe it is probable that we will incur additional liabilities beyond what has already been accrued with regard to at least a portion of the remaining matters, whether through settlement or judgment; however, we are currently unable to estimate an amount or range of loss because these matters involve significant uncertainties. The ultimate resolution of these matters could have a material adverse effect on our financial position, results of operations or cash flows.</w:t>
      </w:r>
    </w:p>
    <w:p>
      <w:pPr>
        <w:spacing w:after="0" w:line="193"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The uncertainties referenced above include the legal theory or the nature of the investigations, claims and/or lawsuits, the complexity of the facts, the results of any investigation or litigation and the timing of resolution of the investigations or litigation, including any appeals. For example, the appeal from the Bankruptcy Court’s April 2015 decision is currently pending before the Second Circuit (discussed above), as is the appeal to the district court overseeing the multidistrict litigation from the Bankruptcy Court's December 2015 judgment. The resolution of these appeals could have a substantial impact on the potential liability of GM for acts or conduct of General Motors Corporation and what claims plaintiffs may pursue against GM in the multidistrict litigation and other courts. Further, there have been only limited discussions to date concerning any potential resolution of the SEC investigation, the state attorneys general’s investigations, the various claims for economic loss, or many of the claims concerning death or personal injury not covered by the memorandum of understanding discussed previously. We will continue to consider resolution of pending matters involving ignition switch recalls and other recalls where it makes sense to do so.</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Canada Dealers' Claim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On February 12, 2010 a claim was filed in the Ontario Superior Court of Justice against General Motors of Canada Company (GM Canada) on behalf of a purported class of over 200 former GM Canada dealers (the Plaintiff Dealers) which had entered into wind-down agreements with GM Canada. In May 2009 in the context of the global restructuring of GM's business and the possibility that GM Canada might be required to initiate insolvency proceedings, GM Canada offered the Plaintiff Dealers the wind-down agreements to assist with their exit from the GM Canada dealer network and to facilitate winding down their operations in an orderly fashion. The Plaintiff Dealers allege that their Dealer Sales and Service Agreements were wrongly terminated by GM Canada and that GM Canada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Canadian Dollar $750 million, without explanation of any specific measure of damages. On March 1, 2011 the court approved certification of a class for the purpose of deciding a number of specifically defined issues. A number of former dealers opted out of participation in the litigation, leaving 181 dealers in the certified class. On July 8, 2015 the Ontario Superior Court dismissed the Plaintiff Dealers’ claim against GM Canada. The court also dismissed GM Canada’s counterclaim against the Plaintiff Dealers for repayment of the wind-down payments made to them by GM Canada as well as for other relief. All parties have filed notices of appeal. We anticipate that the appeal will be heard in the year ending December 31, 2016.</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Commencing on or about September 29, 2010 current and former hourly employees of GM Korea Company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affirmed a decision of the Incheon District Court in a case involving five GM Korea employees which was contrary to GM Korea's position. GM Korea appealed to the Supreme Court of the Republic of Korea (Supreme Court). On May 29, 2014 the Supreme Court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On reconsideration, the Seoul High Court held in GM Korea’s favor on October 30, 2015, after which plaintiffs appealed to the Supreme Court. In July 2014 GM Korea and its labor union also agreed to include bonuses and certain allowances in Ordinary Wages retroactive to March 1, 2014. Therefore our accrual related to these cases was reclassified from a contingent liability to the Pensions liability. We estimate our reasonably possible loss in excess of amounts accrued to be 591 billion South Korean Won (equivalent to $516 million) at March 31, 2016, which relates to periods before March 1, 2014. We are also party to litigation with current and former salaried employees over allegations relating to Ordinary Wages regulation. On November 26 and 27, 2015 the Supreme Court remanded two salary cases to the Seoul High Court for a review of the merits. Both the scope of claims asserted and GM Korea's assessment of any or all of the individual claim elements may change if new information becomes available. These cases are currently pending before various courts in Korea.</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Litigation-Related Liability and Tax Administrative Matters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Various other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government regulations relating to payments to foreign companies; tax-related matters not subject to Accounting Standards Codification 740, Income Taxes (indirect tax-related matters); and environmental matters.</w:t>
      </w:r>
    </w:p>
    <w:p>
      <w:pPr>
        <w:spacing w:after="0" w:line="17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$400 million to $500 million. Some of the matters may involve compensatory, punitive or other treble damage claims, environmental remediation programs or sanctions that, if granted, could require us to pay damages or make other expenditures in amounts that could not be reasonably estimated at March 31, 2016.We believe that appropriate accruals have been established for losses that are probable and can be reasonably estimated. For indirect tax matters we estimate our reasonably possible loss in excess of amounts accrued to be up to approximately $900 million at March 31, 2016.</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With respect to product liability claims (other than claims relating to the ignition switch recalls discussed above) involving our and General 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At March 31, 2016 and December 31, 2015 liabilities of $688 million and $712 million were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vehicle recalls in recent years it is reasonably possible that our accruals for product liability claims may increase in future periods in material amounts, although we cannot estimate a reasonable range of incremental loss based on currently available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Ignition Switch Recall Compensation Program</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June 30, 2014 we created a compensation program (the Program) for accident victims who died or suffered physical injury (or for their families) as a result of a faulty ignition switch related to the 2.6 million vehicles recalled in the three months ended March 31, 2014. The Program is being administered by an independent administrator and accepted claims for review from August 1, 2014 through January 31, 2015. The Program completed its claims review process in the three months ended September 30, 2015. Accident victims (or their families) that accept a payment under the Program agree to settle all claims against GM related to the accident. The following table summarizes the activity for the Program:</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350</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enter into indemnification agreements for liability claims involving products manufactured primarily by certain joint ventures. We also provide vehicle repurchase guarantees and payment guarantees on commercial loans outstanding with third parties such as dealers. These guarantees terminate in years ranging from 2016 to 2030 or upon the occurrence of specific events or are ongoing and we believe that the related potential costs incurred are adequately covered by recorded accruals. The liability recorded was $70 million and $72 million and the maximum liability, calculated as future undiscounted payments, was $3.9 billion and $2.6 billion for these guarantees at March 31, 2016 and December 31, 2015.</w:t>
      </w:r>
    </w:p>
    <w:p>
      <w:pPr>
        <w:spacing w:after="0" w:line="173"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2006 to 2015 with various significant tax jurisdictions.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2016 income tax expense of $559 million primarily resulted from tax expense attributable to entities included in our effective tax rate calculation of $775 million, partially offset by tax benefits related to tax audit settlements and deductions taken for stock investments in non-U.S. affiliates. In the three months ended March 31, 2015 income tax expense of $529 million primarily resulted from tax expense attributable to entities included in our effective tax rate calculation.</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March 31, 2016 we had $35.8 billion of net deferred tax assets consisting of: (1) net operating losses and income tax credits; (2) capitalized research expenditures; and (3) other timing differences that are available to offset future income tax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and Other Initiatives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 The following tables summarize the reserves and charges related to restructuring and other initiatives, including postemployment benefit reserves and charges, by segment: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GMIO</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GMSA</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GMIO</w:t>
            </w:r>
          </w:p>
        </w:tc>
        <w:tc>
          <w:tcPr>
            <w:tcW w:w="24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GMSA</w:t>
            </w:r>
          </w:p>
        </w:tc>
        <w:tc>
          <w:tcPr>
            <w:tcW w:w="260" w:type="dxa"/>
            <w:vAlign w:val="bottom"/>
          </w:tcPr>
          <w:p>
            <w:pPr>
              <w:spacing w:after="0"/>
              <w:rPr>
                <w:sz w:val="24"/>
                <w:szCs w:val="24"/>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Included temporary layoff benefits of $15 million and $353 million at March 31, 2016 and 2015 for GMNA.</w:t>
      </w:r>
    </w:p>
    <w:p>
      <w:pPr>
        <w:spacing w:after="0" w:line="20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March 31, 2016 restructuring and other initiatives related primarily to: (1) charges of $240 million at GMNA related to the cash severance incentive program to qualified U.S. hourly employees under our 2015 labor agreement with the International Union, United Automobile, Aerospace and Agriculture Implement Workers of America (UAW); and (2) separation and other programs in Australia, Korea and India and the withdrawal of the Chevrolet brand from Europe which collectively had a total cost since inception of $738 million and affected a total of approximately 4,560 employees at GMIO through March 31, 2016. We expect to complete these programs in GMIO in 2017 and incur additional related restructuring and other charges of approximately $170 million.</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2015 restructuring and other initiatives related primarily to: (1) the change in our business model in Russia for which we recorded pre-tax charges of $428 million at GME and GMIO, of which $121 million is reflected in the table above; and (2) separation programs in Australia, Korea, Thailand and Indonesia and the withdrawal of the Chevrolet brand from Europe which collectively had a total cost since inception of $551 million at GMIO through March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At March 31, 2016 and December 31, 2015 we had 1.5 billion shares of common stock issued and outstanding. In each of the three months 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March 31, 2016 and 2015 we purchased 10 million shares of our outstanding common stock for $300 million and $375 million as part of the common stock repurchase program announced in March 2015, which our Board of Directors increased and extended in January 2016. Our total dividends declared on common stock were $587 million and $485 million in the three months ended March 31, 2016 and 2015,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 adjustment, net of tax(a)</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Reclassification adjustment, net of tax(a)(b)</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tax(a)</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 attributable to noncontrolling interests, net of tax(a)</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Defined Benefit Plans, Net</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 adjustment, net of tax(a)</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net of tax(a)(c)</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tax(a)</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months ended March 31, 2016 and 2015.</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Related to the change of our business model in Russia in the three months ended March 31, 2015. Included in Automotive cost of sales.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the computation of net periodic pension and OPEB (income) expense. Refer to Note 9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 The following table summarizes basic and diluted earnings per share: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945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0.58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945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adjustment for dilutive stock compensation rights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945</w:t>
            </w:r>
          </w:p>
        </w:tc>
      </w:tr>
      <w:tr>
        <w:trPr>
          <w:trHeight w:val="109"/>
        </w:trPr>
        <w:tc>
          <w:tcPr>
            <w:tcW w:w="8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1,617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1,686</w:t>
            </w:r>
          </w:p>
        </w:tc>
      </w:tr>
      <w:tr>
        <w:trPr>
          <w:trHeight w:val="109"/>
        </w:trPr>
        <w:tc>
          <w:tcPr>
            <w:tcW w:w="8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0.56</w:t>
            </w: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41"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2016 and 2015 unvested stock options to purchase 26 million shares and warrants to purchase 46 million shares, respectively, were not included in the computation of diluted earnings per share because the stock options' and warrants' exercise prices were greater than the average market price of the common shares. The stock options had not yet been granted and therefore were not outstanding in the three months ended March 31, 2015 and the warrants expired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analyze the results of our business through the following segments: GMNA, GME, GMIO, GMSA and GM Financial. The chief operating decision maker evaluates the operating results and performance of our automotive segments through income before interest and income taxes, as adjusted for additional amounts, which is presented net of noncontrolling interests. The chief operating decision maker evaluates GM Financial through income before income taxes-adjusted because he/she believes interest income and interest expense are part of operating results when assessing and measuring the operational and financial performance of the segment. Each segment has a manager responsible for executing our strategies. Our automotive manufacturing operations are integrated within the segments, benefit from broad-based trade agreements and are subject to regulatory requirements.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Because of these and other factors, we do not manage our business on an individual brand or vehicle basis.</w:t>
      </w:r>
    </w:p>
    <w:p>
      <w:pPr>
        <w:spacing w:after="0" w:line="18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cars, trucks, crossovers and automobile parts produced are marketed through retail dealers in North America and through distributors and dealers outside of North America, the substantial majority of which are independently owned. In addition to the products sold to dealers for consumer retail sales, cars, trucks and crossovers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have equity ownership stakes directly or indirectly in entities through various regional subsidiaries, primarily in Asia. These companies design, manufacture and/or market vehicles under the Baojun, Buick, Cadillac, Chevrolet, Jiefang and Wuling brands.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automotive operations' interest income and interest expense are recorded centrally in Corporate. Corporate assets consist primarily of cash and cash equivalents, marketable securities and intercompany balances. All intersegment balances and transactions have been eliminated in consolidation. The following tables summarize key financial information by segment: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At and For the Three Months Ended March 31, 2016</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GMSA</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26,463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35,195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37,265</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(67)</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2,433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2,655</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2,490</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(559)</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income attributable to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1,953</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assets(b)</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95,013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14,939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21,234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7,340</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19,281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(25,287)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132,520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72,907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(1,809)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203,618</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2,222</w:t>
            </w:r>
          </w:p>
        </w:tc>
        <w:tc>
          <w:tcPr>
            <w:tcW w:w="0" w:type="dxa"/>
            <w:vAlign w:val="bottom"/>
          </w:tcPr>
          <w:p>
            <w:pPr>
              <w:spacing w:after="0"/>
              <w:rPr>
                <w:sz w:val="1"/>
                <w:szCs w:val="1"/>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Charges for legal related matters in Corporate.</w:t>
      </w:r>
    </w:p>
    <w:p>
      <w:pPr>
        <w:spacing w:after="0" w:line="9" w:lineRule="exact"/>
        <w:rPr>
          <w:rFonts w:ascii="Arial" w:cs="Arial" w:eastAsia="Arial" w:hAnsi="Arial"/>
          <w:sz w:val="13"/>
          <w:szCs w:val="13"/>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Includes investment of $500 million in Lyft, Inc. (Lyft), a privately held company, in GMNA, which was accounted for as a cost method investment.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At and For the Three Months Ended March 31,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GMSA</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24,676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34,364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35,712</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2,182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(214)</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1,871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2,082</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1,437</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(529)</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income attributable to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945</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94,789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10,077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9,066</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20,342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(25,305)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131,930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49,346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(1,687)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179,589</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1,538</w:t>
            </w:r>
          </w:p>
        </w:tc>
        <w:tc>
          <w:tcPr>
            <w:tcW w:w="0" w:type="dxa"/>
            <w:vAlign w:val="bottom"/>
          </w:tcPr>
          <w:p>
            <w:pPr>
              <w:spacing w:after="0"/>
              <w:rPr>
                <w:sz w:val="1"/>
                <w:szCs w:val="1"/>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175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60"/>
        </w:trPr>
        <w:tc>
          <w:tcPr>
            <w:tcW w:w="2420" w:type="dxa"/>
            <w:vAlign w:val="bottom"/>
          </w:tcPr>
          <w:p>
            <w:pPr>
              <w:spacing w:after="0"/>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20" w:hanging="332"/>
        <w:spacing w:after="0" w:line="239"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Consists of net insurance recoveries related to flood damage in GMNA; costs related to the change in our business model in Russia in GME and GMIO, which is net of non-controlling interests; and charge related to the ignition switch recall compensation program in Corporate.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We plan to acquire all of the outstanding capital stock of Cruise Automation, Inc., an autonomous vehicle technology company. The transaction is subject to customary closing conditions and we expect to be able to close in the three months ending June 30,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41"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the audited consolidated financial statements and notes thereto included in our 2015 Form 10-K.</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2015 Form 10-K for a discussion of these risks and uncertainties. Except for per share amounts or as otherwise specified, dollar amounts presented within tables are stated in millions.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Management uses earnings before interest and taxes (EBIT)-adjusted to review the operating results of our automotive segments because it excludes interest income, interest expense and income taxes as well as certain additional adjustments. GM Financial uses income before income taxes-adjusted because management believes interest income and interest expense are part of operating results when assessing and measuring the operational and financial performance of the segment. Examples of adjustments to EBIT and GM Financial's income before income taxes include certain impairment charges related to goodwill, other long-lived assets and investments; certain gains or losses on the settlement/extinguishment of obligations; and gains or losses on the sale of non-core investments. Refer to Note 15 to our condensed consolidated financial statements for our reconciliation of these non-GAAP measures to the most directly comparable financial measure under U.S. GAAP, Net income attributable to common stockholders.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earnings per share (EPS)-diluted-adjusted to review our consolidated diluted earnings per share results on a consistent basis. EPS-diluted-adjusted is calculated as net income attributable to common stockholders less certain adjustments noted above for EBIT-adjusted on an after-tax basis as well as certain income tax adjustments divided by weighted-average common shares outstanding - diluted.</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return on invested capital (ROIC) to review investment and capital allocation decisions. We define ROIC as EBIT-adjusted for the trailing four quarters divided by average net assets, which is considered to be the average equity balances adjusted for certain assets and liabilities during the same period.</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Management uses adjusted free cash flow to review the liquidity of our automotive operations. We measure adjusted free cash flow as cash flow from operations less capital expenditures adjusted for management actions, primarily related to strengthening our balance sheet, such as accrued interest on prepayments of debt and discretionary contributions to employee benefit plans. Refer to the “Liquidity and Capital Resources” section of this MD&amp;A for our reconciliation of this non-GAAP measure to the most directly comparable financial measure under U.S. GAAP, Net cash provided by (used in) operating activities.</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Management uses these non-GAAP measures in its financial and operational decision making processes, for internal reporting and as part of its forecasting and budgeting processes as they provide additional transparency of our core operations. These measures allow management and investors to view operating trends, perform analytical comparisons and benchmark performance between periods and among geographic regions.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reconciles EPS-diluted-adjusted to its most comparable financial measure under U.S. GAAP diluted earnings per common share: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9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impact of adjustments(a)</w:t>
            </w:r>
          </w:p>
        </w:tc>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4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15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the adjustments disclosed in Note 15 to our condensed consolidated financial statements on an after-tax basis for all periods presented.</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Four Quarters Ended</w:t>
            </w:r>
          </w:p>
        </w:tc>
      </w:tr>
      <w:tr>
        <w:trPr>
          <w:trHeight w:val="264"/>
        </w:trPr>
        <w:tc>
          <w:tcPr>
            <w:tcW w:w="7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22"/>
                <w:szCs w:val="22"/>
                <w:color w:val="auto"/>
              </w:rPr>
            </w:pP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7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39.7</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24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27.4</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fresh start accounting goodwill</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Less: Average automotive net income tax asset</w:t>
            </w:r>
          </w:p>
        </w:tc>
        <w:tc>
          <w:tcPr>
            <w:tcW w:w="240" w:type="dxa"/>
            <w:vAlign w:val="bottom"/>
          </w:tcPr>
          <w:p>
            <w:pPr>
              <w:spacing w:after="0"/>
              <w:rPr>
                <w:sz w:val="21"/>
                <w:szCs w:val="21"/>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(32.6)</w:t>
            </w:r>
          </w:p>
        </w:tc>
      </w:tr>
      <w:tr>
        <w:trPr>
          <w:trHeight w:val="27"/>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ROIC average net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41.7</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09"/>
        </w:trPr>
        <w:tc>
          <w:tcPr>
            <w:tcW w:w="7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ROIC</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432"/>
        </w:trPr>
        <w:tc>
          <w:tcPr>
            <w:tcW w:w="7960" w:type="dxa"/>
            <w:vAlign w:val="bottom"/>
          </w:tcPr>
          <w:p>
            <w:pPr>
              <w:spacing w:after="0"/>
              <w:rPr>
                <w:sz w:val="20"/>
                <w:szCs w:val="20"/>
                <w:color w:val="auto"/>
              </w:rPr>
            </w:pPr>
            <w:r>
              <w:rPr>
                <w:rFonts w:ascii="Arial" w:cs="Arial" w:eastAsia="Arial" w:hAnsi="Arial"/>
                <w:sz w:val="18"/>
                <w:szCs w:val="18"/>
                <w:b w:val="1"/>
                <w:bCs w:val="1"/>
                <w:color w:val="auto"/>
              </w:rPr>
              <w:t>Overview</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Our strategic plan includes several major initiatives that we anticipate will help us achieve 9% to 10% margins on an EBIT-adjusted basis (EBIT-adjusted margins, calculated as EBIT-adjusted divided by Net sales and revenue) by early next decade: earn customers for life by delivering great products to our customers, leading the industry in quality and safety and improving the customer ownership experience; lead in technology and innovation, including OnStar 4G LTE and connected car, alternative propulsion, urban mobility including ride and car sharing through Maven and our investment in Lyft, active safety features and autonomous vehicles; grow our brands, particularly the Cadillac brand in the U.S. and China and the Chevrolet brand globally; continue our growth in China; continue the growth of GM Financial into our full captive automotive financing company; and deliver core operating efficiencies.</w:t>
      </w:r>
    </w:p>
    <w:p>
      <w:pPr>
        <w:spacing w:after="0" w:line="16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For the year ending December 31, 2016 we expect to continue to generate strong consolidated financial results including improved EBIT-adjusted and EBIT-adjusted margins, EPS-diluted-adjusted of between $5.25 and $5.75 and adjusted automotive free cash flow of approximately $6 billion.</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overall financial targets include expected improvement of forecasted consolidated EBIT-adjusted margins of 9% to 10% by early next decade; expected total annual operational and functional cost savings of $5.5 billion by 2018 that will more than offset our incremental investments in brand building, engineering and technology as we launch new products in 2016 and beyond; expected average annual adjusted automotive free cash flow of approximately $6 billion to $7 billion from 2016 to 2018; expected continued consolidated ROIC of 20% plus; and execution of our capital allocation strategy as described below.</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Summary and Outlook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GMNA</w:t>
      </w:r>
    </w:p>
    <w:p>
      <w:pPr>
        <w:spacing w:after="0" w:line="225"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the three months ended March 31, 2016 industry sales to retail and fleet customers were 5.0 million units representing a 4.5% increase compared to the corresponding period in 2015 due to strong consumer demand driven by credit availability, low interest rates and low fuel prices.</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March 31, 2016 our vehicle sales in the U.S., our largest market in North America, totaled 0.7 million units for market share of 16.4%, representing a decrease of 0.5 percentage points compared to the corresponding period in 2015. The decrease in our U.S. market share was primarily driven by lower fleet market share due to a planned reduction in rental deliveries, partially offset by higher retail market share. U.S. retail sales, generally more profitable than fleet sales, generated an increase of 1.1 percentage points in market share primarily driven by Chevrolet.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ending December 31, 2016 we expect an EBIT-adjusted margin of approximately 10% on continued strength of U.S. industry light vehicle sales, cost performance and new product launches. Based on our current cost structure, we continue to estimate GMNA’s breakeven point at the U.S. industry level to be in the range of 10.0 - 11.0 million units.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labor agreement we entered into in September 2012 with certain hourly employees in Canada expires in September 2016. We consider our relationships with employees to be good, but a work stoppage for any reason could have a material adverse effect on our business.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As a result of moderate economic growth across Europe (excluding Russia) automotive industry sales to retail and fleet customers continued improving in the three months ended March 31, 2016 with industry sales to retail and fleet customers of 4.7 million units representing a 6.9% increase compared to the corresponding period in 2015.</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European operations are benefiting from this trend and vehicle sales in the three months ended March 31, 2016 continue to show signs of improvement underscored by further improvement in our Opel and Vauxhall retail vehicle sales of 0.3 million for market share of 6.0% in the three months ended March 31, 2016, representing an increase of 0.2 percentage points compared to the corresponding period in 2015.</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implement various strategic actions to strengthen our operations and increase our competitiveness. The key actions include investments in our product portfolio including the next generation Opel Astra and Corsa, a revised brand strategy and reducing material, development and production costs, including restructuring activities. The success of these actions will depend on a combination of our ability to execute and external macroeconomic factors which are outside of our control.</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2016 we have experienced aggressive industry pricing and increases in costs associated with depreciation, amortization, marketing and new product launches. We have also experienced adverse foreign currency impacts such as weakness in the British Pound. Uncertainty around Britain’s upcoming referendum on continued membership in the European Union may continue weakening the British Pound. The outcome of this referendum in the second quarter could contribute to further weakness and impact our results. These headwinds are being offset by continued industry recovery, the benefits of our recent launches of the Astra and Corsa and material cost optimization. As a result we intend to break even in GME in 2016.</w:t>
      </w:r>
    </w:p>
    <w:p>
      <w:pPr>
        <w:spacing w:after="0" w:line="17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German Ministry of Transportation has requested the participation of a number of automotive manufacturers, including our German subsidiary, in discussions on emissions control issues and has requested a written response from our subsidiary on the subject. Our German subsidiary has participated in these discussions and has provided the requested response. In addition other European regulators have inquired about emissions control. These requests may lead to increased testing and re-testing of our vehicles and analysis of their emissions control systems, which could lead to increased costs, penalties, negative publicity or reputational impact, and additional vehicles may be subject to recall activity if regulators determine that emission levels and required regulatory compliance should be based on either a wider spectrum of driving conditions for future testing parameters or stricter or novel interpretations and consequent enforcement of existing requirements. No assurance can be given that the ultimate outcome of any potential investigations or increased testing resulting from this scrutiny would not materially and adversely affect us.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Since the second quarter of 2015 we have been experiencing a moderation of industry growth and pricing pressures in China due primarily to macroeconomic volatility, softening consumer demand particularly in the commercial vehicle segment, increasing competition and a complex regulatory environment. As a result in the three months ended March 31, 2016 China industry sales were 6.6 million units, representing a moderate increase of 5.5% compared to the corresponding period in 2015. In the three months ended March 31, 2016 our China wholesale volumes increased by 4.0% compared to the three months ended March 31, 2015. Our market share decreased to 14.8%, down 0.2 percentage points due primarily to lower sales of Chevrolet vehicles driven by model changeover. Our China retail sales were 0.96 million units which remained flat compared to the corresponding period in 2015. In the three months ended March 31, 2016 our Automotive China JVs generated equity income of $0.5 billion and strong margins of 9.7%. We expect continuation of pricing pressures in the range of 4% to 5% and moderate industry growth in 2016. We continue to expect an increase in vehicle sales driven by new launches and expect to sustain strong China equity income and margins by focusing on vehicle mix improvements and cost efficiencies.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Lack of political stability, low commodity prices and foreign exchange volatility, among other factors, negatively impacted the overall automotive industry in the rest of Asia Pacific, Africa and the Middle East and led to industry sales of 5.0 million units, representing a decrease of 4.2% in the three months ended March 31, 2016 compared to the corresponding period in 2015. In the three months ended March 31, 2016 our sales totaled 0.2 million units for market share of 3.1%, representing a decrease of 0.7 percentage points compared to the corresponding period in 2015. The decrease in sales volumes was due primarily to overall industry volume declines, foreign currency availability and economic challenges in Africa.</w:t>
      </w:r>
    </w:p>
    <w:p>
      <w:pPr>
        <w:spacing w:after="0" w:line="17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To address the significant industry, market share, pricing and foreign exchange pressures in the region, we continue to focus on product portfolio enhancements, manufacturing footprint rationalization, increased local sourcing of parts, cost structure reductions, as well as brand and dealer network improvements which we expect to favorably impact the region over the medium term. As we continue to assess our performance throughout the region, additional restructuring and rationalization actions may be required and may have a material impact on our results of operations.</w:t>
      </w:r>
    </w:p>
    <w:p>
      <w:pPr>
        <w:spacing w:after="0" w:line="17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GM Korea’s collective bargaining agreement negotiations are expected to begin in the second quarter of 2016. Although GM Korea has reached settlements in recent years without work stoppages, there is an inherent risk of work stoppages in negotiations which could negatively affect our business.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GMSA</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South American automotive industry continues to be negatively impacted by high interest rates, low commodity prices, increasing levels of unemployment and lack of consumer confidence combined with manufacturing overcapacity. As a result industry sales to retail and fleet customers were 0.9 million units in the three months ended March 31, 2016, representing a 20.7% decrease compared to the corresponding period in 2015. In the three months ended March 31, 2016 our vehicle sales in Brazil, our largest market in South America, totaled 0.1 million units for market share of 15.8%, representing a decrease of 0.8 percentage points compared to the corresponding period in 2015 due primarily to the competitive environment.</w:t>
      </w:r>
    </w:p>
    <w:p>
      <w:pPr>
        <w:spacing w:after="0" w:line="1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monitor economic conditions in South America and believe that adverse economic conditions and their effects on the automotive industry will likely continue over the next two years. While we continue to take actions to address these challenges, no assurance can be provided that such efforts will prevent material future losses, asset impairments or other charges.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the three months ended March 31, 2016 we continued to consolidate our Venezuelan subsidiaries. We expect to have the ability to continue vehicle production in a limited manner during 2016 and into early 2017. Absent ongoing vehicle production, our Venezuelan subsidiaries may require additional financial support. At this time no decision has been made whether we will provide further financial support if required. We continue to monitor developments in Venezuela. If a determination is made in the future that we no longer maintain control we may incur a charge based on exchange rates at March 31, 2016 of approximately $0.2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March 2015 management announced its plan to return all available free cash flow to stockholders while maintaining an investment-grade balance sheet. Management's capital allocation framework includes a combined cash and marketable securities balance target of $20 billion and plans to reinvest in the business at an average target ROIC rate of 20% or greater. In connection with this plan we announced that our Board of Directors had authorized a program to purchase up to $5 billion of our common stock before the end of 2016. In January 2016 we announced that our Board of Directors had authorized the purchase of up to an additional $4 billion of our common stock (an aggregate total of $9 billion) before the end of 2017. At April 19, 2016 we had purchased an aggregate of 112 million shares of our outstanding common stock under our common stock repurchase program for $3.8 billion. Also, in January 2016 we announced an increase of our quarterly common stock dividend to $0.38 per share effective in the first quarter of 2016.</w:t>
      </w:r>
    </w:p>
    <w:p>
      <w:pPr>
        <w:spacing w:after="0" w:line="16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Ignition Switch Recall has led to various inquiries, investigations, subpoenas, requests for information and complaints from Congress, the SEC, Transport Canada and 50 state attorneys general. In addition these and other recalls have resulted in a number of claims and lawsuits. Refer to Note 10 to our condensed consolidated financial statements for additional information. Such lawsuits and investigations could in the future result in the imposition of material damages, fines, civil consent orders, civil and criminal penalties or other remedies.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Based on defect information reports filed with the National Highway Transportation Safety Administration by Takata, we are currently conducting recalls for certain Takata air bag inflators used in some of our prior model year vehicles. We are continuing to assess the situation globally. Further recalls, if any, that may be required to remediate Takata air bag inflators in our vehicles could have a material impact on our financial position, results of operations or cash flows.</w:t>
      </w:r>
    </w:p>
    <w:p>
      <w:pPr>
        <w:spacing w:after="0" w:line="187"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We are assessing the potential impact, if any, of the recent earthquakes in Japan on our supply chain. If we are unable to effectively mitigate any resulting supply chain disruptions, they could have a material effect on our financial position, results of operations or cash flows.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Vehicle Sales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 We do not currently export vehicles to Cuba, Iran, North Korea, Sudan or Syria. Accordingly these countries are excluded from industry sales data and corresponding calculations of our market share.</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to our revenue from the sale of vehicles, which is the largest component of Automotive net sales and revenue. Wholesale vehicle sales exclude vehicles produced by joint ventures. In the three months ended March 31, 2016, 46.8% of our wholesale vehicle sales volume was generated outside the U.S. The following table summarizes total wholesale vehicle sales of new vehicles by automotive segment (vehicles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March 31, 2016</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March 31, 2015</w:t>
            </w:r>
          </w:p>
        </w:tc>
        <w:tc>
          <w:tcPr>
            <w:tcW w:w="660" w:type="dxa"/>
            <w:vAlign w:val="bottom"/>
            <w:tcBorders>
              <w:bottom w:val="single" w:sz="8" w:color="auto"/>
            </w:tcBorders>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GME</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6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GMSA</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6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4"/>
              </w:rPr>
              <w:t>1,391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end customers based upon the good faith estimates of management, including fleets,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of new vehicles and our related competitive position by geographic region (vehicles in thousands):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2016</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2015</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tcPr>
          <w:p>
            <w:pPr>
              <w:ind w:left="340"/>
              <w:spacing w:after="0"/>
              <w:rPr>
                <w:sz w:val="20"/>
                <w:szCs w:val="20"/>
                <w:color w:val="auto"/>
              </w:rPr>
            </w:pPr>
            <w:r>
              <w:rPr>
                <w:rFonts w:ascii="Arial" w:cs="Arial" w:eastAsia="Arial" w:hAnsi="Arial"/>
                <w:sz w:val="14"/>
                <w:szCs w:val="14"/>
                <w:b w:val="1"/>
                <w:bCs w:val="1"/>
                <w:color w:val="auto"/>
              </w:rPr>
              <w:t>GM</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Market Share</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tcPr>
          <w:p>
            <w:pPr>
              <w:ind w:left="320"/>
              <w:spacing w:after="0"/>
              <w:rPr>
                <w:sz w:val="20"/>
                <w:szCs w:val="20"/>
                <w:color w:val="auto"/>
              </w:rPr>
            </w:pPr>
            <w:r>
              <w:rPr>
                <w:rFonts w:ascii="Arial" w:cs="Arial" w:eastAsia="Arial" w:hAnsi="Arial"/>
                <w:sz w:val="14"/>
                <w:szCs w:val="14"/>
                <w:b w:val="1"/>
                <w:bCs w:val="1"/>
                <w:color w:val="auto"/>
              </w:rPr>
              <w:t>GM</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Market Share</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North America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Europe</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Europe</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Asia/Pacific, Middle East and Africa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Asia/Pacific, Middle East and Africa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11,557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South America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South America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Worldwide</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22,480</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22,118</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2,399</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22"/>
        </w:trPr>
        <w:tc>
          <w:tcPr>
            <w:tcW w:w="5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United States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Trucks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United States</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4,044</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22"/>
        </w:trPr>
        <w:tc>
          <w:tcPr>
            <w:tcW w:w="5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China</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SGMS</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SGMW and FAW-GM</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China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48"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China sales include the Automotive China JVs SAIC General Motors Sales Co., Ltd. (SGMS), SAIC-GM-Wuling Automobile Co., Ltd. (SGMW) and FAW-GM Light Duty Commercial Vehicle Co., Ltd. (FAW-GM). End customer data is not readily available for the industry; therefore, wholesale volumes were used for Industry, GM and Market Share. Our retail sales in China were 964 and 962 in the three months ended March 31, 2016 and 2015.</w:t>
      </w:r>
    </w:p>
    <w:p>
      <w:pPr>
        <w:spacing w:after="0" w:line="12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2016 we estimate we had the largest market share in North America and South America, the number three market share in the Asia/Pacific, Middle East and Africa region and the number seven market share in Europe.</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sales and market share data provided in the table above includes both fleet vehicle sales and sales to retail customers. Certain fleet transactions, particularly sales to daily rental car companies, are generally less profitable than sales to retail customers. A significant portion of the sales to daily rental car companies are recorded as operating leases under U.S. GAAP with no recognition of revenue at the date of initial delivery due to guaranteed repurchase obligations. The following table summarizes estimated fleet sales and those sales as a percentage of total retail vehicle sales (vehicles in thousands):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r>
      <w:tr>
        <w:trPr>
          <w:trHeight w:val="25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205</w:t>
            </w: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GME</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660" w:type="dxa"/>
            <w:vAlign w:val="bottom"/>
          </w:tcPr>
          <w:p>
            <w:pPr>
              <w:jc w:val="right"/>
              <w:ind w:right="93"/>
              <w:spacing w:after="0"/>
              <w:rPr>
                <w:sz w:val="20"/>
                <w:szCs w:val="20"/>
                <w:color w:val="auto"/>
              </w:rPr>
            </w:pPr>
            <w:r>
              <w:rPr>
                <w:rFonts w:ascii="Arial" w:cs="Arial" w:eastAsia="Arial" w:hAnsi="Arial"/>
                <w:sz w:val="18"/>
                <w:szCs w:val="18"/>
                <w:color w:val="auto"/>
              </w:rPr>
              <w:t>134</w:t>
            </w:r>
          </w:p>
        </w:tc>
      </w:tr>
      <w:tr>
        <w:trPr>
          <w:trHeight w:val="27"/>
        </w:trPr>
        <w:tc>
          <w:tcPr>
            <w:tcW w:w="8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GMSA</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60" w:type="dxa"/>
            <w:vAlign w:val="bottom"/>
          </w:tcPr>
          <w:p>
            <w:pPr>
              <w:jc w:val="right"/>
              <w:ind w:right="93"/>
              <w:spacing w:after="0"/>
              <w:rPr>
                <w:sz w:val="20"/>
                <w:szCs w:val="20"/>
                <w:color w:val="auto"/>
              </w:rPr>
            </w:pPr>
            <w:r>
              <w:rPr>
                <w:rFonts w:ascii="Arial" w:cs="Arial" w:eastAsia="Arial" w:hAnsi="Arial"/>
                <w:sz w:val="18"/>
                <w:szCs w:val="18"/>
                <w:color w:val="auto"/>
              </w:rPr>
              <w:t>28</w:t>
            </w:r>
          </w:p>
        </w:tc>
      </w:tr>
      <w:tr>
        <w:trPr>
          <w:trHeight w:val="27"/>
        </w:trPr>
        <w:tc>
          <w:tcPr>
            <w:tcW w:w="8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9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8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5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retail vehicle sales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432"/>
        </w:trPr>
        <w:tc>
          <w:tcPr>
            <w:tcW w:w="9060" w:type="dxa"/>
            <w:vAlign w:val="bottom"/>
            <w:gridSpan w:val="2"/>
          </w:tcPr>
          <w:p>
            <w:pPr>
              <w:ind w:left="180"/>
              <w:spacing w:after="0"/>
              <w:rPr>
                <w:sz w:val="20"/>
                <w:szCs w:val="20"/>
                <w:color w:val="auto"/>
              </w:rPr>
            </w:pPr>
            <w:r>
              <w:rPr>
                <w:rFonts w:ascii="Arial" w:cs="Arial" w:eastAsia="Arial" w:hAnsi="Arial"/>
                <w:sz w:val="18"/>
                <w:szCs w:val="18"/>
                <w:color w:val="auto"/>
              </w:rPr>
              <w:t>The following table summarizes United States fleet sales (vehicles in thousands):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7"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Other fleet sales</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62</w:t>
            </w: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 Summary and Outlook</w:t>
      </w:r>
    </w:p>
    <w:p>
      <w:pPr>
        <w:spacing w:after="0" w:line="239"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GM Financial is expanding its leasing, near prime and prime lending programs in North America and anticipates that leasing and prime lending will become an increasing percentage of the originations and retail portfolio balance over time. In the three months ended March 31, 2016 and 2015 GM Financial's revenue consisted of retail finance charge income of 34.4% and 55.6%, commercial finance charge income of 5.0% and 7.5% and leased vehicle income of 57.1% and 31.8%. We believe that offering a comprehensive suite of financing products will generate incremental sales of our vehicles, drive incremental GM Financial earnings and help support our sales throughout various economic cycles. In the three months ended March 31, 2016 GM Financial's retail penetration in North America grew to approximately 37%, up from approximately 21% compared to the corresponding period in 2015.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review changes in our results of operations under five categories: volume, mix, price, cost and other. Volume measures the 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and (2) manufacturing, engineering, advertising, administrative and selling and policy and warranty expense. Other includes primarily foreign exchange and non-vehicle related automotive revenues and costs as well as equity income or loss from our nonconsolidated affiliates.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6"/>
                <w:szCs w:val="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80" w:type="dxa"/>
            <w:vAlign w:val="bottom"/>
          </w:tcPr>
          <w:p>
            <w:pPr>
              <w:spacing w:after="0"/>
              <w:rPr>
                <w:sz w:val="6"/>
                <w:szCs w:val="6"/>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1,787</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4,681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3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35,195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34,364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831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722</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236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37,265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35,712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1,553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41"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this MD&amp;A for additional information.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Cost of Sales and Inventories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rPr>
              <w:t>Variance Due To</w:t>
            </w: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6"/>
                <w:szCs w:val="6"/>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0"/>
              </w:rPr>
              <w:t>Volume</w:t>
            </w:r>
          </w:p>
        </w:tc>
        <w:tc>
          <w:tcPr>
            <w:tcW w:w="220" w:type="dxa"/>
            <w:vAlign w:val="bottom"/>
          </w:tcPr>
          <w:p>
            <w:pPr>
              <w:spacing w:after="0"/>
              <w:rPr>
                <w:sz w:val="6"/>
                <w:szCs w:val="6"/>
                <w:color w:val="auto"/>
              </w:rPr>
            </w:pPr>
          </w:p>
        </w:tc>
        <w:tc>
          <w:tcPr>
            <w:tcW w:w="68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6"/>
                <w:szCs w:val="6"/>
                <w:color w:val="auto"/>
              </w:rPr>
            </w:pPr>
          </w:p>
        </w:tc>
        <w:tc>
          <w:tcPr>
            <w:tcW w:w="5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w w:val="96"/>
              </w:rPr>
              <w:t>(Dollars in billions)</w:t>
            </w: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37.8 %</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246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30,589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30,674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n.m. = not meaningful</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this MD&amp;A for additional information on volume and mix.</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the three months ended March 31, 2016 favorable Cost was due primarily to: (1) decreased material and freight costs of $0.8 billion related to carryover vehicles, partially offset by increased material and freight costs of $0.2 billion related to vehicles launched within the last twelve months incorporating significant exterior and/or interior changes (Majors); and (2) costs related to the change in our business model in Russia of $0.1 billion in 2015; partially offset by (3) unfavorable depreciation and amortization, engineering and other costs primarily related to new product launches of $0.4 billion; and (4) net restructuring costs primarily related to the UAW cash severance incentive program of $0.2 billion. In the three months ended March 31, 2016 favorable Other was due primarily to favorable net foreign currency effect of $1.2 billion due primarily to the weakening of the Euro, Brazilian Real, Canadian Dollar, Argentine Peso, Venezuelan Bolivar and South Korean Won against the U.S. Dollar of $1.0 billion and costs related to the change in our business model in Russia of $0.2 billion in 2015.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Inventories</w:t>
            </w: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Days on Hand</w:t>
            </w:r>
          </w:p>
        </w:tc>
        <w:tc>
          <w:tcPr>
            <w:tcW w:w="1360" w:type="dxa"/>
            <w:vAlign w:val="bottom"/>
            <w:tcBorders>
              <w:bottom w:val="single" w:sz="8" w:color="auto"/>
            </w:tcBorders>
          </w:tcPr>
          <w:p>
            <w:pPr>
              <w:spacing w:after="0"/>
              <w:rPr>
                <w:sz w:val="22"/>
                <w:szCs w:val="22"/>
                <w:color w:val="auto"/>
              </w:rPr>
            </w:pPr>
          </w:p>
        </w:tc>
      </w:tr>
      <w:tr>
        <w:trPr>
          <w:trHeight w:val="264"/>
        </w:trPr>
        <w:tc>
          <w:tcPr>
            <w:tcW w:w="25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March 31, 2015</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Increase/ (Decrease)</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3"/>
              </w:rPr>
              <w:t>Increase/ (Decrease)</w:t>
            </w: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GME</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40" w:type="dxa"/>
            <w:vAlign w:val="bottom"/>
            <w:tcBorders>
              <w:right w:val="single" w:sz="8" w:color="auto"/>
            </w:tcBorders>
          </w:tcPr>
          <w:p>
            <w:pPr>
              <w:spacing w:after="0"/>
              <w:rPr>
                <w:sz w:val="21"/>
                <w:szCs w:val="21"/>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GMSA</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right w:val="single" w:sz="8" w:color="auto"/>
            </w:tcBorders>
          </w:tcPr>
          <w:p>
            <w:pPr>
              <w:spacing w:after="0"/>
              <w:rPr>
                <w:sz w:val="21"/>
                <w:szCs w:val="21"/>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9"/>
              </w:rPr>
              <w:t>94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7"/>
        </w:trPr>
        <w:tc>
          <w:tcPr>
            <w:tcW w:w="2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15,817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14,051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0"/>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Days on hand is calculated as Inventories divided by Automotive cost of sales for the three months ended March 31 multiplied by 90.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Favorable/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5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March 31, 2016</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March 31, 2015</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38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7"/>
              </w:rPr>
              <w:t>(Unfavorable)</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 and administrative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3,117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241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2016 Automotive selling, general and administrative expense decreased due primarily to:(1) favorable net foreign currency effect of $0.1 billion due primarily to the weakening of the Brazilian Real and Venezuelan Bolivar against the U.S. Dollar; (2) expense related to the ignition switch recall compensation program of $0.2 billion in 2015; and (3) costs related to the change in our business model in Russia of $0.1 billion in 2015; partially offset by (4) charges for legal related matters of $0.1 billion.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2016 Interest income and other non-operating income, net decreased due primarily to unfavorable foreign currency effect related to intercompany loans denominated in foreign currencies.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2"/>
                <w:szCs w:val="2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Favorable /</w:t>
            </w: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740" w:type="dxa"/>
            <w:vAlign w:val="bottom"/>
          </w:tcPr>
          <w:p>
            <w:pPr>
              <w:spacing w:after="0"/>
              <w:rPr>
                <w:sz w:val="6"/>
                <w:szCs w:val="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March 31, 2016</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6"/>
              </w:rPr>
              <w:t>March 31, 2015</w:t>
            </w:r>
          </w:p>
        </w:tc>
        <w:tc>
          <w:tcPr>
            <w:tcW w:w="2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6"/>
                <w:szCs w:val="6"/>
                <w:color w:val="auto"/>
              </w:rPr>
            </w:pPr>
          </w:p>
        </w:tc>
        <w:tc>
          <w:tcPr>
            <w:tcW w:w="4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Mix</w:t>
            </w:r>
          </w:p>
        </w:tc>
        <w:tc>
          <w:tcPr>
            <w:tcW w:w="320" w:type="dxa"/>
            <w:vAlign w:val="bottom"/>
          </w:tcPr>
          <w:p>
            <w:pPr>
              <w:spacing w:after="0"/>
              <w:rPr>
                <w:sz w:val="6"/>
                <w:szCs w:val="6"/>
                <w:color w:val="auto"/>
              </w:rPr>
            </w:pPr>
          </w:p>
        </w:tc>
        <w:tc>
          <w:tcPr>
            <w:tcW w:w="5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6"/>
                <w:szCs w:val="6"/>
                <w:color w:val="auto"/>
              </w:rPr>
            </w:pPr>
          </w:p>
        </w:tc>
        <w:tc>
          <w:tcPr>
            <w:tcW w:w="5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4"/>
          </w:tcPr>
          <w:p>
            <w:pPr>
              <w:jc w:val="center"/>
              <w:ind w:left="279"/>
              <w:spacing w:after="0"/>
              <w:rPr>
                <w:sz w:val="20"/>
                <w:szCs w:val="20"/>
                <w:color w:val="auto"/>
              </w:rPr>
            </w:pPr>
            <w:r>
              <w:rPr>
                <w:rFonts w:ascii="Arial" w:cs="Arial" w:eastAsia="Arial" w:hAnsi="Arial"/>
                <w:sz w:val="14"/>
                <w:szCs w:val="14"/>
                <w:b w:val="1"/>
                <w:bCs w:val="1"/>
                <w:color w:val="auto"/>
                <w:w w:val="93"/>
              </w:rPr>
              <w:t>(Dollars in billions)</w:t>
            </w: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26,463</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2,296</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8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(Vehicles in thousands)</w:t>
            </w:r>
          </w:p>
        </w:tc>
        <w:tc>
          <w:tcPr>
            <w:tcW w:w="9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829</w:t>
            </w: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March 31, 2016 Total net sales and revenue increased due primarily to: (1) increased net wholesale volumes reflecting our strategic decision to reduce daily rental activity and higher demand for mid-size cars and full-size pick-up trucks, partially offset by a decrease in the Chevrolet Cruze; (2) favorable mix associated with full-size pick-up trucks, full-size sport utility vehicles (SUVs) and the decrease in Chevrolet Cruze volumes, partially offset by mid-size cars; and (3) favorable pricing primarily for Majors of $0.3 billion related to the recently launched Chevrolet Camaro and Malibu; partially offset by (4) unfavorable Other of $0.2 billion due primarily to unfavorable foreign currency effect of $0.3 billion due to the weakening of the Canadian Dollar and Mexican Peso against the U.S. Dollar.</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2016 EBIT-adjusted increased due primarily to: (1) increased net wholesale volumes; and (2) favorable pricing; partially offset by (3) unfavorable Cost including restructuring charges of $0.2 billion related to the UAW cash severance incentive program, increased material costs for Majors of $0.1 billion primarily related to the recently launched Chevrolet Camaro and Malibu and increased other costs related to new product launches of $0.6 billion primarily engineering, marketing and depreciation and amortization, partially offset by favorable material and freight performance related to carryover vehicles of $0.6 billion; and (4) unfavorable Other of $0.2 billion due primarily to unfavorable foreign currency effect due to the weakening of the Mexican Peso and Canadian Dollar against the U.S. Dollar.</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Recall Campaigns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impact of recall-related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Pr>
          <w:p>
            <w:pPr>
              <w:spacing w:after="0"/>
              <w:rPr>
                <w:sz w:val="22"/>
                <w:szCs w:val="22"/>
                <w:color w:val="auto"/>
              </w:rPr>
            </w:pPr>
          </w:p>
        </w:tc>
        <w:tc>
          <w:tcPr>
            <w:tcW w:w="128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prior periods</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2,538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2"/>
                <w:szCs w:val="2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Favorable /</w:t>
            </w: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740" w:type="dxa"/>
            <w:vAlign w:val="bottom"/>
          </w:tcPr>
          <w:p>
            <w:pPr>
              <w:spacing w:after="0"/>
              <w:rPr>
                <w:sz w:val="6"/>
                <w:szCs w:val="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March 31, 2016</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6"/>
              </w:rPr>
              <w:t>March 31, 2015</w:t>
            </w:r>
          </w:p>
        </w:tc>
        <w:tc>
          <w:tcPr>
            <w:tcW w:w="2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6"/>
                <w:szCs w:val="6"/>
                <w:color w:val="auto"/>
              </w:rPr>
            </w:pPr>
          </w:p>
        </w:tc>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Mix</w:t>
            </w:r>
          </w:p>
        </w:tc>
        <w:tc>
          <w:tcPr>
            <w:tcW w:w="320" w:type="dxa"/>
            <w:vAlign w:val="bottom"/>
          </w:tcPr>
          <w:p>
            <w:pPr>
              <w:spacing w:after="0"/>
              <w:rPr>
                <w:sz w:val="6"/>
                <w:szCs w:val="6"/>
                <w:color w:val="auto"/>
              </w:rPr>
            </w:pPr>
          </w:p>
        </w:tc>
        <w:tc>
          <w:tcPr>
            <w:tcW w:w="820" w:type="dxa"/>
            <w:vAlign w:val="bottom"/>
            <w:vMerge w:val="restart"/>
          </w:tcPr>
          <w:p>
            <w:pPr>
              <w:jc w:val="center"/>
              <w:ind w:right="336"/>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3"/>
              </w:rPr>
              <w:t>(Dollars in billions)</w:t>
            </w:r>
          </w:p>
        </w:tc>
        <w:tc>
          <w:tcPr>
            <w:tcW w:w="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4,681</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rPr>
              <w:t>0.1</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520" w:type="dxa"/>
            <w:vAlign w:val="bottom"/>
          </w:tcPr>
          <w:p>
            <w:pPr>
              <w:jc w:val="right"/>
              <w:ind w:right="59"/>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8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(Vehicles in thousands)</w:t>
            </w:r>
          </w:p>
        </w:tc>
        <w:tc>
          <w:tcPr>
            <w:tcW w:w="9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2016 Total net sales and revenue increased due primarily to: (1) increased net wholesale volumes associated with higher demand primarily for the new passenger vehicle KARL and the next generation Astra passenger vehicle across the region; and (2) favorable pricing for Majors primarily related to the next generation Astra; partially offset by (3) unfavorable Other of $0.2 billion due primarily to unfavorable foreign currency effect due to the weakening of the Euro and British Pound against the U.S. Dollar.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the three months ended March 31, 2016 EBIT (loss)-adjusted decreased due primarily to: (1) favorable Cost due primarily to fixed cost improvements of $0.1 billion and favorable material performance related to carryover vehicles of $0.1 billion; and (2) increased net wholesale volumes.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view the Chinese market as important to our global growth strategy and are employing a multi-brand strategy led by our Buick and Chevrolet brands. In the coming years we plan to increasingly leverage our global architectures to increase the number of product offerings under the Buick, Chevrolet and Cadillac brands in China and continue to grow our business under the local Baojun and Wuling brands, with Baojun seizing the growth opportunities in less developed cities and markets. We operate in the Chinese market through a number of joint ventures and maintaining good relations with our joint venture partners, which are affiliated with the Chinese government, is an important part of our China growth strategy.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Automotive China JVs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22"/>
                <w:szCs w:val="22"/>
                <w:color w:val="auto"/>
              </w:rPr>
            </w:pPr>
          </w:p>
        </w:tc>
        <w:tc>
          <w:tcPr>
            <w:tcW w:w="1420" w:type="dxa"/>
            <w:vAlign w:val="bottom"/>
          </w:tcPr>
          <w:p>
            <w:pPr>
              <w:jc w:val="right"/>
              <w:ind w:right="235"/>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vehicles including vehicles exported to markets outside of China</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11,191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10,972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1,086</w:t>
            </w:r>
          </w:p>
        </w:tc>
      </w:tr>
      <w:tr>
        <w:trPr>
          <w:trHeight w:val="399"/>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24"/>
                <w:szCs w:val="2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184</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 and EBIT-Adjusted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2"/>
                <w:szCs w:val="2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40" w:type="dxa"/>
            <w:vAlign w:val="bottom"/>
          </w:tcPr>
          <w:p>
            <w:pPr>
              <w:spacing w:after="0"/>
              <w:rPr>
                <w:sz w:val="6"/>
                <w:szCs w:val="6"/>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March 31, 2016</w:t>
            </w: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8"/>
              </w:rPr>
              <w:t>March 31, 2015</w:t>
            </w: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Mix</w:t>
            </w:r>
          </w:p>
        </w:tc>
        <w:tc>
          <w:tcPr>
            <w:tcW w:w="320" w:type="dxa"/>
            <w:vAlign w:val="bottom"/>
          </w:tcPr>
          <w:p>
            <w:pPr>
              <w:spacing w:after="0"/>
              <w:rPr>
                <w:sz w:val="6"/>
                <w:szCs w:val="6"/>
                <w:color w:val="auto"/>
              </w:rPr>
            </w:pPr>
          </w:p>
        </w:tc>
        <w:tc>
          <w:tcPr>
            <w:tcW w:w="820" w:type="dxa"/>
            <w:vAlign w:val="bottom"/>
            <w:vMerge w:val="restart"/>
          </w:tcPr>
          <w:p>
            <w:pPr>
              <w:jc w:val="center"/>
              <w:ind w:right="336"/>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3"/>
              </w:rPr>
              <w:t>(Dollars in billions)</w:t>
            </w:r>
          </w:p>
        </w:tc>
        <w:tc>
          <w:tcPr>
            <w:tcW w:w="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2,679</w:t>
            </w: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379</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240"/>
              <w:spacing w:after="0"/>
              <w:rPr>
                <w:sz w:val="20"/>
                <w:szCs w:val="20"/>
                <w:color w:val="auto"/>
              </w:rPr>
            </w:pPr>
            <w:r>
              <w:rPr>
                <w:rFonts w:ascii="Arial" w:cs="Arial" w:eastAsia="Arial" w:hAnsi="Arial"/>
                <w:sz w:val="18"/>
                <w:szCs w:val="18"/>
                <w:color w:val="auto"/>
              </w:rPr>
              <w:t>—   $</w:t>
            </w:r>
          </w:p>
        </w:tc>
        <w:tc>
          <w:tcPr>
            <w:tcW w:w="520" w:type="dxa"/>
            <w:vAlign w:val="bottom"/>
          </w:tcPr>
          <w:p>
            <w:pPr>
              <w:jc w:val="right"/>
              <w:ind w:right="59"/>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Equity income – Automotive China</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JVs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i w:val="1"/>
                <w:iCs w:val="1"/>
                <w:color w:val="auto"/>
              </w:rPr>
              <w:t>518</w:t>
            </w: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519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i w:val="1"/>
                <w:iCs w:val="1"/>
                <w:color w:val="auto"/>
              </w:rPr>
              <w:t>EBIT (loss)-adjusted – excluding</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i w:val="1"/>
                <w:iCs w:val="1"/>
                <w:color w:val="auto"/>
              </w:rPr>
              <w:t>Equity income</w:t>
            </w:r>
          </w:p>
        </w:tc>
        <w:tc>
          <w:tcPr>
            <w:tcW w:w="26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(139)</w:t>
            </w:r>
          </w:p>
        </w:tc>
        <w:tc>
          <w:tcPr>
            <w:tcW w:w="420" w:type="dxa"/>
            <w:vAlign w:val="bottom"/>
          </w:tcPr>
          <w:p>
            <w:pPr>
              <w:ind w:left="140"/>
              <w:spacing w:after="0"/>
              <w:rPr>
                <w:sz w:val="20"/>
                <w:szCs w:val="20"/>
                <w:color w:val="auto"/>
              </w:rPr>
            </w:pPr>
            <w:r>
              <w:rPr>
                <w:rFonts w:ascii="Arial" w:cs="Arial" w:eastAsia="Arial" w:hAnsi="Arial"/>
                <w:sz w:val="18"/>
                <w:szCs w:val="18"/>
                <w:i w:val="1"/>
                <w:i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(148)</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i w:val="1"/>
                <w:iCs w:val="1"/>
                <w:color w:val="auto"/>
              </w:rPr>
              <w:t>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6.1 %</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(Vehicles in thousands)</w:t>
            </w:r>
          </w:p>
        </w:tc>
        <w:tc>
          <w:tcPr>
            <w:tcW w:w="9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2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7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March 31, 2016 Total net sales and revenue decreased due primarily to: (1) decreased wholesale volumes primarily related to decreased sales of mid-size pick-up trucks and the Chevrolet Aveo in Egypt, the end of production of the Chevrolet Spin and Sonic in Southeast Asia and decreased sales of pick-up trucks in South Africa; and (2) unfavorable Other of $0.2 billion due primarily to unfavorable foreign currency effect due to the weakening of the South Korean Won, South African Rand and Australian Dollar against the U.S. Dollar.</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2016 EBIT-adjusted remained flat due primarily to: (1) favorable Cost due primarily to favorable material and freight performance related to carryover vehicles; offset by (2) decreased wholesale volumes.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 and EBIT (Loss)-Adjusted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2"/>
                <w:szCs w:val="2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10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4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700" w:type="dxa"/>
            <w:vAlign w:val="bottom"/>
          </w:tcPr>
          <w:p>
            <w:pPr>
              <w:spacing w:after="0"/>
              <w:rPr>
                <w:sz w:val="6"/>
                <w:szCs w:val="6"/>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March 31, 2016</w:t>
            </w: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8"/>
              </w:rPr>
              <w:t>March 31, 2015</w:t>
            </w: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4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Mix</w:t>
            </w:r>
          </w:p>
        </w:tc>
        <w:tc>
          <w:tcPr>
            <w:tcW w:w="300" w:type="dxa"/>
            <w:vAlign w:val="bottom"/>
          </w:tcPr>
          <w:p>
            <w:pPr>
              <w:spacing w:after="0"/>
              <w:rPr>
                <w:sz w:val="6"/>
                <w:szCs w:val="6"/>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Price</w:t>
            </w:r>
          </w:p>
        </w:tc>
        <w:tc>
          <w:tcPr>
            <w:tcW w:w="300" w:type="dxa"/>
            <w:vAlign w:val="bottom"/>
          </w:tcPr>
          <w:p>
            <w:pPr>
              <w:spacing w:after="0"/>
              <w:rPr>
                <w:sz w:val="6"/>
                <w:szCs w:val="6"/>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w:t>
            </w: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3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5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6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(Vehicles in thousands)</w:t>
            </w:r>
          </w:p>
        </w:tc>
        <w:tc>
          <w:tcPr>
            <w:tcW w:w="10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2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March 31, 2016 Total net sales and revenue decreased due primarily to: (1) decreased wholesale volumes primarily in Brazil across the portfolio due to difficult economic conditions; and (2) unfavorable Other of $0.7 billion due primarily to unfavorable foreign currency effect due to the weakening of all currencies across the region against the U.S. Dollar; partially offset by (3) favorable pricing related to carryover vehicles due primarily to high inflation in Argentina; and (4) favorable product mix due to decreased sales of lower priced vehicles in Brazil.</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 (Loss)-Adjusted</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2016 EBIT (loss)-adjusted decreased due primarily to: (1) favorable pricing; partially offset by (2) decreased wholesales volumes; (3) unfavorable Other of $0.1 billion due to unfavorable foreign currency effect due to the</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41"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weakening of all currencies across the region against the U.S. Dollar; and (4) flat Cost due primarily to favorable engineering and manufacturing expenses of $0.1 billion offset by unfavorable other costs of $0.1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8"/>
              </w:rPr>
              <w:t>March 31, 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Increase / (Decrease)</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1,354</w:t>
            </w:r>
          </w:p>
        </w:tc>
        <w:tc>
          <w:tcPr>
            <w:tcW w:w="86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155</w:t>
            </w:r>
          </w:p>
        </w:tc>
        <w:tc>
          <w:tcPr>
            <w:tcW w:w="86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taxes-adjusted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214</w:t>
            </w:r>
          </w:p>
        </w:tc>
        <w:tc>
          <w:tcPr>
            <w:tcW w:w="86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5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(Dollars in billions)</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debt outstanding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38.1</w:t>
            </w:r>
          </w:p>
        </w:tc>
        <w:tc>
          <w:tcPr>
            <w:tcW w:w="86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Effective rate of interest paid</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2016 Total revenue increased due primarily to increased leased vehicle income of $0.8 billion due to a larger lease portfolio.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Taxes-Adjusted</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2016 Income before income taxes-adjusted remained flat due primarily to: (1) increased revenue of $0.7 billion; offset by (2) increased leased vehicle expense of $0.6 billion due to a larger lease portfolio; and (3) increased interest expense of $0.1 billion due to an increase in average debt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We believe that our current level of cash and cash equivalents, marketable securities and availability under our revolving credit facilities will be sufficient to meet our liquidity needs. We expect to have substantial cash requirements going forward which we plan to fund through total available liquidity and cash flows generated from operations.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(1) reinvest in our business; (2) maintain an investment-grade balance sheet; and (3) return cash to stockholders. Our known future material uses of cash include, among other possible demands: (1) capital expenditures of approximately $9 billion annually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payments for previously announced restructuring activities; (5) dividend payments on our common stock that are declared by our Board of Directors; and (6) payments to purchase shares of our common stock under programs authorized by our Board of Directors.</w:t>
      </w:r>
    </w:p>
    <w:p>
      <w:pPr>
        <w:spacing w:after="0" w:line="16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2015 Form 10-K, some of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an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Management's capital allocation framework includes a combined cash and marketable securities balance target of $20 billion and plans to reinvest in the business at an average target ROIC rate of 20% or greater. In connection with this framework we announced that our Board of Directors had authorized a program to purchase up to $5 billion of our common stock before the end of 2016. In January 2016 we announced that our Board of Directors had authorized the purchase of up to an additional $4 billion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common stock (an aggregate total of $9 billion) before the end of 2017. Also, in January 2016 we announced an increase of our quarterly common stock dividend to $0.38 per share effective in the three months ended March 31, 2016. At April 19, 2016 we had purchased an aggregate of 112 million shares of our outstanding common stock under our common stock repurchase program for $3.8 billion.</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2016 we issued $2.0 billion in aggregate principal amount of senior unsecured notes and used the net proceeds to fund discretionary contributions to our U.S. hourly pension plan to improve its funded status. We made contributions of $1.5 billion in the three months ended March 31, 2016 and we made an additional discretionary contribution of $0.5 billion in April 2016. Refer to Note 7 to our condensed consolidated financial statements for additional information on the senior unsecured notes.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Liquidity</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Total available liquidity includes cash, cash equivalents, marketable securities and funds available under credit facilities. The amount of available liquidity is subject to intra-month and seasonal fluctuations and includes balances held by various business units and subsidiaries worldwide that are needed to fund their operations. There have been no significant changes in the management of our liquidity including the allocation of our available liquidity, the composition of our portfolio and our investment guidelines since December 31, 2015. Refer to the “Liquidity and Capital Resources” section of MD&amp;A in our 2015 Form 10-K.</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The total size of our credit facilities was $12.6 billion at March 31, 2016 and December 31, 2015, which consisted principally of our two primary revolving credit facilities. We did not borrow against our primary facilities, but had amounts in use under the letter of credit sub-facility of $0.5 billion at March 31, 2016. GM Financial had access to our revolving credit facilities but did not borrow against them. We had intercompany loans from GM Financial of $0.9 billion and $0.4 billion at March 31, 2016 and December 31, 2015, which consisted primarily of amounts used to fund company vehicles and for commercial loans to dealers we consolidate. The following table summarizes our automotive available liquidity (dollars in billions):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available liquidity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97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Investment in Lyft</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Loans from GM Financial and other</w:t>
            </w: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0.5</w:t>
            </w:r>
          </w:p>
        </w:tc>
      </w:tr>
      <w:tr>
        <w:trPr>
          <w:trHeight w:val="27"/>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64"/>
        </w:trPr>
        <w:tc>
          <w:tcPr>
            <w:tcW w:w="7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amortization and impairments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Pension and OPEB activities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Equipment on operating leases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Undistributed earnings of nonconsolidated affiliates,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2016 the change in Pension and OPEB activities was due to discretionary contributions of $1.5 billion made to our U.S. hourly pension plan. The changes in Equipment on operating leases and Accrued liabilities and other liabilities were due primarily to the reduction of units provided to rental car companies.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Investment in Lyft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three months ended March 31, 2016 the change in Acquisitions and liquidations of marketable securities, net was due primarily to the rebalancing of our investment portfolio between marketable securities and cash and cash equivalents as part of liquidity management in the normal course of business.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Issuance of senior unsecured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three months ended March 31, 2016 the change in Cash flows from financing activities was due primarily to the issuance of senior unsecured notes.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Automotive Free Cash Flow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 discretionary pension plan contributions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Adjusted free cash flow</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Status of Credit Ratings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 ratings from four independent credit rating agencies: DBRS Limited, Fitch Ratings, Moody's Investor Service (Moody's) and Standard &amp; Poor's. In February 2016 Moody's revised their outlook to Positive from Stable. In March 2016 DBRS Limited upgraded our corporate rating and revolving credit facilities rating to BBB from BBB (low) and revised their outlook to Stable from Positive.</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 Liquidity</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GM Financial's primary sources of cash are finance charge income, leasing income, servicing fees, net distributions from securitizations, secured and unsecured debt borrowings and collections and recoveries on finance receivables. GM Financial's primary uses of cash are purchases of retail finance receivables and leased vehicles, funding of commercial finance receivables, repayment of secured and unsecured debt, funding credit enhancement requirements for secured debt, operating expenses, interest costs and business acquisitions. GM Financial continues to monitor and evaluate opportunities to optimize its liquidity position and the mix of its debt. The following table summarizes GM Financial's available liquidity (dollars in billions):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9.7</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r>
      <w:tr>
        <w:trPr>
          <w:trHeight w:val="257"/>
        </w:trPr>
        <w:tc>
          <w:tcPr>
            <w:tcW w:w="8040" w:type="dxa"/>
            <w:vAlign w:val="bottom"/>
          </w:tcPr>
          <w:p>
            <w:pPr>
              <w:ind w:left="20"/>
              <w:spacing w:after="0"/>
              <w:rPr>
                <w:sz w:val="20"/>
                <w:szCs w:val="20"/>
                <w:color w:val="auto"/>
              </w:rPr>
            </w:pPr>
            <w:r>
              <w:rPr>
                <w:rFonts w:ascii="Arial" w:cs="Arial" w:eastAsia="Arial" w:hAnsi="Arial"/>
                <w:sz w:val="18"/>
                <w:szCs w:val="18"/>
                <w:color w:val="auto"/>
              </w:rPr>
              <w:t>Available liquidity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13.7</w:t>
            </w: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2016 available liquidity decreased due primarily to funding of loan and lease originations in excess of borrowing capacity, as well as the funding of an intercompany loan.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2016 Net cash provided by operating activities increased due primarily to an increase in leased vehicle income, partially offset by increased operating expenses and interest expense.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2016 Net cash used in investing activities increased due primarily to: (1) increased purchases of leased vehicles of $2.9 billion; partially offset by (2) prior year impact of cash used for the acquisition of the equity interest in SAIC-GMAC Automotive Finance Company Limited of $1.0 billion in 2015; and (3) increased proceeds from the termination of leases of $0.3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March 31, 2016 Net cash provided by financing activities increased due primarily to a net increase in borrowings.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2015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83" w:lineRule="auto"/>
        <w:rPr>
          <w:sz w:val="20"/>
          <w:szCs w:val="20"/>
          <w:color w:val="auto"/>
        </w:rPr>
      </w:pPr>
      <w:r>
        <w:rPr>
          <w:rFonts w:ascii="Arial" w:cs="Arial" w:eastAsia="Arial" w:hAnsi="Arial"/>
          <w:sz w:val="16"/>
          <w:szCs w:val="16"/>
          <w:color w:val="auto"/>
        </w:rPr>
        <w:t>In this report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“will,”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(1) our ability to maintain profitability over the long-term, including our ability to fund and introduce new and improved vehicle models that are able to attract a sufficient number of consumers; (2) the success of our full-size pick-up trucks and SUVs; (3) global automobile market sales volume, which can be volatile; (4) the results of our joint ventures, which we cannot operate solely for our benefit and over which we may have limited control; (5) our ability to realize production efficiencies and to achieve reductions in costs as we implement operating effectiveness initiatives throughout our automotive operations; (6) our ability to maintain quality control over our vehicles and avoid material vehicle recalls and the cost and effect on our reputation and products; (7) our ability to maintain adequate liquidity and financing sources including as required to fund our new technology; (8) our ability to realize successful vehicle applications of new technology and our ability to deliver new products, services and customer experiences in response to new participants in the automotive industry; (9) volatility in the price of oil; (10) the ability of our suppliers to deliver parts, systems and components without disruption and at such times to allow us to meet production schedules; (11) risks associated with our manufacturing facilities around the world; (12) our ability to manage the distribution channels for our products; (13) our ability to successfully restructure our operations in various countries; (14) the continued availability of wholesale and retail financing in markets in which we operate to support the sale of our vehicles, which is dependent on those entities' ability to obtain funding and their continued willingness to provide financing; (15) changes in economic conditions, commodity prices, housing prices, foreign currency exchange rates or political stability in the markets in which we operate; (16) significant changes in the competitive environment, including the effect of competition and excess manufacturing capacity in our markets, on our pricing policies or use of incentives and the introduction of new and improved vehicle models by our competitors; (17) significant changes in economic, political, regulatory environment and market conditions in China, including the effect of competition from new market entrants, on our vehicle sales and market position in China; (18) changes in existing, or the adoption of new, laws, regulations, policies or other activities of governments, agencies and similar organizations, particularly laws, regulations and policies relating to vehicle safety including recalls, and including such actions that may affect the production, licensing, distribution or sale of our products, the cost thereof or applicable tax rates; (19) stricter or novel interpretations and consequent enforcement of existing laws, regulations and policies; (20)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(21) our ability to comply with the terms of the DPA; (22) our ability to manage risks related to security breaches and other disruptions to our vehicles, information technology networks and systems; (23) significant increases in our pension expense or projected pension contributions resulting from changes in the value of plan assets, the discount rate applied to value the pension liabilities or mortality or other assumption changes; (24) our continued ability to develop captive financing capability through GM Financial; and (25) changes in accounting principles, or their application or interpretation, and our ability to make estimates and the assumptions underlying the estimates, which could have an effect on earnings.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2015. Refer to Item 7A of our 2015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management, with the participation of our CEO and CFO, evaluated the effectiveness of our disclosure controls and procedures (as defined in Rules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13a-15(e) or 15d-15(e) promulgated under the Exchange Act) at March 31, 2016. Based on this evaluation required by paragraph (b) of Rules 13a-15 or 15d-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 our CEO and CFO concluded that our disclosure controls and procedures were effective as of March 31,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three months ended March 31, 2016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Refer to the discussion in the "Litigation-Related Liability and Tax Administrative Matters" section in Note 10 to our condensed consolidated financial statements and the 2015 Form 10-K for information relating to certain legal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162"/>
        <w:spacing w:after="0" w:line="274" w:lineRule="auto"/>
        <w:rPr>
          <w:sz w:val="20"/>
          <w:szCs w:val="20"/>
          <w:color w:val="auto"/>
        </w:rPr>
      </w:pPr>
      <w:r>
        <w:rPr>
          <w:rFonts w:ascii="Arial" w:cs="Arial" w:eastAsia="Arial" w:hAnsi="Arial"/>
          <w:sz w:val="17"/>
          <w:szCs w:val="17"/>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2015 Form 10-K.</w:t>
      </w:r>
    </w:p>
    <w:p>
      <w:pPr>
        <w:ind w:left="5120"/>
        <w:spacing w:after="0"/>
        <w:rPr>
          <w:sz w:val="20"/>
          <w:szCs w:val="20"/>
          <w:color w:val="auto"/>
        </w:rPr>
      </w:pPr>
      <w:r>
        <w:rPr>
          <w:rFonts w:ascii="Arial" w:cs="Arial" w:eastAsia="Arial" w:hAnsi="Arial"/>
          <w:sz w:val="18"/>
          <w:szCs w:val="18"/>
          <w:color w:val="auto"/>
        </w:rPr>
        <w:t>* * * * * *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purchases of common stock in the three months ended March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Announced</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2016 through January 31,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1,813,837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$5.5 billion</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February 1, 2016 through February 29, 2016</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4,197,550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2,155,027</w:t>
            </w:r>
          </w:p>
        </w:tc>
        <w:tc>
          <w:tcPr>
            <w:tcW w:w="100" w:type="dxa"/>
            <w:vAlign w:val="bottom"/>
          </w:tcPr>
          <w:p>
            <w:pPr>
              <w:spacing w:after="0"/>
              <w:rPr>
                <w:sz w:val="21"/>
                <w:szCs w:val="21"/>
                <w:color w:val="auto"/>
              </w:rPr>
            </w:pPr>
          </w:p>
        </w:tc>
        <w:tc>
          <w:tcPr>
            <w:tcW w:w="1940" w:type="dxa"/>
            <w:vAlign w:val="bottom"/>
          </w:tcPr>
          <w:p>
            <w:pPr>
              <w:ind w:left="580"/>
              <w:spacing w:after="0"/>
              <w:rPr>
                <w:sz w:val="20"/>
                <w:szCs w:val="20"/>
                <w:color w:val="auto"/>
              </w:rPr>
            </w:pPr>
            <w:r>
              <w:rPr>
                <w:rFonts w:ascii="Arial" w:cs="Arial" w:eastAsia="Arial" w:hAnsi="Arial"/>
                <w:sz w:val="18"/>
                <w:szCs w:val="18"/>
                <w:color w:val="auto"/>
              </w:rPr>
              <w:t>$5.4 billion</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2016 through March 31,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8,141,252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7,618,520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$5.2 billion</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14,152,639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2"/>
                <w:szCs w:val="22"/>
                <w:color w:val="auto"/>
              </w:rPr>
            </w:pPr>
          </w:p>
        </w:tc>
        <w:tc>
          <w:tcPr>
            <w:tcW w:w="2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9,773,547</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4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Shares purchased consist of: (1) shares purchased under our previously announced common stock repurchase program; (2) shares retained by us for the payment of the exercise price upon the exercise of warrants; and (3) shares delivered by employees or directors to us for the payment of taxes resulting from issuance of common stock upon the vesting of Restricted Stock Units and Restricted Stock Awards relating to compensation plans. Refer to our consolidated financial statements in our 2015 Form 10-K for additional details on warrants issued and employee stock incentive plans.</w:t>
      </w:r>
    </w:p>
    <w:p>
      <w:pPr>
        <w:spacing w:after="0" w:line="3" w:lineRule="exact"/>
        <w:rPr>
          <w:rFonts w:ascii="Arial" w:cs="Arial" w:eastAsia="Arial" w:hAnsi="Arial"/>
          <w:sz w:val="16"/>
          <w:szCs w:val="16"/>
          <w:color w:val="auto"/>
        </w:rPr>
      </w:pPr>
    </w:p>
    <w:p>
      <w:pPr>
        <w:ind w:left="340" w:hanging="332"/>
        <w:spacing w:after="0" w:line="290"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March 2015 our Board of Directors authorized a program to purchase up to $5 billion of our common stock before the end of 2016. Effective January 2016 our Board of Directors increased the authorization to purchase up to an additional $4 billion of our common stock (or an aggregate total of $9 billion) before the end of 2017.</w:t>
      </w:r>
    </w:p>
    <w:p>
      <w:pPr>
        <w:spacing w:after="0" w:line="131" w:lineRule="exact"/>
        <w:rPr>
          <w:rFonts w:ascii="Arial" w:cs="Arial" w:eastAsia="Arial" w:hAnsi="Arial"/>
          <w:sz w:val="15"/>
          <w:szCs w:val="15"/>
          <w:color w:val="auto"/>
        </w:rPr>
      </w:pPr>
    </w:p>
    <w:p>
      <w:pPr>
        <w:ind w:left="5120"/>
        <w:spacing w:after="0"/>
        <w:rPr>
          <w:rFonts w:ascii="Arial" w:cs="Arial" w:eastAsia="Arial" w:hAnsi="Arial"/>
          <w:sz w:val="15"/>
          <w:szCs w:val="15"/>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90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Exhibit Name</w:t>
            </w:r>
          </w:p>
        </w:tc>
        <w:tc>
          <w:tcPr>
            <w:tcW w:w="16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9"/>
                <w:szCs w:val="19"/>
                <w:color w:val="auto"/>
              </w:rPr>
            </w:pPr>
          </w:p>
        </w:tc>
        <w:tc>
          <w:tcPr>
            <w:tcW w:w="8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1"/>
              </w:rPr>
              <w:t>Amended and Restated Bylaws of General Motors Company, incorporated herein by reference to Exhibit 3.1 to the</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Incorporated by</w:t>
            </w:r>
          </w:p>
        </w:tc>
      </w:tr>
      <w:tr>
        <w:trPr>
          <w:trHeight w:val="237"/>
        </w:trPr>
        <w:tc>
          <w:tcPr>
            <w:tcW w:w="40" w:type="dxa"/>
            <w:vAlign w:val="bottom"/>
            <w:tcBorders>
              <w:right w:val="single" w:sz="8" w:color="CCEEFF"/>
            </w:tcBorders>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Current Report on Form 8-K of General Motors Company filed March 8, 2016</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Reference</w:t>
            </w:r>
          </w:p>
        </w:tc>
      </w:tr>
      <w:tr>
        <w:trPr>
          <w:trHeight w:val="229"/>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3"/>
              </w:rPr>
              <w:t>Third Supplemental Indenture, dated as of February 23, 2016, to the Indenture, dated as of September 27, 2013,</w:t>
            </w:r>
          </w:p>
        </w:tc>
        <w:tc>
          <w:tcPr>
            <w:tcW w:w="1640" w:type="dxa"/>
            <w:vAlign w:val="bottom"/>
          </w:tcPr>
          <w:p>
            <w:pPr>
              <w:ind w:left="80"/>
              <w:spacing w:after="0"/>
              <w:rPr>
                <w:sz w:val="20"/>
                <w:szCs w:val="20"/>
                <w:color w:val="auto"/>
              </w:rPr>
            </w:pPr>
            <w:r>
              <w:rPr>
                <w:rFonts w:ascii="Arial" w:cs="Arial" w:eastAsia="Arial" w:hAnsi="Arial"/>
                <w:sz w:val="18"/>
                <w:szCs w:val="18"/>
                <w:color w:val="auto"/>
              </w:rPr>
              <w:t>Incorporated by</w:t>
            </w: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2"/>
              </w:rPr>
              <w:t>between General Motors Company, as issuer, and The Bank of New York Mellon, as Trustee, incorporated herein</w:t>
            </w:r>
          </w:p>
        </w:tc>
        <w:tc>
          <w:tcPr>
            <w:tcW w:w="1640" w:type="dxa"/>
            <w:vAlign w:val="bottom"/>
          </w:tcPr>
          <w:p>
            <w:pPr>
              <w:ind w:left="80"/>
              <w:spacing w:after="0"/>
              <w:rPr>
                <w:sz w:val="20"/>
                <w:szCs w:val="20"/>
                <w:color w:val="auto"/>
              </w:rPr>
            </w:pPr>
            <w:r>
              <w:rPr>
                <w:rFonts w:ascii="Arial" w:cs="Arial" w:eastAsia="Arial" w:hAnsi="Arial"/>
                <w:sz w:val="18"/>
                <w:szCs w:val="18"/>
                <w:color w:val="auto"/>
              </w:rPr>
              <w:t>Reference</w:t>
            </w: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6"/>
              </w:rPr>
              <w:t>by reference to Exhibit 4.1 to the Current Report on Form 8-K of General Motors Company filed February 23,</w:t>
            </w:r>
          </w:p>
        </w:tc>
        <w:tc>
          <w:tcPr>
            <w:tcW w:w="16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2016</w:t>
            </w:r>
          </w:p>
        </w:tc>
        <w:tc>
          <w:tcPr>
            <w:tcW w:w="8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9"/>
                <w:szCs w:val="19"/>
                <w:color w:val="auto"/>
              </w:rPr>
            </w:pPr>
          </w:p>
        </w:tc>
        <w:tc>
          <w:tcPr>
            <w:tcW w:w="8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3"/>
              </w:rPr>
              <w:t>General Motors LLC U.S. Executive Severance Program, incorporated herein by reference to Exhibit 10.1 to the</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Incorporated by</w:t>
            </w:r>
          </w:p>
        </w:tc>
      </w:tr>
      <w:tr>
        <w:trPr>
          <w:trHeight w:val="237"/>
        </w:trPr>
        <w:tc>
          <w:tcPr>
            <w:tcW w:w="40" w:type="dxa"/>
            <w:vAlign w:val="bottom"/>
            <w:tcBorders>
              <w:right w:val="single" w:sz="8" w:color="CCEEFF"/>
            </w:tcBorders>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Current Report on Form 8-K of General Motors Company filed February 3, 2016</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Reference</w:t>
            </w:r>
          </w:p>
        </w:tc>
      </w:tr>
      <w:tr>
        <w:trPr>
          <w:trHeight w:val="229"/>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4"/>
              </w:rPr>
              <w:t>Amendment No. 1 to General Motors Executive Retirement Plan (with modifications through October 10, 2012),</w:t>
            </w:r>
          </w:p>
        </w:tc>
        <w:tc>
          <w:tcPr>
            <w:tcW w:w="1640" w:type="dxa"/>
            <w:vAlign w:val="bottom"/>
          </w:tcPr>
          <w:p>
            <w:pPr>
              <w:ind w:left="80"/>
              <w:spacing w:after="0"/>
              <w:rPr>
                <w:sz w:val="20"/>
                <w:szCs w:val="20"/>
                <w:color w:val="auto"/>
              </w:rPr>
            </w:pPr>
            <w:r>
              <w:rPr>
                <w:rFonts w:ascii="Arial" w:cs="Arial" w:eastAsia="Arial" w:hAnsi="Arial"/>
                <w:sz w:val="18"/>
                <w:szCs w:val="18"/>
                <w:color w:val="auto"/>
              </w:rPr>
              <w:t>Incorporated by</w:t>
            </w: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3"/>
              </w:rPr>
              <w:t>incorporated herein by reference to Exhibit 10.2 to the Current Report on Form 8-K of General Motors Company</w:t>
            </w:r>
          </w:p>
        </w:tc>
        <w:tc>
          <w:tcPr>
            <w:tcW w:w="1640" w:type="dxa"/>
            <w:vAlign w:val="bottom"/>
          </w:tcPr>
          <w:p>
            <w:pPr>
              <w:ind w:left="80"/>
              <w:spacing w:after="0"/>
              <w:rPr>
                <w:sz w:val="20"/>
                <w:szCs w:val="20"/>
                <w:color w:val="auto"/>
              </w:rPr>
            </w:pPr>
            <w:r>
              <w:rPr>
                <w:rFonts w:ascii="Arial" w:cs="Arial" w:eastAsia="Arial" w:hAnsi="Arial"/>
                <w:sz w:val="18"/>
                <w:szCs w:val="18"/>
                <w:color w:val="auto"/>
              </w:rPr>
              <w:t>Reference</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rPr>
              <w:t>filed February 3, 2016</w:t>
            </w:r>
          </w:p>
        </w:tc>
        <w:tc>
          <w:tcPr>
            <w:tcW w:w="16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9"/>
                <w:szCs w:val="19"/>
                <w:color w:val="auto"/>
              </w:rPr>
            </w:pPr>
          </w:p>
        </w:tc>
        <w:tc>
          <w:tcPr>
            <w:tcW w:w="8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4"/>
              </w:rPr>
              <w:t>Amendment No. 1 to General Motors Company Short-Term Incentive Plan, incorporated herein by reference to</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Incorporated by</w:t>
            </w:r>
          </w:p>
        </w:tc>
      </w:tr>
      <w:tr>
        <w:trPr>
          <w:trHeight w:val="237"/>
        </w:trPr>
        <w:tc>
          <w:tcPr>
            <w:tcW w:w="40" w:type="dxa"/>
            <w:vAlign w:val="bottom"/>
            <w:tcBorders>
              <w:right w:val="single" w:sz="8" w:color="CCEEFF"/>
            </w:tcBorders>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Exhibit 10.3 to the Current Report on Form 8-K of General Motors Company filed on February 3, 2016</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Reference</w:t>
            </w:r>
          </w:p>
        </w:tc>
      </w:tr>
      <w:tr>
        <w:trPr>
          <w:trHeight w:val="229"/>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3"/>
              </w:rPr>
              <w:t>Form of General Motors Company Restricted Stock Unit Award Agreement under the 2014 Long-Term Incentive</w:t>
            </w:r>
          </w:p>
        </w:tc>
        <w:tc>
          <w:tcPr>
            <w:tcW w:w="16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rPr>
              <w:t>Plan</w:t>
            </w:r>
          </w:p>
        </w:tc>
        <w:tc>
          <w:tcPr>
            <w:tcW w:w="16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9"/>
                <w:szCs w:val="19"/>
                <w:color w:val="auto"/>
              </w:rPr>
            </w:pPr>
          </w:p>
        </w:tc>
        <w:tc>
          <w:tcPr>
            <w:tcW w:w="8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Form of General Motors Company Performance Stock Unit Award Agreement under the 2014 Long-Term</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Filed Herewith</w:t>
            </w:r>
          </w:p>
        </w:tc>
      </w:tr>
      <w:tr>
        <w:trPr>
          <w:trHeight w:val="237"/>
        </w:trPr>
        <w:tc>
          <w:tcPr>
            <w:tcW w:w="40" w:type="dxa"/>
            <w:vAlign w:val="bottom"/>
            <w:tcBorders>
              <w:right w:val="single" w:sz="8" w:color="CCEEFF"/>
            </w:tcBorders>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Incentive Plan</w:t>
            </w: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1"/>
                <w:szCs w:val="21"/>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rPr>
              <w:t>Form of Director and Officer Indemnification Agreement</w:t>
            </w:r>
          </w:p>
        </w:tc>
        <w:tc>
          <w:tcPr>
            <w:tcW w:w="16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31.1</w:t>
            </w:r>
          </w:p>
        </w:tc>
        <w:tc>
          <w:tcPr>
            <w:tcW w:w="18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Section 302 Certification of the Chief Executive Officer</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Filed Herewith</w:t>
            </w:r>
          </w:p>
        </w:tc>
      </w:tr>
      <w:tr>
        <w:trPr>
          <w:trHeight w:val="243"/>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1"/>
                <w:szCs w:val="21"/>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rPr>
              <w:t>Section 302 Certification of the Chief Financial Officer</w:t>
            </w:r>
          </w:p>
        </w:tc>
        <w:tc>
          <w:tcPr>
            <w:tcW w:w="16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9"/>
                <w:szCs w:val="19"/>
                <w:color w:val="auto"/>
              </w:rPr>
            </w:pPr>
          </w:p>
        </w:tc>
        <w:tc>
          <w:tcPr>
            <w:tcW w:w="8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Furnished with this</w:t>
            </w:r>
          </w:p>
        </w:tc>
      </w:tr>
      <w:tr>
        <w:trPr>
          <w:trHeight w:val="237"/>
        </w:trPr>
        <w:tc>
          <w:tcPr>
            <w:tcW w:w="40" w:type="dxa"/>
            <w:vAlign w:val="bottom"/>
            <w:tcBorders>
              <w:right w:val="single" w:sz="8" w:color="CCEEFF"/>
            </w:tcBorders>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of 2002</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Report</w:t>
            </w:r>
          </w:p>
        </w:tc>
      </w:tr>
      <w:tr>
        <w:trPr>
          <w:trHeight w:val="243"/>
        </w:trPr>
        <w:tc>
          <w:tcPr>
            <w:tcW w:w="4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rPr>
              <w:t>XBRL Instance Document</w:t>
            </w:r>
          </w:p>
        </w:tc>
        <w:tc>
          <w:tcPr>
            <w:tcW w:w="16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85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Filed Herewith</w:t>
            </w:r>
          </w:p>
        </w:tc>
      </w:tr>
      <w:tr>
        <w:trPr>
          <w:trHeight w:val="243"/>
        </w:trPr>
        <w:tc>
          <w:tcPr>
            <w:tcW w:w="4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16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85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Filed Herewith</w:t>
            </w:r>
          </w:p>
        </w:tc>
      </w:tr>
      <w:tr>
        <w:trPr>
          <w:trHeight w:val="243"/>
        </w:trPr>
        <w:tc>
          <w:tcPr>
            <w:tcW w:w="4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16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85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Filed Herewith</w:t>
            </w:r>
          </w:p>
        </w:tc>
      </w:tr>
      <w:tr>
        <w:trPr>
          <w:trHeight w:val="193"/>
        </w:trPr>
        <w:tc>
          <w:tcPr>
            <w:tcW w:w="40" w:type="dxa"/>
            <w:vAlign w:val="bottom"/>
          </w:tcPr>
          <w:p>
            <w:pPr>
              <w:spacing w:after="0"/>
              <w:rPr>
                <w:sz w:val="16"/>
                <w:szCs w:val="16"/>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color w:val="auto"/>
                <w:w w:val="84"/>
              </w:rPr>
              <w:t>________</w:t>
            </w:r>
          </w:p>
        </w:tc>
        <w:tc>
          <w:tcPr>
            <w:tcW w:w="1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8213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Thomas S. Timko, Vice President, Controller and Chief</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21, 2016</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00"/>
          </w:cols>
          <w:pgMar w:left="240" w:top="341" w:right="1159" w:bottom="1440" w:gutter="0" w:footer="0" w:header="0"/>
        </w:sectPr>
      </w:pPr>
    </w:p>
    <w:bookmarkStart w:id="42" w:name="page43"/>
    <w:bookmarkEnd w:id="42"/>
    <w:p>
      <w:pPr>
        <w:ind w:left="10400"/>
        <w:spacing w:after="0"/>
        <w:rPr>
          <w:sz w:val="20"/>
          <w:szCs w:val="20"/>
          <w:color w:val="auto"/>
        </w:rPr>
      </w:pPr>
      <w:r>
        <w:rPr>
          <w:rFonts w:ascii="Arial" w:cs="Arial" w:eastAsia="Arial" w:hAnsi="Arial"/>
          <w:sz w:val="18"/>
          <w:szCs w:val="18"/>
          <w:b w:val="1"/>
          <w:bCs w:val="1"/>
          <w:color w:val="auto"/>
        </w:rPr>
        <w:t>Exhibit 10.4</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2014 Long Term Incentive Plan</w:t>
      </w:r>
    </w:p>
    <w:p>
      <w:pPr>
        <w:jc w:val="center"/>
        <w:ind w:right="20"/>
        <w:spacing w:after="0"/>
        <w:rPr>
          <w:sz w:val="20"/>
          <w:szCs w:val="20"/>
          <w:color w:val="auto"/>
        </w:rPr>
      </w:pPr>
      <w:r>
        <w:rPr>
          <w:rFonts w:ascii="Arial" w:cs="Arial" w:eastAsia="Arial" w:hAnsi="Arial"/>
          <w:sz w:val="20"/>
          <w:szCs w:val="20"/>
          <w:b w:val="1"/>
          <w:bCs w:val="1"/>
          <w:color w:val="auto"/>
        </w:rPr>
        <w:t>Award Document for February 2016 Grant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39" w:lineRule="exact"/>
        <w:rPr>
          <w:sz w:val="20"/>
          <w:szCs w:val="20"/>
          <w:color w:val="auto"/>
        </w:rPr>
      </w:pPr>
    </w:p>
    <w:p>
      <w:pPr>
        <w:ind w:right="400"/>
        <w:spacing w:after="0" w:line="267" w:lineRule="auto"/>
        <w:rPr>
          <w:sz w:val="20"/>
          <w:szCs w:val="20"/>
          <w:color w:val="auto"/>
        </w:rPr>
      </w:pPr>
      <w:r>
        <w:rPr>
          <w:rFonts w:ascii="Arial" w:cs="Arial" w:eastAsia="Arial" w:hAnsi="Arial"/>
          <w:sz w:val="20"/>
          <w:szCs w:val="20"/>
          <w:color w:val="auto"/>
        </w:rPr>
        <w:t>This letter describes the details under which you are being granted an Award of Restricted Stock Units (“</w:t>
      </w:r>
      <w:r>
        <w:rPr>
          <w:rFonts w:ascii="Arial" w:cs="Arial" w:eastAsia="Arial" w:hAnsi="Arial"/>
          <w:sz w:val="20"/>
          <w:szCs w:val="20"/>
          <w:b w:val="1"/>
          <w:bCs w:val="1"/>
          <w:color w:val="auto"/>
        </w:rPr>
        <w:t>RSUs</w:t>
      </w:r>
      <w:r>
        <w:rPr>
          <w:rFonts w:ascii="Arial" w:cs="Arial" w:eastAsia="Arial" w:hAnsi="Arial"/>
          <w:sz w:val="20"/>
          <w:szCs w:val="20"/>
          <w:color w:val="auto"/>
        </w:rPr>
        <w:t>”) under the General Motors Company 2014 Long Term Incentive Plan (as amended from time to time,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70"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8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r>
      <w:tr>
        <w:trPr>
          <w:trHeight w:val="227"/>
        </w:trPr>
        <w:tc>
          <w:tcPr>
            <w:tcW w:w="27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Number of RSUs Granted to</w:t>
            </w:r>
          </w:p>
        </w:tc>
        <w:tc>
          <w:tcPr>
            <w:tcW w:w="8680" w:type="dxa"/>
            <w:vAlign w:val="bottom"/>
            <w:tcBorders>
              <w:right w:val="single" w:sz="8" w:color="auto"/>
            </w:tcBorders>
          </w:tcPr>
          <w:p>
            <w:pPr>
              <w:ind w:left="40"/>
              <w:spacing w:after="0" w:line="228" w:lineRule="exact"/>
              <w:rPr>
                <w:sz w:val="20"/>
                <w:szCs w:val="20"/>
                <w:color w:val="auto"/>
              </w:rPr>
            </w:pPr>
            <w:r>
              <w:rPr>
                <w:rFonts w:ascii="Arial" w:cs="Arial" w:eastAsia="Arial" w:hAnsi="Arial"/>
                <w:sz w:val="20"/>
                <w:szCs w:val="20"/>
                <w:color w:val="auto"/>
              </w:rPr>
              <w:t>[•] RSUs</w:t>
            </w:r>
          </w:p>
        </w:tc>
      </w:tr>
      <w:tr>
        <w:trPr>
          <w:trHeight w:val="25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You</w:t>
            </w:r>
          </w:p>
        </w:tc>
        <w:tc>
          <w:tcPr>
            <w:tcW w:w="8680" w:type="dxa"/>
            <w:vAlign w:val="bottom"/>
            <w:tcBorders>
              <w:right w:val="single" w:sz="8" w:color="auto"/>
            </w:tcBorders>
          </w:tcPr>
          <w:p>
            <w:pPr>
              <w:spacing w:after="0"/>
              <w:rPr>
                <w:sz w:val="22"/>
                <w:szCs w:val="22"/>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February 10, 2016</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r>
      <w:tr>
        <w:trPr>
          <w:trHeight w:val="227"/>
        </w:trPr>
        <w:tc>
          <w:tcPr>
            <w:tcW w:w="27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Settlement Conditions and</w:t>
            </w:r>
          </w:p>
        </w:tc>
        <w:tc>
          <w:tcPr>
            <w:tcW w:w="8680" w:type="dxa"/>
            <w:vAlign w:val="bottom"/>
            <w:tcBorders>
              <w:right w:val="single" w:sz="8" w:color="auto"/>
            </w:tcBorders>
          </w:tcPr>
          <w:p>
            <w:pPr>
              <w:ind w:left="40"/>
              <w:spacing w:after="0" w:line="228" w:lineRule="exact"/>
              <w:rPr>
                <w:sz w:val="20"/>
                <w:szCs w:val="20"/>
                <w:color w:val="auto"/>
              </w:rPr>
            </w:pPr>
            <w:r>
              <w:rPr>
                <w:rFonts w:ascii="Arial" w:cs="Arial" w:eastAsia="Arial" w:hAnsi="Arial"/>
                <w:sz w:val="20"/>
                <w:szCs w:val="20"/>
                <w:color w:val="auto"/>
                <w:w w:val="92"/>
              </w:rPr>
              <w:t>One-third of the granted RSUs will vest and settle on the first, second and third anniversaries of the Grant</w:t>
            </w:r>
          </w:p>
        </w:tc>
      </w:tr>
      <w:tr>
        <w:trPr>
          <w:trHeight w:val="25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Settlement Date(s)</w:t>
            </w: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Date (each a “</w:t>
            </w:r>
            <w:r>
              <w:rPr>
                <w:rFonts w:ascii="Arial" w:cs="Arial" w:eastAsia="Arial" w:hAnsi="Arial"/>
                <w:sz w:val="20"/>
                <w:szCs w:val="20"/>
                <w:b w:val="1"/>
                <w:bCs w:val="1"/>
                <w:color w:val="auto"/>
              </w:rPr>
              <w:t>Settlement Date</w:t>
            </w:r>
            <w:r>
              <w:rPr>
                <w:rFonts w:ascii="Arial" w:cs="Arial" w:eastAsia="Arial" w:hAnsi="Arial"/>
                <w:sz w:val="20"/>
                <w:szCs w:val="20"/>
                <w:color w:val="auto"/>
              </w:rPr>
              <w:t>”) as follows:</w:t>
            </w:r>
          </w:p>
        </w:tc>
      </w:tr>
      <w:tr>
        <w:trPr>
          <w:trHeight w:val="438"/>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One-third on February 10, 2017</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One-third on February 10, 2018</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One-third on February 10, 2019</w:t>
            </w:r>
          </w:p>
        </w:tc>
      </w:tr>
      <w:tr>
        <w:trPr>
          <w:trHeight w:val="425"/>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89"/>
              </w:rPr>
              <w:t>For purposes of calculating the pro rata portion of the Award as may be required under the terms of the Plan,</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the time period for such proration will be deemed to have commenced on the Grant Date.</w:t>
            </w:r>
          </w:p>
        </w:tc>
      </w:tr>
      <w:tr>
        <w:trPr>
          <w:trHeight w:val="425"/>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1"/>
              </w:rPr>
              <w:t>Except as otherwise provided in the Plan and this Award Document, any portion of the RSUs not vested as</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of a Termination of Service shall be forfeited.</w:t>
            </w:r>
          </w:p>
        </w:tc>
      </w:tr>
      <w:tr>
        <w:trPr>
          <w:trHeight w:val="239"/>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868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440"/>
          </w:cols>
          <w:pgMar w:left="240" w:top="576" w:right="219" w:bottom="1440" w:gutter="0" w:footer="0" w:header="0"/>
        </w:sectPr>
      </w:pPr>
    </w:p>
    <w:bookmarkStart w:id="43" w:name="page44"/>
    <w:bookmarkEnd w:id="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868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w w:val="97"/>
              </w:rPr>
              <w:t>Your Award will be settled in shares of common stock of the Company (“</w:t>
            </w:r>
            <w:r>
              <w:rPr>
                <w:rFonts w:ascii="Arial" w:cs="Arial" w:eastAsia="Arial" w:hAnsi="Arial"/>
                <w:sz w:val="20"/>
                <w:szCs w:val="20"/>
                <w:b w:val="1"/>
                <w:bCs w:val="1"/>
                <w:color w:val="auto"/>
                <w:w w:val="97"/>
              </w:rPr>
              <w:t>Shares</w:t>
            </w:r>
            <w:r>
              <w:rPr>
                <w:rFonts w:ascii="Arial" w:cs="Arial" w:eastAsia="Arial" w:hAnsi="Arial"/>
                <w:sz w:val="20"/>
                <w:szCs w:val="20"/>
                <w:color w:val="auto"/>
                <w:w w:val="97"/>
              </w:rPr>
              <w:t>”). Each RSU will be</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settled for one Share.</w:t>
            </w:r>
          </w:p>
        </w:tc>
        <w:tc>
          <w:tcPr>
            <w:tcW w:w="0" w:type="dxa"/>
            <w:vAlign w:val="bottom"/>
          </w:tcPr>
          <w:p>
            <w:pPr>
              <w:spacing w:after="0"/>
              <w:rPr>
                <w:sz w:val="1"/>
                <w:szCs w:val="1"/>
                <w:color w:val="auto"/>
              </w:rPr>
            </w:pPr>
          </w:p>
        </w:tc>
      </w:tr>
      <w:tr>
        <w:trPr>
          <w:trHeight w:val="425"/>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5"/>
              </w:rPr>
              <w:t>Vested RSUs shall convey the right to receive dividend equivalents on the Shares underlying the RSU</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7"/>
              </w:rPr>
              <w:t>Award with respect to any dividends declared during the period from Grant Date to Settlement Date.</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4"/>
              </w:rPr>
              <w:t>Accumulated dividend equivalents shall vest and be paid in cash on the Settlement Date, subject to the</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1"/>
              </w:rPr>
              <w:t>satisfaction of the vesting and other conditions of the underlying RSU Award. No dividend equivalents shall</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2"/>
              </w:rPr>
              <w:t>be provided with respect to any Shares subject to RSUs that do not vest or settle pursuant to their terms.</w:t>
            </w:r>
          </w:p>
        </w:tc>
        <w:tc>
          <w:tcPr>
            <w:tcW w:w="0" w:type="dxa"/>
            <w:vAlign w:val="bottom"/>
          </w:tcPr>
          <w:p>
            <w:pPr>
              <w:spacing w:after="0"/>
              <w:rPr>
                <w:sz w:val="1"/>
                <w:szCs w:val="1"/>
                <w:color w:val="auto"/>
              </w:rPr>
            </w:pPr>
          </w:p>
        </w:tc>
      </w:tr>
      <w:tr>
        <w:trPr>
          <w:trHeight w:val="419"/>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3"/>
              </w:rPr>
              <w:t>Notwithstanding the forgoing and the terms of the Plan, the Company reserves the right to further modify</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2"/>
              </w:rPr>
              <w:t xml:space="preserve">the form of settlement of your Award. For example, </w:t>
            </w:r>
            <w:r>
              <w:rPr>
                <w:rFonts w:ascii="Arial" w:cs="Arial" w:eastAsia="Arial" w:hAnsi="Arial"/>
                <w:sz w:val="20"/>
                <w:szCs w:val="20"/>
                <w:b w:val="1"/>
                <w:bCs w:val="1"/>
                <w:color w:val="auto"/>
                <w:w w:val="92"/>
              </w:rPr>
              <w:t>if your work location at the time of any Settlement</w:t>
            </w:r>
          </w:p>
        </w:tc>
        <w:tc>
          <w:tcPr>
            <w:tcW w:w="0" w:type="dxa"/>
            <w:vAlign w:val="bottom"/>
          </w:tcPr>
          <w:p>
            <w:pPr>
              <w:spacing w:after="0"/>
              <w:rPr>
                <w:sz w:val="1"/>
                <w:szCs w:val="1"/>
                <w:color w:val="auto"/>
              </w:rPr>
            </w:pPr>
          </w:p>
        </w:tc>
      </w:tr>
      <w:tr>
        <w:trPr>
          <w:trHeight w:val="236"/>
        </w:trPr>
        <w:tc>
          <w:tcPr>
            <w:tcW w:w="2760" w:type="dxa"/>
            <w:vAlign w:val="bottom"/>
            <w:tcBorders>
              <w:left w:val="single" w:sz="8" w:color="auto"/>
              <w:right w:val="single" w:sz="8" w:color="auto"/>
            </w:tcBorders>
          </w:tcPr>
          <w:p>
            <w:pPr>
              <w:spacing w:after="0"/>
              <w:rPr>
                <w:sz w:val="20"/>
                <w:szCs w:val="20"/>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b w:val="1"/>
                <w:bCs w:val="1"/>
                <w:color w:val="auto"/>
                <w:w w:val="94"/>
              </w:rPr>
              <w:t>Date noted above is in China, India, Russia, Uzbekistan, or South Africa</w:t>
            </w:r>
            <w:r>
              <w:rPr>
                <w:rFonts w:ascii="Arial" w:cs="Arial" w:eastAsia="Arial" w:hAnsi="Arial"/>
                <w:sz w:val="20"/>
                <w:szCs w:val="20"/>
                <w:color w:val="auto"/>
                <w:w w:val="94"/>
              </w:rPr>
              <w:t>, (i) your RSUs will only be</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0"/>
              </w:rPr>
              <w:t>settled by a cash payment to you equal to the Fair Market Value of the settled Shares (subject to applicable</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4"/>
              </w:rPr>
              <w:t>withholding) and (ii) your RSUs will not be settled by the issue of any Shares unless your work location</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changes to a jurisdiction that permits settlement in Shares.</w:t>
            </w:r>
          </w:p>
        </w:tc>
        <w:tc>
          <w:tcPr>
            <w:tcW w:w="0" w:type="dxa"/>
            <w:vAlign w:val="bottom"/>
          </w:tcPr>
          <w:p>
            <w:pPr>
              <w:spacing w:after="0"/>
              <w:rPr>
                <w:sz w:val="1"/>
                <w:szCs w:val="1"/>
                <w:color w:val="auto"/>
              </w:rPr>
            </w:pPr>
          </w:p>
        </w:tc>
      </w:tr>
      <w:tr>
        <w:trPr>
          <w:trHeight w:val="425"/>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3"/>
              </w:rPr>
              <w:t>As required by law, the Company will withhold any applicable federal, state, local or foreign tax. You are</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responsible for any taxes due upon vesting and/or settlement.</w:t>
            </w:r>
          </w:p>
        </w:tc>
        <w:tc>
          <w:tcPr>
            <w:tcW w:w="0" w:type="dxa"/>
            <w:vAlign w:val="bottom"/>
          </w:tcPr>
          <w:p>
            <w:pPr>
              <w:spacing w:after="0"/>
              <w:rPr>
                <w:sz w:val="1"/>
                <w:szCs w:val="1"/>
                <w:color w:val="auto"/>
              </w:rPr>
            </w:pPr>
          </w:p>
        </w:tc>
      </w:tr>
      <w:tr>
        <w:trPr>
          <w:trHeight w:val="239"/>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8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0"/>
              </w:rPr>
              <w:t>Pursuant and subject to Section 11 of the Plan, as a condition precedent to the vesting and/or settlement of</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any portion of your Award, you shall:</w:t>
            </w:r>
          </w:p>
        </w:tc>
        <w:tc>
          <w:tcPr>
            <w:tcW w:w="0" w:type="dxa"/>
            <w:vAlign w:val="bottom"/>
          </w:tcPr>
          <w:p>
            <w:pPr>
              <w:spacing w:after="0"/>
              <w:rPr>
                <w:sz w:val="1"/>
                <w:szCs w:val="1"/>
                <w:color w:val="auto"/>
              </w:rPr>
            </w:pPr>
          </w:p>
        </w:tc>
      </w:tr>
      <w:tr>
        <w:trPr>
          <w:trHeight w:val="373"/>
        </w:trPr>
        <w:tc>
          <w:tcPr>
            <w:tcW w:w="2760" w:type="dxa"/>
            <w:vAlign w:val="bottom"/>
            <w:tcBorders>
              <w:left w:val="single" w:sz="8" w:color="auto"/>
              <w:right w:val="single" w:sz="8" w:color="auto"/>
            </w:tcBorders>
          </w:tcPr>
          <w:p>
            <w:pPr>
              <w:spacing w:after="0"/>
              <w:rPr>
                <w:sz w:val="24"/>
                <w:szCs w:val="24"/>
                <w:color w:val="auto"/>
              </w:rPr>
            </w:pPr>
          </w:p>
        </w:tc>
        <w:tc>
          <w:tcPr>
            <w:tcW w:w="460" w:type="dxa"/>
            <w:vAlign w:val="bottom"/>
          </w:tcPr>
          <w:p>
            <w:pPr>
              <w:ind w:left="240"/>
              <w:spacing w:after="0"/>
              <w:rPr>
                <w:sz w:val="20"/>
                <w:szCs w:val="20"/>
                <w:color w:val="auto"/>
              </w:rPr>
            </w:pPr>
            <w:r>
              <w:rPr>
                <w:rFonts w:ascii="Arial" w:cs="Arial" w:eastAsia="Arial" w:hAnsi="Arial"/>
                <w:sz w:val="9"/>
                <w:szCs w:val="9"/>
                <w:color w:val="auto"/>
              </w:rPr>
              <w:t>n</w:t>
            </w:r>
          </w:p>
        </w:tc>
        <w:tc>
          <w:tcPr>
            <w:tcW w:w="8220" w:type="dxa"/>
            <w:vAlign w:val="bottom"/>
            <w:tcBorders>
              <w:right w:val="single" w:sz="8" w:color="auto"/>
            </w:tcBorders>
            <w:vMerge w:val="restart"/>
          </w:tcPr>
          <w:p>
            <w:pPr>
              <w:ind w:left="180"/>
              <w:spacing w:after="0"/>
              <w:rPr>
                <w:sz w:val="20"/>
                <w:szCs w:val="20"/>
                <w:color w:val="auto"/>
              </w:rPr>
            </w:pPr>
            <w:r>
              <w:rPr>
                <w:rFonts w:ascii="Arial" w:cs="Arial" w:eastAsia="Arial" w:hAnsi="Arial"/>
                <w:sz w:val="20"/>
                <w:szCs w:val="20"/>
                <w:color w:val="auto"/>
                <w:w w:val="91"/>
              </w:rPr>
              <w:t>Refrain from engaging in any activity which will cause damage to the Company or is in any manner</w:t>
            </w:r>
          </w:p>
        </w:tc>
        <w:tc>
          <w:tcPr>
            <w:tcW w:w="0" w:type="dxa"/>
            <w:vAlign w:val="bottom"/>
          </w:tcPr>
          <w:p>
            <w:pPr>
              <w:spacing w:after="0"/>
              <w:rPr>
                <w:sz w:val="1"/>
                <w:szCs w:val="1"/>
                <w:color w:val="auto"/>
              </w:rPr>
            </w:pPr>
          </w:p>
        </w:tc>
      </w:tr>
      <w:tr>
        <w:trPr>
          <w:trHeight w:val="106"/>
        </w:trPr>
        <w:tc>
          <w:tcPr>
            <w:tcW w:w="2760" w:type="dxa"/>
            <w:vAlign w:val="bottom"/>
            <w:tcBorders>
              <w:left w:val="single" w:sz="8" w:color="auto"/>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w w:val="92"/>
              </w:rPr>
              <w:t>inimical or in any way contrary to the best interests of the Company, as determined in accordance</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with the Plan; and</w:t>
            </w:r>
          </w:p>
        </w:tc>
        <w:tc>
          <w:tcPr>
            <w:tcW w:w="0" w:type="dxa"/>
            <w:vAlign w:val="bottom"/>
          </w:tcPr>
          <w:p>
            <w:pPr>
              <w:spacing w:after="0"/>
              <w:rPr>
                <w:sz w:val="1"/>
                <w:szCs w:val="1"/>
                <w:color w:val="auto"/>
              </w:rPr>
            </w:pPr>
          </w:p>
        </w:tc>
      </w:tr>
      <w:tr>
        <w:trPr>
          <w:trHeight w:val="157"/>
        </w:trPr>
        <w:tc>
          <w:tcPr>
            <w:tcW w:w="2760" w:type="dxa"/>
            <w:vAlign w:val="bottom"/>
            <w:tcBorders>
              <w:left w:val="single" w:sz="8" w:color="auto"/>
              <w:right w:val="single" w:sz="8" w:color="auto"/>
            </w:tcBorders>
          </w:tcPr>
          <w:p>
            <w:pPr>
              <w:spacing w:after="0"/>
              <w:rPr>
                <w:sz w:val="13"/>
                <w:szCs w:val="13"/>
                <w:color w:val="auto"/>
              </w:rPr>
            </w:pPr>
          </w:p>
        </w:tc>
        <w:tc>
          <w:tcPr>
            <w:tcW w:w="460" w:type="dxa"/>
            <w:vAlign w:val="bottom"/>
          </w:tcPr>
          <w:p>
            <w:pPr>
              <w:ind w:left="240"/>
              <w:spacing w:after="0"/>
              <w:rPr>
                <w:sz w:val="20"/>
                <w:szCs w:val="20"/>
                <w:color w:val="auto"/>
              </w:rPr>
            </w:pPr>
            <w:r>
              <w:rPr>
                <w:rFonts w:ascii="Arial" w:cs="Arial" w:eastAsia="Arial" w:hAnsi="Arial"/>
                <w:sz w:val="9"/>
                <w:szCs w:val="9"/>
                <w:color w:val="auto"/>
              </w:rPr>
              <w:t>n</w:t>
            </w:r>
          </w:p>
        </w:tc>
        <w:tc>
          <w:tcPr>
            <w:tcW w:w="8220" w:type="dxa"/>
            <w:vAlign w:val="bottom"/>
            <w:tcBorders>
              <w:right w:val="single" w:sz="8" w:color="auto"/>
            </w:tcBorders>
            <w:vMerge w:val="restart"/>
          </w:tcPr>
          <w:p>
            <w:pPr>
              <w:ind w:left="180"/>
              <w:spacing w:after="0"/>
              <w:rPr>
                <w:sz w:val="20"/>
                <w:szCs w:val="20"/>
                <w:color w:val="auto"/>
              </w:rPr>
            </w:pPr>
            <w:r>
              <w:rPr>
                <w:rFonts w:ascii="Arial" w:cs="Arial" w:eastAsia="Arial" w:hAnsi="Arial"/>
                <w:sz w:val="20"/>
                <w:szCs w:val="20"/>
                <w:color w:val="auto"/>
                <w:w w:val="94"/>
              </w:rPr>
              <w:t>Furnish to the Company such information with respect to the satisfaction of the foregoing as the</w:t>
            </w:r>
          </w:p>
        </w:tc>
        <w:tc>
          <w:tcPr>
            <w:tcW w:w="0" w:type="dxa"/>
            <w:vAlign w:val="bottom"/>
          </w:tcPr>
          <w:p>
            <w:pPr>
              <w:spacing w:after="0"/>
              <w:rPr>
                <w:sz w:val="1"/>
                <w:szCs w:val="1"/>
                <w:color w:val="auto"/>
              </w:rPr>
            </w:pPr>
          </w:p>
        </w:tc>
      </w:tr>
      <w:tr>
        <w:trPr>
          <w:trHeight w:val="106"/>
        </w:trPr>
        <w:tc>
          <w:tcPr>
            <w:tcW w:w="2760" w:type="dxa"/>
            <w:vAlign w:val="bottom"/>
            <w:tcBorders>
              <w:left w:val="single" w:sz="8" w:color="auto"/>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Committee may reasonably request.</w:t>
            </w:r>
          </w:p>
        </w:tc>
        <w:tc>
          <w:tcPr>
            <w:tcW w:w="0" w:type="dxa"/>
            <w:vAlign w:val="bottom"/>
          </w:tcPr>
          <w:p>
            <w:pPr>
              <w:spacing w:after="0"/>
              <w:rPr>
                <w:sz w:val="1"/>
                <w:szCs w:val="1"/>
                <w:color w:val="auto"/>
              </w:rPr>
            </w:pPr>
          </w:p>
        </w:tc>
      </w:tr>
      <w:tr>
        <w:trPr>
          <w:trHeight w:val="263"/>
        </w:trPr>
        <w:tc>
          <w:tcPr>
            <w:tcW w:w="2760" w:type="dxa"/>
            <w:vAlign w:val="bottom"/>
            <w:tcBorders>
              <w:left w:val="single" w:sz="8" w:color="auto"/>
              <w:right w:val="single" w:sz="8" w:color="auto"/>
            </w:tcBorders>
          </w:tcPr>
          <w:p>
            <w:pPr>
              <w:spacing w:after="0"/>
              <w:rPr>
                <w:sz w:val="22"/>
                <w:szCs w:val="22"/>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4"/>
              </w:rPr>
              <w:t>In addition, the Committee may require you to enter into such agreements as the Committee considers</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appropriate.</w:t>
            </w:r>
          </w:p>
        </w:tc>
        <w:tc>
          <w:tcPr>
            <w:tcW w:w="0" w:type="dxa"/>
            <w:vAlign w:val="bottom"/>
          </w:tcPr>
          <w:p>
            <w:pPr>
              <w:spacing w:after="0"/>
              <w:rPr>
                <w:sz w:val="1"/>
                <w:szCs w:val="1"/>
                <w:color w:val="auto"/>
              </w:rPr>
            </w:pPr>
          </w:p>
        </w:tc>
      </w:tr>
      <w:tr>
        <w:trPr>
          <w:trHeight w:val="438"/>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2"/>
              </w:rPr>
              <w:t>Your failure to satisfy any of the foregoing conditions precedent will result in the immediate cancellation of</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0"/>
              </w:rPr>
              <w:t>the unvested portion of your Award and any vested portion of your Award that has not yet been settled, and</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you will not be entitled to receive any consideration with respect to such cancellation.</w:t>
            </w:r>
          </w:p>
        </w:tc>
        <w:tc>
          <w:tcPr>
            <w:tcW w:w="0" w:type="dxa"/>
            <w:vAlign w:val="bottom"/>
          </w:tcPr>
          <w:p>
            <w:pPr>
              <w:spacing w:after="0"/>
              <w:rPr>
                <w:sz w:val="1"/>
                <w:szCs w:val="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Restrictive Covenants</w:t>
            </w: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89"/>
              </w:rPr>
              <w:t>In exchange for the RSUs described in this Award Document, except to the extent this provision is expressly</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unenforceable or unlawful under applicable law, you agree to the following restrictive covenants</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3"/>
              </w:rPr>
              <w:t>(“Restrictive Covenants”) that apply during your employment with the Company and its Subsidiaries, and</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7"/>
              </w:rPr>
              <w:t>for the 12-month period commencing on your Termination of Service, including a Full Career Status</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Termination:</w:t>
            </w:r>
          </w:p>
        </w:tc>
        <w:tc>
          <w:tcPr>
            <w:tcW w:w="0" w:type="dxa"/>
            <w:vAlign w:val="bottom"/>
          </w:tcPr>
          <w:p>
            <w:pPr>
              <w:spacing w:after="0"/>
              <w:rPr>
                <w:sz w:val="1"/>
                <w:szCs w:val="1"/>
                <w:color w:val="auto"/>
              </w:rPr>
            </w:pPr>
          </w:p>
        </w:tc>
      </w:tr>
      <w:tr>
        <w:trPr>
          <w:trHeight w:val="387"/>
        </w:trPr>
        <w:tc>
          <w:tcPr>
            <w:tcW w:w="2760" w:type="dxa"/>
            <w:vAlign w:val="bottom"/>
            <w:tcBorders>
              <w:left w:val="single" w:sz="8" w:color="auto"/>
              <w:right w:val="single" w:sz="8" w:color="auto"/>
            </w:tcBorders>
          </w:tcPr>
          <w:p>
            <w:pPr>
              <w:spacing w:after="0"/>
              <w:rPr>
                <w:sz w:val="24"/>
                <w:szCs w:val="24"/>
                <w:color w:val="auto"/>
              </w:rPr>
            </w:pPr>
          </w:p>
        </w:tc>
        <w:tc>
          <w:tcPr>
            <w:tcW w:w="460" w:type="dxa"/>
            <w:vAlign w:val="bottom"/>
          </w:tcPr>
          <w:p>
            <w:pPr>
              <w:ind w:left="240"/>
              <w:spacing w:after="0"/>
              <w:rPr>
                <w:sz w:val="20"/>
                <w:szCs w:val="20"/>
                <w:color w:val="auto"/>
              </w:rPr>
            </w:pPr>
            <w:r>
              <w:rPr>
                <w:rFonts w:ascii="Arial" w:cs="Arial" w:eastAsia="Arial" w:hAnsi="Arial"/>
                <w:sz w:val="9"/>
                <w:szCs w:val="9"/>
                <w:color w:val="auto"/>
              </w:rPr>
              <w:t>n</w:t>
            </w:r>
          </w:p>
        </w:tc>
        <w:tc>
          <w:tcPr>
            <w:tcW w:w="8220" w:type="dxa"/>
            <w:vAlign w:val="bottom"/>
            <w:tcBorders>
              <w:right w:val="single" w:sz="8" w:color="auto"/>
            </w:tcBorders>
            <w:vMerge w:val="restart"/>
          </w:tcPr>
          <w:p>
            <w:pPr>
              <w:ind w:left="180"/>
              <w:spacing w:after="0"/>
              <w:rPr>
                <w:sz w:val="20"/>
                <w:szCs w:val="20"/>
                <w:color w:val="auto"/>
              </w:rPr>
            </w:pPr>
            <w:r>
              <w:rPr>
                <w:rFonts w:ascii="Arial" w:cs="Arial" w:eastAsia="Arial" w:hAnsi="Arial"/>
                <w:sz w:val="20"/>
                <w:szCs w:val="20"/>
                <w:color w:val="auto"/>
                <w:w w:val="99"/>
              </w:rPr>
              <w:t>You will not directly or indirectly engage in or perform any engineering, purchasing, design,</w:t>
            </w:r>
          </w:p>
        </w:tc>
        <w:tc>
          <w:tcPr>
            <w:tcW w:w="0" w:type="dxa"/>
            <w:vAlign w:val="bottom"/>
          </w:tcPr>
          <w:p>
            <w:pPr>
              <w:spacing w:after="0"/>
              <w:rPr>
                <w:sz w:val="1"/>
                <w:szCs w:val="1"/>
                <w:color w:val="auto"/>
              </w:rPr>
            </w:pPr>
          </w:p>
        </w:tc>
      </w:tr>
      <w:tr>
        <w:trPr>
          <w:trHeight w:val="106"/>
        </w:trPr>
        <w:tc>
          <w:tcPr>
            <w:tcW w:w="2760" w:type="dxa"/>
            <w:vAlign w:val="bottom"/>
            <w:tcBorders>
              <w:left w:val="single" w:sz="8" w:color="auto"/>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w w:val="92"/>
              </w:rPr>
              <w:t>marketing, manufacturing or any other tasks or functions or provide services in any other capacity</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(e.g., as an employee, a board member, a manager or a consultant) for any motor vehicle</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w w:val="99"/>
              </w:rPr>
              <w:t>manufacturer (including its parent, subsidiaries, and other affiliates) that competes with the</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Company or its Subsidiaries;</w:t>
            </w:r>
          </w:p>
        </w:tc>
        <w:tc>
          <w:tcPr>
            <w:tcW w:w="0" w:type="dxa"/>
            <w:vAlign w:val="bottom"/>
          </w:tcPr>
          <w:p>
            <w:pPr>
              <w:spacing w:after="0"/>
              <w:rPr>
                <w:sz w:val="1"/>
                <w:szCs w:val="1"/>
                <w:color w:val="auto"/>
              </w:rPr>
            </w:pPr>
          </w:p>
        </w:tc>
      </w:tr>
      <w:tr>
        <w:trPr>
          <w:trHeight w:val="157"/>
        </w:trPr>
        <w:tc>
          <w:tcPr>
            <w:tcW w:w="2760" w:type="dxa"/>
            <w:vAlign w:val="bottom"/>
            <w:tcBorders>
              <w:left w:val="single" w:sz="8" w:color="auto"/>
              <w:right w:val="single" w:sz="8" w:color="auto"/>
            </w:tcBorders>
          </w:tcPr>
          <w:p>
            <w:pPr>
              <w:spacing w:after="0"/>
              <w:rPr>
                <w:sz w:val="13"/>
                <w:szCs w:val="13"/>
                <w:color w:val="auto"/>
              </w:rPr>
            </w:pPr>
          </w:p>
        </w:tc>
        <w:tc>
          <w:tcPr>
            <w:tcW w:w="460" w:type="dxa"/>
            <w:vAlign w:val="bottom"/>
          </w:tcPr>
          <w:p>
            <w:pPr>
              <w:ind w:left="240"/>
              <w:spacing w:after="0"/>
              <w:rPr>
                <w:sz w:val="20"/>
                <w:szCs w:val="20"/>
                <w:color w:val="auto"/>
              </w:rPr>
            </w:pPr>
            <w:r>
              <w:rPr>
                <w:rFonts w:ascii="Arial" w:cs="Arial" w:eastAsia="Arial" w:hAnsi="Arial"/>
                <w:sz w:val="9"/>
                <w:szCs w:val="9"/>
                <w:color w:val="auto"/>
              </w:rPr>
              <w:t>n</w:t>
            </w:r>
          </w:p>
        </w:tc>
        <w:tc>
          <w:tcPr>
            <w:tcW w:w="8220" w:type="dxa"/>
            <w:vAlign w:val="bottom"/>
            <w:tcBorders>
              <w:right w:val="single" w:sz="8" w:color="auto"/>
            </w:tcBorders>
            <w:vMerge w:val="restart"/>
          </w:tcPr>
          <w:p>
            <w:pPr>
              <w:ind w:left="180"/>
              <w:spacing w:after="0"/>
              <w:rPr>
                <w:sz w:val="20"/>
                <w:szCs w:val="20"/>
                <w:color w:val="auto"/>
              </w:rPr>
            </w:pPr>
            <w:r>
              <w:rPr>
                <w:rFonts w:ascii="Arial" w:cs="Arial" w:eastAsia="Arial" w:hAnsi="Arial"/>
                <w:sz w:val="20"/>
                <w:szCs w:val="20"/>
                <w:color w:val="auto"/>
              </w:rPr>
              <w:t>You will not directly or indirectly, knowingly induce any employee of the Company or any</w:t>
            </w:r>
          </w:p>
        </w:tc>
        <w:tc>
          <w:tcPr>
            <w:tcW w:w="0" w:type="dxa"/>
            <w:vAlign w:val="bottom"/>
          </w:tcPr>
          <w:p>
            <w:pPr>
              <w:spacing w:after="0"/>
              <w:rPr>
                <w:sz w:val="1"/>
                <w:szCs w:val="1"/>
                <w:color w:val="auto"/>
              </w:rPr>
            </w:pPr>
          </w:p>
        </w:tc>
      </w:tr>
      <w:tr>
        <w:trPr>
          <w:trHeight w:val="106"/>
        </w:trPr>
        <w:tc>
          <w:tcPr>
            <w:tcW w:w="2760" w:type="dxa"/>
            <w:vAlign w:val="bottom"/>
            <w:tcBorders>
              <w:left w:val="single" w:sz="8" w:color="auto"/>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w w:val="95"/>
              </w:rPr>
              <w:t>Subsidiary to leave their employment for participation, directly or indirectly, with any existing or</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future business venture associated with you; and</w:t>
            </w:r>
          </w:p>
        </w:tc>
        <w:tc>
          <w:tcPr>
            <w:tcW w:w="0" w:type="dxa"/>
            <w:vAlign w:val="bottom"/>
          </w:tcPr>
          <w:p>
            <w:pPr>
              <w:spacing w:after="0"/>
              <w:rPr>
                <w:sz w:val="1"/>
                <w:szCs w:val="1"/>
                <w:color w:val="auto"/>
              </w:rPr>
            </w:pPr>
          </w:p>
        </w:tc>
      </w:tr>
      <w:tr>
        <w:trPr>
          <w:trHeight w:val="157"/>
        </w:trPr>
        <w:tc>
          <w:tcPr>
            <w:tcW w:w="2760" w:type="dxa"/>
            <w:vAlign w:val="bottom"/>
            <w:tcBorders>
              <w:left w:val="single" w:sz="8" w:color="auto"/>
              <w:right w:val="single" w:sz="8" w:color="auto"/>
            </w:tcBorders>
          </w:tcPr>
          <w:p>
            <w:pPr>
              <w:spacing w:after="0"/>
              <w:rPr>
                <w:sz w:val="13"/>
                <w:szCs w:val="13"/>
                <w:color w:val="auto"/>
              </w:rPr>
            </w:pPr>
          </w:p>
        </w:tc>
        <w:tc>
          <w:tcPr>
            <w:tcW w:w="460" w:type="dxa"/>
            <w:vAlign w:val="bottom"/>
          </w:tcPr>
          <w:p>
            <w:pPr>
              <w:ind w:left="240"/>
              <w:spacing w:after="0"/>
              <w:rPr>
                <w:sz w:val="20"/>
                <w:szCs w:val="20"/>
                <w:color w:val="auto"/>
              </w:rPr>
            </w:pPr>
            <w:r>
              <w:rPr>
                <w:rFonts w:ascii="Arial" w:cs="Arial" w:eastAsia="Arial" w:hAnsi="Arial"/>
                <w:sz w:val="9"/>
                <w:szCs w:val="9"/>
                <w:color w:val="auto"/>
              </w:rPr>
              <w:t>n</w:t>
            </w:r>
          </w:p>
        </w:tc>
        <w:tc>
          <w:tcPr>
            <w:tcW w:w="8220" w:type="dxa"/>
            <w:vAlign w:val="bottom"/>
            <w:tcBorders>
              <w:right w:val="single" w:sz="8" w:color="auto"/>
            </w:tcBorders>
            <w:vMerge w:val="restart"/>
          </w:tcPr>
          <w:p>
            <w:pPr>
              <w:ind w:left="180"/>
              <w:spacing w:after="0"/>
              <w:rPr>
                <w:sz w:val="20"/>
                <w:szCs w:val="20"/>
                <w:color w:val="auto"/>
              </w:rPr>
            </w:pPr>
            <w:r>
              <w:rPr>
                <w:rFonts w:ascii="Arial" w:cs="Arial" w:eastAsia="Arial" w:hAnsi="Arial"/>
                <w:sz w:val="20"/>
                <w:szCs w:val="20"/>
                <w:color w:val="auto"/>
                <w:w w:val="99"/>
              </w:rPr>
              <w:t>You will not directly or indirectly solicit any client, customer, or supplier of, or provider to the</w:t>
            </w:r>
          </w:p>
        </w:tc>
        <w:tc>
          <w:tcPr>
            <w:tcW w:w="0" w:type="dxa"/>
            <w:vAlign w:val="bottom"/>
          </w:tcPr>
          <w:p>
            <w:pPr>
              <w:spacing w:after="0"/>
              <w:rPr>
                <w:sz w:val="1"/>
                <w:szCs w:val="1"/>
                <w:color w:val="auto"/>
              </w:rPr>
            </w:pPr>
          </w:p>
        </w:tc>
      </w:tr>
      <w:tr>
        <w:trPr>
          <w:trHeight w:val="106"/>
        </w:trPr>
        <w:tc>
          <w:tcPr>
            <w:tcW w:w="2760" w:type="dxa"/>
            <w:vAlign w:val="bottom"/>
            <w:tcBorders>
              <w:left w:val="single" w:sz="8" w:color="auto"/>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w w:val="99"/>
              </w:rPr>
              <w:t>Company or its Subsidiaries who was a client, customer, supplier or provider for which you</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w w:val="96"/>
              </w:rPr>
              <w:t>provided services or supervised services during the 12-month period immediately prior to your</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Termination of Service.</w:t>
            </w:r>
          </w:p>
        </w:tc>
        <w:tc>
          <w:tcPr>
            <w:tcW w:w="0" w:type="dxa"/>
            <w:vAlign w:val="bottom"/>
          </w:tcPr>
          <w:p>
            <w:pPr>
              <w:spacing w:after="0"/>
              <w:rPr>
                <w:sz w:val="1"/>
                <w:szCs w:val="1"/>
                <w:color w:val="auto"/>
              </w:rPr>
            </w:pPr>
          </w:p>
        </w:tc>
      </w:tr>
      <w:tr>
        <w:trPr>
          <w:trHeight w:val="253"/>
        </w:trPr>
        <w:tc>
          <w:tcPr>
            <w:tcW w:w="2760" w:type="dxa"/>
            <w:vAlign w:val="bottom"/>
            <w:tcBorders>
              <w:left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8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760" w:type="dxa"/>
            <w:vAlign w:val="bottom"/>
            <w:tcBorders>
              <w:left w:val="single" w:sz="8" w:color="auto"/>
              <w:right w:val="single" w:sz="8" w:color="auto"/>
            </w:tcBorders>
          </w:tcPr>
          <w:p>
            <w:pPr>
              <w:spacing w:after="0"/>
              <w:rPr>
                <w:sz w:val="20"/>
                <w:szCs w:val="20"/>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6"/>
              </w:rPr>
              <w:t>You may seek permission from the Company to take action that would otherwise violate one or more</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2"/>
              </w:rPr>
              <w:t>aspects of these Restrictive Covenants, including a request to work in a direct or indirect capacity for any</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89"/>
              </w:rPr>
              <w:t>motor vehicle manufacturer that competes with the Company, but the Company may deny such request in its</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unfettered discretion and otherwise enforce the provisions of the Restrictive Covenants.</w:t>
            </w:r>
          </w:p>
        </w:tc>
        <w:tc>
          <w:tcPr>
            <w:tcW w:w="0" w:type="dxa"/>
            <w:vAlign w:val="bottom"/>
          </w:tcPr>
          <w:p>
            <w:pPr>
              <w:spacing w:after="0"/>
              <w:rPr>
                <w:sz w:val="1"/>
                <w:szCs w:val="1"/>
                <w:color w:val="auto"/>
              </w:rPr>
            </w:pPr>
          </w:p>
        </w:tc>
      </w:tr>
      <w:tr>
        <w:trPr>
          <w:trHeight w:val="438"/>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3"/>
              </w:rPr>
              <w:t>If you violate any of the Restrictive Covenants during its effective period without the Company’s consent,</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0"/>
              </w:rPr>
              <w:t>your entire Award, whether unvested or vested and unsettled, will immediately be canceled. In addition, you</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1"/>
              </w:rPr>
              <w:t>agree to repay to the Company the value of all RSUs that were delivered pursuant to this Award Document</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6"/>
              </w:rPr>
              <w:t>during the period commencing on the date that is 12 months prior to your Termination of Service and</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2"/>
              </w:rPr>
              <w:t>ending on the date that is 12 months following your Termination of Service. To the extent permitted under</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7"/>
              </w:rPr>
              <w:t>applicable law, the Company may also take action at equity or in law to enforce the provisions of the</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3"/>
              </w:rPr>
              <w:t>applicable Restrictive Covenants. Following application of this provision of the Award Document, you will</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88"/>
              </w:rPr>
              <w:t>continue to be bound by the obligations, promises and other agreements contained in the Plan and the Award</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Document.</w:t>
            </w:r>
          </w:p>
        </w:tc>
        <w:tc>
          <w:tcPr>
            <w:tcW w:w="0" w:type="dxa"/>
            <w:vAlign w:val="bottom"/>
          </w:tcPr>
          <w:p>
            <w:pPr>
              <w:spacing w:after="0"/>
              <w:rPr>
                <w:sz w:val="1"/>
                <w:szCs w:val="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0"/>
              </w:rPr>
              <w:t>Other Terms and Conditions of</w:t>
            </w:r>
          </w:p>
        </w:tc>
        <w:tc>
          <w:tcPr>
            <w:tcW w:w="8680" w:type="dxa"/>
            <w:vAlign w:val="bottom"/>
            <w:tcBorders>
              <w:right w:val="single" w:sz="8" w:color="auto"/>
            </w:tcBorders>
            <w:gridSpan w:val="2"/>
          </w:tcPr>
          <w:p>
            <w:pPr>
              <w:ind w:left="40"/>
              <w:spacing w:after="0" w:line="228" w:lineRule="exact"/>
              <w:rPr>
                <w:sz w:val="20"/>
                <w:szCs w:val="20"/>
                <w:color w:val="auto"/>
              </w:rPr>
            </w:pPr>
            <w:r>
              <w:rPr>
                <w:rFonts w:ascii="Arial" w:cs="Arial" w:eastAsia="Arial" w:hAnsi="Arial"/>
                <w:sz w:val="20"/>
                <w:szCs w:val="20"/>
                <w:color w:val="auto"/>
                <w:w w:val="92"/>
              </w:rPr>
              <w:t>Refer to the Plan for additional terms and conditions applicable to your Award, including but not limited to,</w:t>
            </w:r>
          </w:p>
        </w:tc>
        <w:tc>
          <w:tcPr>
            <w:tcW w:w="0" w:type="dxa"/>
            <w:vAlign w:val="bottom"/>
          </w:tcPr>
          <w:p>
            <w:pPr>
              <w:spacing w:after="0"/>
              <w:rPr>
                <w:sz w:val="1"/>
                <w:szCs w:val="1"/>
                <w:color w:val="auto"/>
              </w:rPr>
            </w:pPr>
          </w:p>
        </w:tc>
      </w:tr>
      <w:tr>
        <w:trPr>
          <w:trHeight w:val="25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the Award</w:t>
            </w: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those relating to:</w:t>
            </w:r>
          </w:p>
        </w:tc>
        <w:tc>
          <w:tcPr>
            <w:tcW w:w="0" w:type="dxa"/>
            <w:vAlign w:val="bottom"/>
          </w:tcPr>
          <w:p>
            <w:pPr>
              <w:spacing w:after="0"/>
              <w:rPr>
                <w:sz w:val="1"/>
                <w:szCs w:val="1"/>
                <w:color w:val="auto"/>
              </w:rPr>
            </w:pPr>
          </w:p>
        </w:tc>
      </w:tr>
      <w:tr>
        <w:trPr>
          <w:trHeight w:val="361"/>
        </w:trPr>
        <w:tc>
          <w:tcPr>
            <w:tcW w:w="2760" w:type="dxa"/>
            <w:vAlign w:val="bottom"/>
            <w:tcBorders>
              <w:left w:val="single" w:sz="8" w:color="auto"/>
              <w:right w:val="single" w:sz="8" w:color="auto"/>
            </w:tcBorders>
          </w:tcPr>
          <w:p>
            <w:pPr>
              <w:spacing w:after="0"/>
              <w:rPr>
                <w:sz w:val="24"/>
                <w:szCs w:val="24"/>
                <w:color w:val="auto"/>
              </w:rPr>
            </w:pPr>
          </w:p>
        </w:tc>
        <w:tc>
          <w:tcPr>
            <w:tcW w:w="460" w:type="dxa"/>
            <w:vAlign w:val="bottom"/>
            <w:vMerge w:val="restart"/>
          </w:tcPr>
          <w:p>
            <w:pPr>
              <w:ind w:left="240"/>
              <w:spacing w:after="0"/>
              <w:rPr>
                <w:sz w:val="20"/>
                <w:szCs w:val="20"/>
                <w:color w:val="auto"/>
              </w:rPr>
            </w:pPr>
            <w:r>
              <w:rPr>
                <w:rFonts w:ascii="Arial" w:cs="Arial" w:eastAsia="Arial" w:hAnsi="Arial"/>
                <w:sz w:val="9"/>
                <w:szCs w:val="9"/>
                <w:color w:val="auto"/>
              </w:rPr>
              <w:t>n</w:t>
            </w: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w w:val="91"/>
              </w:rPr>
              <w:t>Effect of your Termination of Service on your Award, including upon Death, Disability, achievement</w:t>
            </w:r>
          </w:p>
        </w:tc>
        <w:tc>
          <w:tcPr>
            <w:tcW w:w="0" w:type="dxa"/>
            <w:vAlign w:val="bottom"/>
          </w:tcPr>
          <w:p>
            <w:pPr>
              <w:spacing w:after="0"/>
              <w:rPr>
                <w:sz w:val="1"/>
                <w:szCs w:val="1"/>
                <w:color w:val="auto"/>
              </w:rPr>
            </w:pPr>
          </w:p>
        </w:tc>
      </w:tr>
      <w:tr>
        <w:trPr>
          <w:trHeight w:val="26"/>
        </w:trPr>
        <w:tc>
          <w:tcPr>
            <w:tcW w:w="2760" w:type="dxa"/>
            <w:vAlign w:val="bottom"/>
            <w:tcBorders>
              <w:left w:val="single" w:sz="8" w:color="auto"/>
              <w:right w:val="single" w:sz="8" w:color="auto"/>
            </w:tcBorders>
          </w:tcPr>
          <w:p>
            <w:pPr>
              <w:spacing w:after="0"/>
              <w:rPr>
                <w:sz w:val="2"/>
                <w:szCs w:val="2"/>
                <w:color w:val="auto"/>
              </w:rPr>
            </w:pPr>
          </w:p>
        </w:tc>
        <w:tc>
          <w:tcPr>
            <w:tcW w:w="460" w:type="dxa"/>
            <w:vAlign w:val="bottom"/>
            <w:vMerge w:val="continue"/>
          </w:tcPr>
          <w:p>
            <w:pPr>
              <w:spacing w:after="0"/>
              <w:rPr>
                <w:sz w:val="2"/>
                <w:szCs w:val="2"/>
                <w:color w:val="auto"/>
              </w:rPr>
            </w:pPr>
          </w:p>
        </w:tc>
        <w:tc>
          <w:tcPr>
            <w:tcW w:w="82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6"/>
        </w:trPr>
        <w:tc>
          <w:tcPr>
            <w:tcW w:w="2760" w:type="dxa"/>
            <w:vAlign w:val="bottom"/>
            <w:tcBorders>
              <w:left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of Full Career Status and other Termination of Service scenarios;</w:t>
            </w:r>
          </w:p>
        </w:tc>
        <w:tc>
          <w:tcPr>
            <w:tcW w:w="0" w:type="dxa"/>
            <w:vAlign w:val="bottom"/>
          </w:tcPr>
          <w:p>
            <w:pPr>
              <w:spacing w:after="0"/>
              <w:rPr>
                <w:sz w:val="1"/>
                <w:szCs w:val="1"/>
                <w:color w:val="auto"/>
              </w:rPr>
            </w:pPr>
          </w:p>
        </w:tc>
      </w:tr>
      <w:tr>
        <w:trPr>
          <w:trHeight w:val="131"/>
        </w:trPr>
        <w:tc>
          <w:tcPr>
            <w:tcW w:w="2760" w:type="dxa"/>
            <w:vAlign w:val="bottom"/>
            <w:tcBorders>
              <w:left w:val="single" w:sz="8" w:color="auto"/>
              <w:right w:val="single" w:sz="8" w:color="auto"/>
            </w:tcBorders>
          </w:tcPr>
          <w:p>
            <w:pPr>
              <w:spacing w:after="0"/>
              <w:rPr>
                <w:sz w:val="11"/>
                <w:szCs w:val="11"/>
                <w:color w:val="auto"/>
              </w:rPr>
            </w:pPr>
          </w:p>
        </w:tc>
        <w:tc>
          <w:tcPr>
            <w:tcW w:w="460" w:type="dxa"/>
            <w:vAlign w:val="bottom"/>
            <w:vMerge w:val="restart"/>
          </w:tcPr>
          <w:p>
            <w:pPr>
              <w:ind w:left="240"/>
              <w:spacing w:after="0"/>
              <w:rPr>
                <w:sz w:val="20"/>
                <w:szCs w:val="20"/>
                <w:color w:val="auto"/>
              </w:rPr>
            </w:pPr>
            <w:r>
              <w:rPr>
                <w:rFonts w:ascii="Arial" w:cs="Arial" w:eastAsia="Arial" w:hAnsi="Arial"/>
                <w:sz w:val="9"/>
                <w:szCs w:val="9"/>
                <w:color w:val="auto"/>
              </w:rPr>
              <w:t>n</w:t>
            </w:r>
          </w:p>
        </w:tc>
        <w:tc>
          <w:tcPr>
            <w:tcW w:w="8220" w:type="dxa"/>
            <w:vAlign w:val="bottom"/>
            <w:tcBorders>
              <w:right w:val="single" w:sz="8" w:color="auto"/>
            </w:tcBorders>
          </w:tcPr>
          <w:p>
            <w:pPr>
              <w:ind w:left="180"/>
              <w:spacing w:after="0" w:line="131" w:lineRule="exact"/>
              <w:rPr>
                <w:sz w:val="20"/>
                <w:szCs w:val="20"/>
                <w:color w:val="auto"/>
              </w:rPr>
            </w:pPr>
            <w:r>
              <w:rPr>
                <w:rFonts w:ascii="Arial" w:cs="Arial" w:eastAsia="Arial" w:hAnsi="Arial"/>
                <w:sz w:val="15"/>
                <w:szCs w:val="15"/>
                <w:color w:val="auto"/>
              </w:rPr>
              <w:t>Your Award being subject to any clawback or recoupment policies of the Company as may be in</w:t>
            </w:r>
          </w:p>
        </w:tc>
        <w:tc>
          <w:tcPr>
            <w:tcW w:w="0" w:type="dxa"/>
            <w:vAlign w:val="bottom"/>
          </w:tcPr>
          <w:p>
            <w:pPr>
              <w:spacing w:after="0"/>
              <w:rPr>
                <w:sz w:val="1"/>
                <w:szCs w:val="1"/>
                <w:color w:val="auto"/>
              </w:rPr>
            </w:pPr>
          </w:p>
        </w:tc>
      </w:tr>
      <w:tr>
        <w:trPr>
          <w:trHeight w:val="26"/>
        </w:trPr>
        <w:tc>
          <w:tcPr>
            <w:tcW w:w="2760" w:type="dxa"/>
            <w:vAlign w:val="bottom"/>
            <w:tcBorders>
              <w:left w:val="single" w:sz="8" w:color="auto"/>
              <w:right w:val="single" w:sz="8" w:color="auto"/>
            </w:tcBorders>
          </w:tcPr>
          <w:p>
            <w:pPr>
              <w:spacing w:after="0"/>
              <w:rPr>
                <w:sz w:val="2"/>
                <w:szCs w:val="2"/>
                <w:color w:val="auto"/>
              </w:rPr>
            </w:pPr>
          </w:p>
        </w:tc>
        <w:tc>
          <w:tcPr>
            <w:tcW w:w="460" w:type="dxa"/>
            <w:vAlign w:val="bottom"/>
            <w:vMerge w:val="continue"/>
          </w:tcPr>
          <w:p>
            <w:pPr>
              <w:spacing w:after="0"/>
              <w:rPr>
                <w:sz w:val="2"/>
                <w:szCs w:val="2"/>
                <w:color w:val="auto"/>
              </w:rPr>
            </w:pPr>
          </w:p>
        </w:tc>
        <w:tc>
          <w:tcPr>
            <w:tcW w:w="82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6"/>
        </w:trPr>
        <w:tc>
          <w:tcPr>
            <w:tcW w:w="2760" w:type="dxa"/>
            <w:vAlign w:val="bottom"/>
            <w:tcBorders>
              <w:left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effect from time to time;</w:t>
            </w:r>
          </w:p>
        </w:tc>
        <w:tc>
          <w:tcPr>
            <w:tcW w:w="0" w:type="dxa"/>
            <w:vAlign w:val="bottom"/>
          </w:tcPr>
          <w:p>
            <w:pPr>
              <w:spacing w:after="0"/>
              <w:rPr>
                <w:sz w:val="1"/>
                <w:szCs w:val="1"/>
                <w:color w:val="auto"/>
              </w:rPr>
            </w:pPr>
          </w:p>
        </w:tc>
      </w:tr>
      <w:tr>
        <w:trPr>
          <w:trHeight w:val="131"/>
        </w:trPr>
        <w:tc>
          <w:tcPr>
            <w:tcW w:w="2760" w:type="dxa"/>
            <w:vAlign w:val="bottom"/>
            <w:tcBorders>
              <w:left w:val="single" w:sz="8" w:color="auto"/>
              <w:right w:val="single" w:sz="8" w:color="auto"/>
            </w:tcBorders>
          </w:tcPr>
          <w:p>
            <w:pPr>
              <w:spacing w:after="0"/>
              <w:rPr>
                <w:sz w:val="11"/>
                <w:szCs w:val="11"/>
                <w:color w:val="auto"/>
              </w:rPr>
            </w:pPr>
          </w:p>
        </w:tc>
        <w:tc>
          <w:tcPr>
            <w:tcW w:w="460" w:type="dxa"/>
            <w:vAlign w:val="bottom"/>
            <w:vMerge w:val="restart"/>
          </w:tcPr>
          <w:p>
            <w:pPr>
              <w:ind w:left="240"/>
              <w:spacing w:after="0"/>
              <w:rPr>
                <w:sz w:val="20"/>
                <w:szCs w:val="20"/>
                <w:color w:val="auto"/>
              </w:rPr>
            </w:pPr>
            <w:r>
              <w:rPr>
                <w:rFonts w:ascii="Arial" w:cs="Arial" w:eastAsia="Arial" w:hAnsi="Arial"/>
                <w:sz w:val="9"/>
                <w:szCs w:val="9"/>
                <w:color w:val="auto"/>
              </w:rPr>
              <w:t>n</w:t>
            </w:r>
          </w:p>
        </w:tc>
        <w:tc>
          <w:tcPr>
            <w:tcW w:w="8220" w:type="dxa"/>
            <w:vAlign w:val="bottom"/>
            <w:tcBorders>
              <w:right w:val="single" w:sz="8" w:color="auto"/>
            </w:tcBorders>
          </w:tcPr>
          <w:p>
            <w:pPr>
              <w:ind w:left="180"/>
              <w:spacing w:after="0" w:line="131" w:lineRule="exact"/>
              <w:rPr>
                <w:sz w:val="20"/>
                <w:szCs w:val="20"/>
                <w:color w:val="auto"/>
              </w:rPr>
            </w:pPr>
            <w:r>
              <w:rPr>
                <w:rFonts w:ascii="Arial" w:cs="Arial" w:eastAsia="Arial" w:hAnsi="Arial"/>
                <w:sz w:val="15"/>
                <w:szCs w:val="15"/>
                <w:color w:val="auto"/>
              </w:rPr>
              <w:t>The impact of a Change in Control or other specified corporate event on your Award; and</w:t>
            </w:r>
          </w:p>
        </w:tc>
        <w:tc>
          <w:tcPr>
            <w:tcW w:w="0" w:type="dxa"/>
            <w:vAlign w:val="bottom"/>
          </w:tcPr>
          <w:p>
            <w:pPr>
              <w:spacing w:after="0"/>
              <w:rPr>
                <w:sz w:val="1"/>
                <w:szCs w:val="1"/>
                <w:color w:val="auto"/>
              </w:rPr>
            </w:pPr>
          </w:p>
        </w:tc>
      </w:tr>
      <w:tr>
        <w:trPr>
          <w:trHeight w:val="26"/>
        </w:trPr>
        <w:tc>
          <w:tcPr>
            <w:tcW w:w="2760" w:type="dxa"/>
            <w:vAlign w:val="bottom"/>
            <w:tcBorders>
              <w:left w:val="single" w:sz="8" w:color="auto"/>
              <w:right w:val="single" w:sz="8" w:color="auto"/>
            </w:tcBorders>
          </w:tcPr>
          <w:p>
            <w:pPr>
              <w:spacing w:after="0"/>
              <w:rPr>
                <w:sz w:val="2"/>
                <w:szCs w:val="2"/>
                <w:color w:val="auto"/>
              </w:rPr>
            </w:pPr>
          </w:p>
        </w:tc>
        <w:tc>
          <w:tcPr>
            <w:tcW w:w="460" w:type="dxa"/>
            <w:vAlign w:val="bottom"/>
            <w:vMerge w:val="continue"/>
          </w:tcPr>
          <w:p>
            <w:pPr>
              <w:spacing w:after="0"/>
              <w:rPr>
                <w:sz w:val="2"/>
                <w:szCs w:val="2"/>
                <w:color w:val="auto"/>
              </w:rPr>
            </w:pPr>
          </w:p>
        </w:tc>
        <w:tc>
          <w:tcPr>
            <w:tcW w:w="82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760" w:type="dxa"/>
            <w:vAlign w:val="bottom"/>
            <w:tcBorders>
              <w:left w:val="single" w:sz="8" w:color="auto"/>
              <w:right w:val="single" w:sz="8" w:color="auto"/>
            </w:tcBorders>
          </w:tcPr>
          <w:p>
            <w:pPr>
              <w:spacing w:after="0"/>
              <w:rPr>
                <w:sz w:val="22"/>
                <w:szCs w:val="22"/>
                <w:color w:val="auto"/>
              </w:rPr>
            </w:pPr>
          </w:p>
        </w:tc>
        <w:tc>
          <w:tcPr>
            <w:tcW w:w="460" w:type="dxa"/>
            <w:vAlign w:val="bottom"/>
            <w:vMerge w:val="restart"/>
          </w:tcPr>
          <w:p>
            <w:pPr>
              <w:ind w:left="240"/>
              <w:spacing w:after="0"/>
              <w:rPr>
                <w:sz w:val="20"/>
                <w:szCs w:val="20"/>
                <w:color w:val="auto"/>
              </w:rPr>
            </w:pPr>
            <w:r>
              <w:rPr>
                <w:rFonts w:ascii="Arial" w:cs="Arial" w:eastAsia="Arial" w:hAnsi="Arial"/>
                <w:sz w:val="9"/>
                <w:szCs w:val="9"/>
                <w:color w:val="auto"/>
              </w:rPr>
              <w:t>n</w:t>
            </w:r>
          </w:p>
        </w:tc>
        <w:tc>
          <w:tcPr>
            <w:tcW w:w="82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Jurisdiction and governing law</w:t>
            </w:r>
          </w:p>
        </w:tc>
        <w:tc>
          <w:tcPr>
            <w:tcW w:w="0" w:type="dxa"/>
            <w:vAlign w:val="bottom"/>
          </w:tcPr>
          <w:p>
            <w:pPr>
              <w:spacing w:after="0"/>
              <w:rPr>
                <w:sz w:val="1"/>
                <w:szCs w:val="1"/>
                <w:color w:val="auto"/>
              </w:rPr>
            </w:pPr>
          </w:p>
        </w:tc>
      </w:tr>
      <w:tr>
        <w:trPr>
          <w:trHeight w:val="26"/>
        </w:trPr>
        <w:tc>
          <w:tcPr>
            <w:tcW w:w="2760" w:type="dxa"/>
            <w:vAlign w:val="bottom"/>
            <w:tcBorders>
              <w:left w:val="single" w:sz="8" w:color="auto"/>
              <w:right w:val="single" w:sz="8" w:color="auto"/>
            </w:tcBorders>
          </w:tcPr>
          <w:p>
            <w:pPr>
              <w:spacing w:after="0"/>
              <w:rPr>
                <w:sz w:val="2"/>
                <w:szCs w:val="2"/>
                <w:color w:val="auto"/>
              </w:rPr>
            </w:pPr>
          </w:p>
        </w:tc>
        <w:tc>
          <w:tcPr>
            <w:tcW w:w="460" w:type="dxa"/>
            <w:vAlign w:val="bottom"/>
            <w:vMerge w:val="continue"/>
          </w:tcPr>
          <w:p>
            <w:pPr>
              <w:spacing w:after="0"/>
              <w:rPr>
                <w:sz w:val="2"/>
                <w:szCs w:val="2"/>
                <w:color w:val="auto"/>
              </w:rPr>
            </w:pPr>
          </w:p>
        </w:tc>
        <w:tc>
          <w:tcPr>
            <w:tcW w:w="82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760" w:type="dxa"/>
            <w:vAlign w:val="bottom"/>
            <w:tcBorders>
              <w:left w:val="single" w:sz="8" w:color="auto"/>
              <w:bottom w:val="single" w:sz="8" w:color="auto"/>
              <w:right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57"/>
        </w:trPr>
        <w:tc>
          <w:tcPr>
            <w:tcW w:w="2760" w:type="dxa"/>
            <w:vAlign w:val="bottom"/>
          </w:tcPr>
          <w:p>
            <w:pPr>
              <w:spacing w:after="0"/>
              <w:rPr>
                <w:sz w:val="20"/>
                <w:szCs w:val="20"/>
                <w:color w:val="auto"/>
              </w:rPr>
            </w:pPr>
            <w:r>
              <w:rPr>
                <w:rFonts w:ascii="Arial" w:cs="Arial" w:eastAsia="Arial" w:hAnsi="Arial"/>
                <w:sz w:val="20"/>
                <w:szCs w:val="20"/>
                <w:b w:val="1"/>
                <w:bCs w:val="1"/>
                <w:color w:val="auto"/>
                <w:w w:val="97"/>
              </w:rPr>
              <w:t>Additional Acknowledgments</w:t>
            </w:r>
          </w:p>
        </w:tc>
        <w:tc>
          <w:tcPr>
            <w:tcW w:w="4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RSUs (and issuance of any Shares) to you. By accepting the Award you irrevocably agree and acknowledge in favor of the Company (on its own behalf and as an agent for the Subsidiaries) that:</w:t>
      </w:r>
    </w:p>
    <w:p>
      <w:pPr>
        <w:spacing w:after="0" w:line="200" w:lineRule="exact"/>
        <w:rPr>
          <w:sz w:val="20"/>
          <w:szCs w:val="20"/>
          <w:color w:val="auto"/>
        </w:rPr>
      </w:pPr>
    </w:p>
    <w:p>
      <w:pPr>
        <w:ind w:left="340" w:right="120" w:hanging="332"/>
        <w:spacing w:after="0" w:line="250" w:lineRule="auto"/>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199" w:lineRule="exact"/>
        <w:rPr>
          <w:rFonts w:ascii="Arial" w:cs="Arial" w:eastAsia="Arial" w:hAnsi="Arial"/>
          <w:sz w:val="20"/>
          <w:szCs w:val="20"/>
          <w:color w:val="auto"/>
        </w:rPr>
      </w:pPr>
    </w:p>
    <w:p>
      <w:pPr>
        <w:ind w:left="340" w:right="80" w:hanging="332"/>
        <w:spacing w:after="0" w:line="244" w:lineRule="auto"/>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08" w:lineRule="exact"/>
        <w:rPr>
          <w:rFonts w:ascii="Arial" w:cs="Arial" w:eastAsia="Arial" w:hAnsi="Arial"/>
          <w:sz w:val="20"/>
          <w:szCs w:val="20"/>
          <w:color w:val="auto"/>
        </w:rPr>
      </w:pPr>
    </w:p>
    <w:p>
      <w:pPr>
        <w:ind w:left="340" w:right="60" w:hanging="332"/>
        <w:spacing w:after="0" w:line="244" w:lineRule="auto"/>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ectPr>
          <w:pgSz w:w="11900" w:h="16838" w:orient="portrait"/>
          <w:cols w:equalWidth="0" w:num="1">
            <w:col w:w="11440"/>
          </w:cols>
          <w:pgMar w:left="240" w:top="734" w:right="219" w:bottom="1440" w:gutter="0" w:footer="0" w:header="0"/>
        </w:sectPr>
      </w:pPr>
    </w:p>
    <w:bookmarkStart w:id="45" w:name="page46"/>
    <w:bookmarkEnd w:id="45"/>
    <w:p>
      <w:pPr>
        <w:ind w:left="332" w:right="20" w:hanging="332"/>
        <w:spacing w:after="0" w:line="244" w:lineRule="auto"/>
        <w:tabs>
          <w:tab w:leader="none" w:pos="332" w:val="left"/>
        </w:tabs>
        <w:numPr>
          <w:ilvl w:val="0"/>
          <w:numId w:val="10"/>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08" w:lineRule="exact"/>
        <w:rPr>
          <w:rFonts w:ascii="Arial" w:cs="Arial" w:eastAsia="Arial" w:hAnsi="Arial"/>
          <w:sz w:val="20"/>
          <w:szCs w:val="20"/>
          <w:color w:val="auto"/>
        </w:rPr>
      </w:pPr>
    </w:p>
    <w:p>
      <w:pPr>
        <w:ind w:left="332" w:right="60" w:hanging="332"/>
        <w:spacing w:after="0" w:line="316"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portion of this Award that becomes non-forfeitable (e.g., due to your attaining Full Career Status) prior to settlement of the Award will be subject to the U.S. Federal Insurance Contributions Act (“FICA”) tax at the time such portion becomes non-forfeitable.</w:t>
      </w:r>
    </w:p>
    <w:p>
      <w:pPr>
        <w:spacing w:after="0" w:line="143" w:lineRule="exact"/>
        <w:rPr>
          <w:rFonts w:ascii="Arial" w:cs="Arial" w:eastAsia="Arial" w:hAnsi="Arial"/>
          <w:sz w:val="18"/>
          <w:szCs w:val="18"/>
          <w:color w:val="auto"/>
        </w:rPr>
      </w:pPr>
    </w:p>
    <w:p>
      <w:pPr>
        <w:ind w:left="332" w:right="60" w:hanging="332"/>
        <w:spacing w:after="0" w:line="316"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Award includes Restrictive Covenants and conditions precedent that apply during and following your termination of employment, and the RSUs described in this Award constitute good and valuable consideration provided in exchange for those Restrictive Covenants.</w:t>
      </w:r>
    </w:p>
    <w:p>
      <w:pPr>
        <w:spacing w:after="0" w:line="143" w:lineRule="exact"/>
        <w:rPr>
          <w:rFonts w:ascii="Arial" w:cs="Arial" w:eastAsia="Arial" w:hAnsi="Arial"/>
          <w:sz w:val="18"/>
          <w:szCs w:val="18"/>
          <w:color w:val="auto"/>
        </w:rPr>
      </w:pPr>
    </w:p>
    <w:p>
      <w:pPr>
        <w:ind w:left="332" w:right="40" w:hanging="332"/>
        <w:spacing w:after="0" w:line="250" w:lineRule="auto"/>
        <w:tabs>
          <w:tab w:leader="none" w:pos="332"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199" w:lineRule="exact"/>
        <w:rPr>
          <w:rFonts w:ascii="Arial" w:cs="Arial" w:eastAsia="Arial" w:hAnsi="Arial"/>
          <w:sz w:val="20"/>
          <w:szCs w:val="20"/>
          <w:color w:val="auto"/>
        </w:rPr>
      </w:pPr>
    </w:p>
    <w:p>
      <w:pPr>
        <w:ind w:left="332" w:right="300" w:hanging="332"/>
        <w:spacing w:after="0" w:line="260" w:lineRule="auto"/>
        <w:tabs>
          <w:tab w:leader="none" w:pos="332"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spacing w:after="0" w:line="190" w:lineRule="exact"/>
        <w:rPr>
          <w:rFonts w:ascii="Arial" w:cs="Arial" w:eastAsia="Arial" w:hAnsi="Arial"/>
          <w:sz w:val="20"/>
          <w:szCs w:val="20"/>
          <w:color w:val="auto"/>
        </w:rPr>
      </w:pPr>
    </w:p>
    <w:p>
      <w:pPr>
        <w:ind w:left="332" w:right="160" w:hanging="332"/>
        <w:spacing w:after="0" w:line="282"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RSUs, the termination of the Plan, or the diminution in value of the RSUs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75" w:lineRule="exact"/>
        <w:rPr>
          <w:rFonts w:ascii="Arial" w:cs="Arial" w:eastAsia="Arial" w:hAnsi="Arial"/>
          <w:sz w:val="18"/>
          <w:szCs w:val="18"/>
          <w:color w:val="auto"/>
        </w:rPr>
      </w:pPr>
    </w:p>
    <w:p>
      <w:pPr>
        <w:ind w:left="332" w:right="240" w:hanging="332"/>
        <w:spacing w:after="0" w:line="260" w:lineRule="auto"/>
        <w:tabs>
          <w:tab w:leader="none" w:pos="332"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190" w:lineRule="exact"/>
        <w:rPr>
          <w:rFonts w:ascii="Arial" w:cs="Arial" w:eastAsia="Arial" w:hAnsi="Arial"/>
          <w:sz w:val="20"/>
          <w:szCs w:val="20"/>
          <w:color w:val="auto"/>
        </w:rPr>
      </w:pPr>
    </w:p>
    <w:p>
      <w:pPr>
        <w:ind w:left="332" w:hanging="332"/>
        <w:spacing w:after="0" w:line="263" w:lineRule="auto"/>
        <w:tabs>
          <w:tab w:leader="none" w:pos="3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90" w:lineRule="exact"/>
        <w:rPr>
          <w:rFonts w:ascii="Arial" w:cs="Arial" w:eastAsia="Arial" w:hAnsi="Arial"/>
          <w:sz w:val="19"/>
          <w:szCs w:val="19"/>
          <w:color w:val="auto"/>
        </w:rPr>
      </w:pPr>
    </w:p>
    <w:p>
      <w:pPr>
        <w:ind w:left="332" w:right="160" w:hanging="332"/>
        <w:spacing w:after="0" w:line="260" w:lineRule="auto"/>
        <w:tabs>
          <w:tab w:leader="none" w:pos="3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This Plan and this Award are governed by the laws of the State of Delaware, without regard to the conflicts of law provisions thereof, and any cause or claim arising with respect to this Award or the subject matter contained in this Award Document will be exclusively resolved in the Courts of Delaware. The Company will make reasonable efforts so that the Award complies with all applicable federal and state securities laws; provided, however, notwithstanding any other provision of the Award Document, the RSUs shall not be settled if the settlement thereof would result in a violation of any such law.</w:t>
      </w:r>
    </w:p>
    <w:p>
      <w:pPr>
        <w:spacing w:after="0" w:line="194" w:lineRule="exact"/>
        <w:rPr>
          <w:rFonts w:ascii="Arial" w:cs="Arial" w:eastAsia="Arial" w:hAnsi="Arial"/>
          <w:sz w:val="19"/>
          <w:szCs w:val="19"/>
          <w:color w:val="auto"/>
        </w:rPr>
      </w:pPr>
    </w:p>
    <w:p>
      <w:pPr>
        <w:ind w:left="332" w:right="820" w:hanging="332"/>
        <w:spacing w:after="0" w:line="260" w:lineRule="auto"/>
        <w:tabs>
          <w:tab w:leader="none" w:pos="332"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90" w:lineRule="exact"/>
        <w:rPr>
          <w:rFonts w:ascii="Arial" w:cs="Arial" w:eastAsia="Arial" w:hAnsi="Arial"/>
          <w:sz w:val="20"/>
          <w:szCs w:val="20"/>
          <w:color w:val="auto"/>
        </w:rPr>
      </w:pPr>
    </w:p>
    <w:p>
      <w:pPr>
        <w:ind w:left="332" w:right="20" w:hanging="332"/>
        <w:spacing w:after="0" w:line="250" w:lineRule="auto"/>
        <w:tabs>
          <w:tab w:leader="none" w:pos="332" w:val="left"/>
        </w:tabs>
        <w:numPr>
          <w:ilvl w:val="0"/>
          <w:numId w:val="10"/>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ectPr>
          <w:pgSz w:w="11900" w:h="16838" w:orient="portrait"/>
          <w:cols w:equalWidth="0" w:num="1">
            <w:col w:w="11412"/>
          </w:cols>
          <w:pgMar w:left="248" w:top="582" w:right="2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Acceptance of Offer</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offer you will need to follow the link at the bottom of this page. Your electronic acceptance confirms the following:</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400" w:hanging="332"/>
        <w:spacing w:after="0" w:line="26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Accept the RSUs (and any Shares) that are issued by the Company to me in accordance with the terms of the Plan and this Award Document; and</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you do not accept this Award by x, this offer will lapse and be incapable of acceptance (unless otherwise agreed to by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x.</w:t>
      </w:r>
    </w:p>
    <w:p>
      <w:pPr>
        <w:sectPr>
          <w:pgSz w:w="11900" w:h="16838" w:orient="portrait"/>
          <w:cols w:equalWidth="0" w:num="1">
            <w:col w:w="10980"/>
          </w:cols>
          <w:pgMar w:left="240" w:top="805" w:right="679" w:bottom="1440" w:gutter="0" w:footer="0" w:header="0"/>
        </w:sectPr>
      </w:pPr>
    </w:p>
    <w:bookmarkStart w:id="47" w:name="page48"/>
    <w:bookmarkEnd w:id="47"/>
    <w:p>
      <w:pPr>
        <w:ind w:left="10400"/>
        <w:spacing w:after="0"/>
        <w:rPr>
          <w:sz w:val="20"/>
          <w:szCs w:val="20"/>
          <w:color w:val="auto"/>
        </w:rPr>
      </w:pPr>
      <w:r>
        <w:rPr>
          <w:rFonts w:ascii="Arial" w:cs="Arial" w:eastAsia="Arial" w:hAnsi="Arial"/>
          <w:sz w:val="18"/>
          <w:szCs w:val="18"/>
          <w:b w:val="1"/>
          <w:bCs w:val="1"/>
          <w:color w:val="auto"/>
        </w:rPr>
        <w:t>Exhibit 10.5</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2014 Long Term Incentive Plan</w:t>
      </w:r>
    </w:p>
    <w:p>
      <w:pPr>
        <w:jc w:val="center"/>
        <w:ind w:right="20"/>
        <w:spacing w:after="0"/>
        <w:rPr>
          <w:sz w:val="20"/>
          <w:szCs w:val="20"/>
          <w:color w:val="auto"/>
        </w:rPr>
      </w:pPr>
      <w:r>
        <w:rPr>
          <w:rFonts w:ascii="Arial" w:cs="Arial" w:eastAsia="Arial" w:hAnsi="Arial"/>
          <w:sz w:val="20"/>
          <w:szCs w:val="20"/>
          <w:b w:val="1"/>
          <w:bCs w:val="1"/>
          <w:color w:val="auto"/>
        </w:rPr>
        <w:t>Award Document for February 2016 Grant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26"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color w:val="auto"/>
        </w:rPr>
        <w:t>This letter describes the details under which you are being granted an Award of Performance Share Units (“</w:t>
      </w:r>
      <w:r>
        <w:rPr>
          <w:rFonts w:ascii="Arial" w:cs="Arial" w:eastAsia="Arial" w:hAnsi="Arial"/>
          <w:sz w:val="20"/>
          <w:szCs w:val="20"/>
          <w:b w:val="1"/>
          <w:bCs w:val="1"/>
          <w:color w:val="auto"/>
        </w:rPr>
        <w:t>PSUs</w:t>
      </w:r>
      <w:r>
        <w:rPr>
          <w:rFonts w:ascii="Arial" w:cs="Arial" w:eastAsia="Arial" w:hAnsi="Arial"/>
          <w:sz w:val="20"/>
          <w:szCs w:val="20"/>
          <w:color w:val="auto"/>
        </w:rPr>
        <w:t>”) under the General Motors Company 2014 Long Term Incentive Plan (as amended from time to time,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70"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8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Number of Target Units</w:t>
            </w: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Your number of “</w:t>
            </w:r>
            <w:r>
              <w:rPr>
                <w:rFonts w:ascii="Arial" w:cs="Arial" w:eastAsia="Arial" w:hAnsi="Arial"/>
                <w:sz w:val="20"/>
                <w:szCs w:val="20"/>
                <w:b w:val="1"/>
                <w:bCs w:val="1"/>
                <w:color w:val="auto"/>
              </w:rPr>
              <w:t>Target Units</w:t>
            </w:r>
            <w:r>
              <w:rPr>
                <w:rFonts w:ascii="Arial" w:cs="Arial" w:eastAsia="Arial" w:hAnsi="Arial"/>
                <w:sz w:val="20"/>
                <w:szCs w:val="20"/>
                <w:color w:val="auto"/>
              </w:rPr>
              <w:t>” is [•] PSUs</w:t>
            </w:r>
          </w:p>
        </w:tc>
      </w:tr>
      <w:tr>
        <w:trPr>
          <w:trHeight w:val="239"/>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8680" w:type="dxa"/>
            <w:vAlign w:val="bottom"/>
            <w:tcBorders>
              <w:bottom w:val="single" w:sz="8" w:color="auto"/>
              <w:right w:val="single" w:sz="8" w:color="auto"/>
            </w:tcBorders>
          </w:tcPr>
          <w:p>
            <w:pPr>
              <w:spacing w:after="0"/>
              <w:rPr>
                <w:sz w:val="20"/>
                <w:szCs w:val="20"/>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February 10, 2016</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Performance Period</w:t>
            </w: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January 1, 2016 through December 31, 2018</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Performance Conditions</w:t>
            </w: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 xml:space="preserve">See the </w:t>
            </w:r>
            <w:r>
              <w:rPr>
                <w:rFonts w:ascii="Arial" w:cs="Arial" w:eastAsia="Arial" w:hAnsi="Arial"/>
                <w:sz w:val="20"/>
                <w:szCs w:val="20"/>
                <w:b w:val="1"/>
                <w:bCs w:val="1"/>
                <w:color w:val="auto"/>
              </w:rPr>
              <w:t>Performance Conditions</w:t>
            </w:r>
            <w:r>
              <w:rPr>
                <w:rFonts w:ascii="Arial" w:cs="Arial" w:eastAsia="Arial" w:hAnsi="Arial"/>
                <w:sz w:val="20"/>
                <w:szCs w:val="20"/>
                <w:color w:val="auto"/>
              </w:rPr>
              <w:t xml:space="preserve"> set forth on Exhibit A of this Award Document</w:t>
            </w:r>
          </w:p>
        </w:tc>
      </w:tr>
      <w:tr>
        <w:trPr>
          <w:trHeight w:val="239"/>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8680" w:type="dxa"/>
            <w:vAlign w:val="bottom"/>
            <w:tcBorders>
              <w:bottom w:val="single" w:sz="8" w:color="auto"/>
              <w:right w:val="single" w:sz="8" w:color="auto"/>
            </w:tcBorders>
          </w:tcPr>
          <w:p>
            <w:pPr>
              <w:spacing w:after="0"/>
              <w:rPr>
                <w:sz w:val="20"/>
                <w:szCs w:val="20"/>
                <w:color w:val="auto"/>
              </w:rPr>
            </w:pPr>
          </w:p>
        </w:tc>
      </w:tr>
      <w:tr>
        <w:trPr>
          <w:trHeight w:val="227"/>
        </w:trPr>
        <w:tc>
          <w:tcPr>
            <w:tcW w:w="27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Settlement Conditions and</w:t>
            </w:r>
          </w:p>
        </w:tc>
        <w:tc>
          <w:tcPr>
            <w:tcW w:w="8680" w:type="dxa"/>
            <w:vAlign w:val="bottom"/>
            <w:tcBorders>
              <w:right w:val="single" w:sz="8" w:color="auto"/>
            </w:tcBorders>
          </w:tcPr>
          <w:p>
            <w:pPr>
              <w:ind w:left="40"/>
              <w:spacing w:after="0" w:line="228" w:lineRule="exact"/>
              <w:rPr>
                <w:sz w:val="20"/>
                <w:szCs w:val="20"/>
                <w:color w:val="auto"/>
              </w:rPr>
            </w:pPr>
            <w:r>
              <w:rPr>
                <w:rFonts w:ascii="Arial" w:cs="Arial" w:eastAsia="Arial" w:hAnsi="Arial"/>
                <w:sz w:val="20"/>
                <w:szCs w:val="20"/>
                <w:color w:val="auto"/>
                <w:w w:val="96"/>
              </w:rPr>
              <w:t>Subject to the achievement of the Performance Conditions, earned awards will vest and settle on the</w:t>
            </w:r>
          </w:p>
        </w:tc>
      </w:tr>
      <w:tr>
        <w:trPr>
          <w:trHeight w:val="23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Settlement Date(s)</w:t>
            </w: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Settlement Date</w:t>
            </w:r>
            <w:r>
              <w:rPr>
                <w:rFonts w:ascii="Arial" w:cs="Arial" w:eastAsia="Arial" w:hAnsi="Arial"/>
                <w:sz w:val="20"/>
                <w:szCs w:val="20"/>
                <w:color w:val="auto"/>
                <w:w w:val="91"/>
              </w:rPr>
              <w:t>,” which shall be a date occurring during the first two and a half calendar months of 2019</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selected by the Committee for the settlement of your Award.</w:t>
            </w:r>
          </w:p>
        </w:tc>
      </w:tr>
      <w:tr>
        <w:trPr>
          <w:trHeight w:val="425"/>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89"/>
              </w:rPr>
              <w:t>For purposes of calculating the pro rata portion of the Award as may be required under the terms of the Plan,</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2"/>
              </w:rPr>
              <w:t>the time period for such proration will be deemed to have commenced on the first day of the Performance</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Period.</w:t>
            </w:r>
          </w:p>
        </w:tc>
      </w:tr>
      <w:tr>
        <w:trPr>
          <w:trHeight w:val="425"/>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0"/>
              </w:rPr>
              <w:t>Except as otherwise provided in the Plan and this Award Document, any portion of the PSUs not vested and</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settled prior to a Termination of Service shall be forfeited.</w:t>
            </w:r>
          </w:p>
        </w:tc>
      </w:tr>
      <w:tr>
        <w:trPr>
          <w:trHeight w:val="239"/>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868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440"/>
          </w:cols>
          <w:pgMar w:left="240" w:top="576" w:right="219" w:bottom="1440" w:gutter="0" w:footer="0" w:header="0"/>
        </w:sectPr>
      </w:pPr>
    </w:p>
    <w:bookmarkStart w:id="48" w:name="page49"/>
    <w:bookmarkEnd w:id="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868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w w:val="90"/>
              </w:rPr>
              <w:t>Your Award will be settled in shares of common stock of the Company (“</w:t>
            </w:r>
            <w:r>
              <w:rPr>
                <w:rFonts w:ascii="Arial" w:cs="Arial" w:eastAsia="Arial" w:hAnsi="Arial"/>
                <w:sz w:val="20"/>
                <w:szCs w:val="20"/>
                <w:b w:val="1"/>
                <w:bCs w:val="1"/>
                <w:color w:val="auto"/>
                <w:w w:val="90"/>
              </w:rPr>
              <w:t>Shares</w:t>
            </w:r>
            <w:r>
              <w:rPr>
                <w:rFonts w:ascii="Arial" w:cs="Arial" w:eastAsia="Arial" w:hAnsi="Arial"/>
                <w:sz w:val="20"/>
                <w:szCs w:val="20"/>
                <w:color w:val="auto"/>
                <w:w w:val="90"/>
              </w:rPr>
              <w:t>”) to the extent such Shares</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are earned pursuant to Exhibit A. Each earned PSU will be settled for one Share.</w:t>
            </w:r>
          </w:p>
        </w:tc>
      </w:tr>
      <w:tr>
        <w:trPr>
          <w:trHeight w:val="425"/>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5"/>
              </w:rPr>
              <w:t>Earned PSUs shall convey the right to receive dividend equivalents on the Shares underlying the PSU</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7"/>
              </w:rPr>
              <w:t>Award with respect to any dividends declared during the period from Grant Date to Settlement Date.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4"/>
              </w:rPr>
              <w:t>Accumulated dividend equivalents shall vest and be paid in cash on the Settlement Date, subject to the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4"/>
              </w:rPr>
              <w:t>satisfaction of the performance, vesting and other conditions of the underlying PSU Award. No dividend</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0"/>
              </w:rPr>
              <w:t>equivalents shall be provided with respect to any Shares subject to PSUs that are not earned or do not vest</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or settle pursuant to their terms.</w:t>
            </w:r>
          </w:p>
        </w:tc>
      </w:tr>
      <w:tr>
        <w:trPr>
          <w:trHeight w:val="419"/>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3"/>
              </w:rPr>
              <w:t>Notwithstanding the forgoing and the terms of the Plan, the Company reserves the right to further modify</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2"/>
              </w:rPr>
              <w:t xml:space="preserve">the form of settlement of your Award. For example, </w:t>
            </w:r>
            <w:r>
              <w:rPr>
                <w:rFonts w:ascii="Arial" w:cs="Arial" w:eastAsia="Arial" w:hAnsi="Arial"/>
                <w:sz w:val="20"/>
                <w:szCs w:val="20"/>
                <w:b w:val="1"/>
                <w:bCs w:val="1"/>
                <w:color w:val="auto"/>
                <w:w w:val="92"/>
              </w:rPr>
              <w:t>if your work location at the time of any Settlement</w:t>
            </w:r>
          </w:p>
        </w:tc>
      </w:tr>
      <w:tr>
        <w:trPr>
          <w:trHeight w:val="236"/>
        </w:trPr>
        <w:tc>
          <w:tcPr>
            <w:tcW w:w="2760" w:type="dxa"/>
            <w:vAlign w:val="bottom"/>
            <w:tcBorders>
              <w:left w:val="single" w:sz="8" w:color="auto"/>
              <w:right w:val="single" w:sz="8" w:color="auto"/>
            </w:tcBorders>
          </w:tcPr>
          <w:p>
            <w:pPr>
              <w:spacing w:after="0"/>
              <w:rPr>
                <w:sz w:val="20"/>
                <w:szCs w:val="20"/>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b w:val="1"/>
                <w:bCs w:val="1"/>
                <w:color w:val="auto"/>
                <w:w w:val="94"/>
              </w:rPr>
              <w:t>Date noted above is in China, India, Russia, Uzbekistan, or South Africa</w:t>
            </w:r>
            <w:r>
              <w:rPr>
                <w:rFonts w:ascii="Arial" w:cs="Arial" w:eastAsia="Arial" w:hAnsi="Arial"/>
                <w:sz w:val="20"/>
                <w:szCs w:val="20"/>
                <w:color w:val="auto"/>
                <w:w w:val="94"/>
              </w:rPr>
              <w:t>, (i) your PSUs will only be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0"/>
              </w:rPr>
              <w:t>settled by a cash payment to you equal to the Fair Market Value of the settled Shares (subject to applicable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5"/>
              </w:rPr>
              <w:t>withholding) and (ii) your PSUs will not be settled by the issue of any Shares unless your work location</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changes to a jurisdiction that permits settlement in Shares.</w:t>
            </w:r>
          </w:p>
        </w:tc>
      </w:tr>
      <w:tr>
        <w:trPr>
          <w:trHeight w:val="425"/>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3"/>
              </w:rPr>
              <w:t>As required by law, the Company will withhold any applicable federal, state, local or foreign tax. You are</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responsible for any taxes due upon vesting and/or settlement.</w:t>
            </w:r>
          </w:p>
        </w:tc>
      </w:tr>
      <w:tr>
        <w:trPr>
          <w:trHeight w:val="239"/>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8680" w:type="dxa"/>
            <w:vAlign w:val="bottom"/>
            <w:tcBorders>
              <w:bottom w:val="single" w:sz="8" w:color="auto"/>
              <w:right w:val="single" w:sz="8" w:color="auto"/>
            </w:tcBorders>
            <w:gridSpan w:val="2"/>
          </w:tcPr>
          <w:p>
            <w:pPr>
              <w:spacing w:after="0"/>
              <w:rPr>
                <w:sz w:val="20"/>
                <w:szCs w:val="20"/>
                <w:color w:val="auto"/>
              </w:rPr>
            </w:pPr>
          </w:p>
        </w:tc>
      </w:tr>
      <w:tr>
        <w:trPr>
          <w:trHeight w:val="233"/>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0"/>
              </w:rPr>
              <w:t>Pursuant and subject to Section 11 of the Plan, as a condition precedent to the vesting and/or settlement of</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any portion of your Award, you shall:</w:t>
            </w:r>
          </w:p>
        </w:tc>
      </w:tr>
      <w:tr>
        <w:trPr>
          <w:trHeight w:val="479"/>
        </w:trPr>
        <w:tc>
          <w:tcPr>
            <w:tcW w:w="276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9"/>
                <w:szCs w:val="9"/>
                <w:b w:val="1"/>
                <w:bCs w:val="1"/>
                <w:color w:val="auto"/>
              </w:rPr>
              <w:t>n</w:t>
            </w: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3"/>
              </w:rPr>
              <w:t>Refrain from engaging in any activity which will cause damage to the Company or is in any manner</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3"/>
              </w:rPr>
              <w:t>inimical or in any way contrary to the best interests of the Company, as determined pursuant to the</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Plan; and</w:t>
            </w:r>
          </w:p>
        </w:tc>
      </w:tr>
      <w:tr>
        <w:trPr>
          <w:trHeight w:val="263"/>
        </w:trPr>
        <w:tc>
          <w:tcPr>
            <w:tcW w:w="2760" w:type="dxa"/>
            <w:vAlign w:val="bottom"/>
            <w:tcBorders>
              <w:left w:val="single" w:sz="8" w:color="auto"/>
              <w:right w:val="single" w:sz="8" w:color="auto"/>
            </w:tcBorders>
          </w:tcPr>
          <w:p>
            <w:pPr>
              <w:spacing w:after="0"/>
              <w:rPr>
                <w:sz w:val="22"/>
                <w:szCs w:val="22"/>
                <w:color w:val="auto"/>
              </w:rPr>
            </w:pPr>
          </w:p>
        </w:tc>
        <w:tc>
          <w:tcPr>
            <w:tcW w:w="420" w:type="dxa"/>
            <w:vAlign w:val="bottom"/>
          </w:tcPr>
          <w:p>
            <w:pPr>
              <w:ind w:left="300"/>
              <w:spacing w:after="0"/>
              <w:rPr>
                <w:sz w:val="20"/>
                <w:szCs w:val="20"/>
                <w:color w:val="auto"/>
              </w:rPr>
            </w:pPr>
            <w:r>
              <w:rPr>
                <w:rFonts w:ascii="Arial" w:cs="Arial" w:eastAsia="Arial" w:hAnsi="Arial"/>
                <w:sz w:val="9"/>
                <w:szCs w:val="9"/>
                <w:b w:val="1"/>
                <w:bCs w:val="1"/>
                <w:color w:val="auto"/>
              </w:rPr>
              <w:t>n</w:t>
            </w: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6"/>
              </w:rPr>
              <w:t>Furnish to the Company such information with respect to the satisfaction of the foregoing as the</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Committee may reasonably request.</w:t>
            </w:r>
          </w:p>
        </w:tc>
      </w:tr>
      <w:tr>
        <w:trPr>
          <w:trHeight w:val="263"/>
        </w:trPr>
        <w:tc>
          <w:tcPr>
            <w:tcW w:w="2760" w:type="dxa"/>
            <w:vAlign w:val="bottom"/>
            <w:tcBorders>
              <w:left w:val="single" w:sz="8" w:color="auto"/>
              <w:right w:val="single" w:sz="8" w:color="auto"/>
            </w:tcBorders>
          </w:tcPr>
          <w:p>
            <w:pPr>
              <w:spacing w:after="0"/>
              <w:rPr>
                <w:sz w:val="22"/>
                <w:szCs w:val="22"/>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4"/>
              </w:rPr>
              <w:t>In addition, the Committee may require you to enter into such agreements as the Committee considers</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appropriate.</w:t>
            </w:r>
          </w:p>
        </w:tc>
      </w:tr>
      <w:tr>
        <w:trPr>
          <w:trHeight w:val="425"/>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2"/>
              </w:rPr>
              <w:t>Your failure to satisfy any of the foregoing conditions precedent will result in the immediate cancellation of</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0"/>
              </w:rPr>
              <w:t>the unvested portion of your Award and any vested portion of your Award that has not yet been settled, and</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you will not be entitled to receive any consideration with respect to such cancellation.</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49" w:name="page50"/>
    <w:bookmarkEnd w:id="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Restrictive Covenants</w:t>
            </w:r>
          </w:p>
        </w:tc>
        <w:tc>
          <w:tcPr>
            <w:tcW w:w="868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w w:val="90"/>
              </w:rPr>
              <w:t>In exchange for the PSUs described in this Award Document, except to the extent this provision is expressly</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unenforceable or unlawful under applicable law, you agree to the following restrictive covenants</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3"/>
              </w:rPr>
              <w:t>(“Restrictive Covenants”) that apply during your employment with the Company and its Subsidiaries, and</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7"/>
              </w:rPr>
              <w:t>for the 12-month period commencing on your Termination of Service, including a Full Career Status</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Termination:</w:t>
            </w:r>
          </w:p>
        </w:tc>
      </w:tr>
      <w:tr>
        <w:trPr>
          <w:trHeight w:val="263"/>
        </w:trPr>
        <w:tc>
          <w:tcPr>
            <w:tcW w:w="2760" w:type="dxa"/>
            <w:vAlign w:val="bottom"/>
            <w:tcBorders>
              <w:left w:val="single" w:sz="8" w:color="auto"/>
              <w:right w:val="single" w:sz="8" w:color="auto"/>
            </w:tcBorders>
          </w:tcPr>
          <w:p>
            <w:pPr>
              <w:spacing w:after="0"/>
              <w:rPr>
                <w:sz w:val="22"/>
                <w:szCs w:val="22"/>
                <w:color w:val="auto"/>
              </w:rPr>
            </w:pPr>
          </w:p>
        </w:tc>
        <w:tc>
          <w:tcPr>
            <w:tcW w:w="420" w:type="dxa"/>
            <w:vAlign w:val="bottom"/>
          </w:tcPr>
          <w:p>
            <w:pPr>
              <w:ind w:left="300"/>
              <w:spacing w:after="0"/>
              <w:rPr>
                <w:sz w:val="20"/>
                <w:szCs w:val="20"/>
                <w:color w:val="auto"/>
              </w:rPr>
            </w:pPr>
            <w:r>
              <w:rPr>
                <w:rFonts w:ascii="Arial" w:cs="Arial" w:eastAsia="Arial" w:hAnsi="Arial"/>
                <w:sz w:val="9"/>
                <w:szCs w:val="9"/>
                <w:b w:val="1"/>
                <w:bCs w:val="1"/>
                <w:color w:val="auto"/>
              </w:rPr>
              <w:t>n</w:t>
            </w: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You will not directly or indirectly engage in or perform any engineering, purchasing, design,</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4"/>
              </w:rPr>
              <w:t>marketing, manufacturing or any other tasks or functions or provide services in any other capacity</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89"/>
              </w:rPr>
              <w:t>(e.g., as an employee, a board member, a manager or a consultant) for any motor vehicle manufacturer</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9"/>
              </w:rPr>
              <w:t>(including its parent, subsidiaries, and other affiliates) that competes with the Company or its</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Subsidiaries;</w:t>
            </w:r>
          </w:p>
        </w:tc>
      </w:tr>
      <w:tr>
        <w:trPr>
          <w:trHeight w:val="263"/>
        </w:trPr>
        <w:tc>
          <w:tcPr>
            <w:tcW w:w="2760" w:type="dxa"/>
            <w:vAlign w:val="bottom"/>
            <w:tcBorders>
              <w:left w:val="single" w:sz="8" w:color="auto"/>
              <w:right w:val="single" w:sz="8" w:color="auto"/>
            </w:tcBorders>
          </w:tcPr>
          <w:p>
            <w:pPr>
              <w:spacing w:after="0"/>
              <w:rPr>
                <w:sz w:val="22"/>
                <w:szCs w:val="22"/>
                <w:color w:val="auto"/>
              </w:rPr>
            </w:pPr>
          </w:p>
        </w:tc>
        <w:tc>
          <w:tcPr>
            <w:tcW w:w="420" w:type="dxa"/>
            <w:vAlign w:val="bottom"/>
          </w:tcPr>
          <w:p>
            <w:pPr>
              <w:ind w:left="300"/>
              <w:spacing w:after="0"/>
              <w:rPr>
                <w:sz w:val="20"/>
                <w:szCs w:val="20"/>
                <w:color w:val="auto"/>
              </w:rPr>
            </w:pPr>
            <w:r>
              <w:rPr>
                <w:rFonts w:ascii="Arial" w:cs="Arial" w:eastAsia="Arial" w:hAnsi="Arial"/>
                <w:sz w:val="9"/>
                <w:szCs w:val="9"/>
                <w:b w:val="1"/>
                <w:bCs w:val="1"/>
                <w:color w:val="auto"/>
              </w:rPr>
              <w:t>n</w:t>
            </w: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2"/>
              </w:rPr>
              <w:t>You will not directly or indirectly, knowingly induce any employee of the Company or any Subsidiary</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3"/>
              </w:rPr>
              <w:t>to leave their employment for participation, directly or indirectly, with any existing or future business</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venture associated with you; and</w:t>
            </w:r>
          </w:p>
        </w:tc>
      </w:tr>
      <w:tr>
        <w:trPr>
          <w:trHeight w:val="263"/>
        </w:trPr>
        <w:tc>
          <w:tcPr>
            <w:tcW w:w="2760" w:type="dxa"/>
            <w:vAlign w:val="bottom"/>
            <w:tcBorders>
              <w:left w:val="single" w:sz="8" w:color="auto"/>
              <w:right w:val="single" w:sz="8" w:color="auto"/>
            </w:tcBorders>
          </w:tcPr>
          <w:p>
            <w:pPr>
              <w:spacing w:after="0"/>
              <w:rPr>
                <w:sz w:val="22"/>
                <w:szCs w:val="22"/>
                <w:color w:val="auto"/>
              </w:rPr>
            </w:pPr>
          </w:p>
        </w:tc>
        <w:tc>
          <w:tcPr>
            <w:tcW w:w="420" w:type="dxa"/>
            <w:vAlign w:val="bottom"/>
          </w:tcPr>
          <w:p>
            <w:pPr>
              <w:ind w:left="300"/>
              <w:spacing w:after="0"/>
              <w:rPr>
                <w:sz w:val="20"/>
                <w:szCs w:val="20"/>
                <w:color w:val="auto"/>
              </w:rPr>
            </w:pPr>
            <w:r>
              <w:rPr>
                <w:rFonts w:ascii="Arial" w:cs="Arial" w:eastAsia="Arial" w:hAnsi="Arial"/>
                <w:sz w:val="9"/>
                <w:szCs w:val="9"/>
                <w:b w:val="1"/>
                <w:bCs w:val="1"/>
                <w:color w:val="auto"/>
              </w:rPr>
              <w:t>n</w:t>
            </w: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You will not directly or indirectly solicit any client, customer, or supplier of, or provider to the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2"/>
              </w:rPr>
              <w:t>Company or its Subsidiaries who was a client, customer, supplier or provider for which you provided</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2"/>
              </w:rPr>
              <w:t>services or supervised services during the 12-month period immediately prior to your Termination of</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Service.</w:t>
            </w:r>
          </w:p>
        </w:tc>
      </w:tr>
      <w:tr>
        <w:trPr>
          <w:trHeight w:val="263"/>
        </w:trPr>
        <w:tc>
          <w:tcPr>
            <w:tcW w:w="2760" w:type="dxa"/>
            <w:vAlign w:val="bottom"/>
            <w:tcBorders>
              <w:left w:val="single" w:sz="8" w:color="auto"/>
              <w:right w:val="single" w:sz="8" w:color="auto"/>
            </w:tcBorders>
          </w:tcPr>
          <w:p>
            <w:pPr>
              <w:spacing w:after="0"/>
              <w:rPr>
                <w:sz w:val="22"/>
                <w:szCs w:val="22"/>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6"/>
              </w:rPr>
              <w:t>You may seek permission from the Company to take action that would otherwise violate one or more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2"/>
              </w:rPr>
              <w:t>aspects of these Restrictive Covenants, including a request to work in a direct or indirect capacity for any</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89"/>
              </w:rPr>
              <w:t>motor vehicle manufacturer that competes with the Company, but the Company may deny such request in its</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unfettered discretion and otherwise enforce the provisions of the Restrictive Covenants.</w:t>
            </w:r>
          </w:p>
        </w:tc>
      </w:tr>
      <w:tr>
        <w:trPr>
          <w:trHeight w:val="425"/>
        </w:trPr>
        <w:tc>
          <w:tcPr>
            <w:tcW w:w="2760" w:type="dxa"/>
            <w:vAlign w:val="bottom"/>
            <w:tcBorders>
              <w:left w:val="single" w:sz="8" w:color="auto"/>
              <w:right w:val="single" w:sz="8" w:color="auto"/>
            </w:tcBorders>
          </w:tcPr>
          <w:p>
            <w:pPr>
              <w:spacing w:after="0"/>
              <w:rPr>
                <w:sz w:val="24"/>
                <w:szCs w:val="24"/>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3"/>
              </w:rPr>
              <w:t>If you violate any of the Restrictive Covenants during its effective period without the Company’s consent,</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2"/>
              </w:rPr>
              <w:t>your entire Award, whether unvested or earned and vested but unsettled, will immediately be canceled. In</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5"/>
              </w:rPr>
              <w:t>addition, you agree to repay to the Company the value of all PSUs that were delivered pursuant to this</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1"/>
              </w:rPr>
              <w:t>Award Document during the period commencing on the date that is 12 months prior to your Termination of</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5"/>
              </w:rPr>
              <w:t>Service and ending on the date that is 12 months following your Termination of Service. To the extent</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7"/>
              </w:rPr>
              <w:t>permitted under applicable law, the Company may also take action at equity or in law to enforce the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5"/>
              </w:rPr>
              <w:t>provisions of the applicable Restrictive Covenants. Following application of this provision of the Award</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w w:val="92"/>
              </w:rPr>
              <w:t>Document, you will continue to be bound by the obligations, promises and other agreements contained in</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the Plan and the Award Document.</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gridSpan w:val="2"/>
          </w:tcPr>
          <w:p>
            <w:pPr>
              <w:spacing w:after="0"/>
              <w:rPr>
                <w:sz w:val="2"/>
                <w:szCs w:val="2"/>
                <w:color w:val="auto"/>
              </w:rPr>
            </w:pPr>
          </w:p>
        </w:tc>
      </w:tr>
      <w:tr>
        <w:trPr>
          <w:trHeight w:val="227"/>
        </w:trPr>
        <w:tc>
          <w:tcPr>
            <w:tcW w:w="27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0"/>
              </w:rPr>
              <w:t>Other Terms and Conditions of</w:t>
            </w:r>
          </w:p>
        </w:tc>
        <w:tc>
          <w:tcPr>
            <w:tcW w:w="8680" w:type="dxa"/>
            <w:vAlign w:val="bottom"/>
            <w:tcBorders>
              <w:right w:val="single" w:sz="8" w:color="auto"/>
            </w:tcBorders>
            <w:gridSpan w:val="2"/>
          </w:tcPr>
          <w:p>
            <w:pPr>
              <w:ind w:left="40"/>
              <w:spacing w:after="0" w:line="228" w:lineRule="exact"/>
              <w:rPr>
                <w:sz w:val="20"/>
                <w:szCs w:val="20"/>
                <w:color w:val="auto"/>
              </w:rPr>
            </w:pPr>
            <w:r>
              <w:rPr>
                <w:rFonts w:ascii="Arial" w:cs="Arial" w:eastAsia="Arial" w:hAnsi="Arial"/>
                <w:sz w:val="20"/>
                <w:szCs w:val="20"/>
                <w:color w:val="auto"/>
                <w:w w:val="92"/>
              </w:rPr>
              <w:t>Refer to the Plan for additional terms and conditions applicable to your Award, including but not limited to,</w:t>
            </w:r>
          </w:p>
        </w:tc>
      </w:tr>
      <w:tr>
        <w:trPr>
          <w:trHeight w:val="25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the Award</w:t>
            </w:r>
          </w:p>
        </w:tc>
        <w:tc>
          <w:tcPr>
            <w:tcW w:w="86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those relating to:</w:t>
            </w:r>
          </w:p>
        </w:tc>
      </w:tr>
      <w:tr>
        <w:trPr>
          <w:trHeight w:val="479"/>
        </w:trPr>
        <w:tc>
          <w:tcPr>
            <w:tcW w:w="276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9"/>
                <w:szCs w:val="9"/>
                <w:b w:val="1"/>
                <w:bCs w:val="1"/>
                <w:color w:val="auto"/>
              </w:rPr>
              <w:t>n</w:t>
            </w: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3"/>
              </w:rPr>
              <w:t>Effect of your Termination of Service on your Award, including upon Death, Disability, achievement</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of Full Career Status and other Termination of Service scenarios;</w:t>
            </w:r>
          </w:p>
        </w:tc>
      </w:tr>
      <w:tr>
        <w:trPr>
          <w:trHeight w:val="263"/>
        </w:trPr>
        <w:tc>
          <w:tcPr>
            <w:tcW w:w="2760" w:type="dxa"/>
            <w:vAlign w:val="bottom"/>
            <w:tcBorders>
              <w:left w:val="single" w:sz="8" w:color="auto"/>
              <w:right w:val="single" w:sz="8" w:color="auto"/>
            </w:tcBorders>
          </w:tcPr>
          <w:p>
            <w:pPr>
              <w:spacing w:after="0"/>
              <w:rPr>
                <w:sz w:val="22"/>
                <w:szCs w:val="22"/>
                <w:color w:val="auto"/>
              </w:rPr>
            </w:pPr>
          </w:p>
        </w:tc>
        <w:tc>
          <w:tcPr>
            <w:tcW w:w="420" w:type="dxa"/>
            <w:vAlign w:val="bottom"/>
          </w:tcPr>
          <w:p>
            <w:pPr>
              <w:ind w:left="300"/>
              <w:spacing w:after="0"/>
              <w:rPr>
                <w:sz w:val="20"/>
                <w:szCs w:val="20"/>
                <w:color w:val="auto"/>
              </w:rPr>
            </w:pPr>
            <w:r>
              <w:rPr>
                <w:rFonts w:ascii="Arial" w:cs="Arial" w:eastAsia="Arial" w:hAnsi="Arial"/>
                <w:sz w:val="9"/>
                <w:szCs w:val="9"/>
                <w:b w:val="1"/>
                <w:bCs w:val="1"/>
                <w:color w:val="auto"/>
              </w:rPr>
              <w:t>n</w:t>
            </w: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0"/>
              </w:rPr>
              <w:t>Your Award being subject to any clawback or recoupment policies of the Company as may be in effect</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from time to time;</w:t>
            </w:r>
          </w:p>
        </w:tc>
      </w:tr>
      <w:tr>
        <w:trPr>
          <w:trHeight w:val="284"/>
        </w:trPr>
        <w:tc>
          <w:tcPr>
            <w:tcW w:w="276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9"/>
                <w:szCs w:val="9"/>
                <w:b w:val="1"/>
                <w:bCs w:val="1"/>
                <w:color w:val="auto"/>
              </w:rPr>
              <w:t>n</w:t>
            </w: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The impact of a Change in Control or other specified corporate event on your Award; and</w:t>
            </w:r>
          </w:p>
        </w:tc>
      </w:tr>
      <w:tr>
        <w:trPr>
          <w:trHeight w:val="284"/>
        </w:trPr>
        <w:tc>
          <w:tcPr>
            <w:tcW w:w="276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9"/>
                <w:szCs w:val="9"/>
                <w:b w:val="1"/>
                <w:bCs w:val="1"/>
                <w:color w:val="auto"/>
              </w:rPr>
              <w:t>n</w:t>
            </w:r>
          </w:p>
        </w:tc>
        <w:tc>
          <w:tcPr>
            <w:tcW w:w="82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Jurisdiction and governing law</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60" w:type="dxa"/>
            <w:vAlign w:val="bottom"/>
            <w:tcBorders>
              <w:bottom w:val="single" w:sz="8" w:color="auto"/>
              <w:right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Acknowledgments</w:t>
      </w:r>
    </w:p>
    <w:p>
      <w:pPr>
        <w:spacing w:after="0" w:line="222"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PSUs (and issuance of any Shares) to you. By accepting the Award you irrevocably agree and acknowledge in favor of the Company (on its own behalf and as an agent for the Subsidiaries) that:</w:t>
      </w:r>
    </w:p>
    <w:p>
      <w:pPr>
        <w:spacing w:after="0" w:line="186" w:lineRule="exact"/>
        <w:rPr>
          <w:sz w:val="20"/>
          <w:szCs w:val="20"/>
          <w:color w:val="auto"/>
        </w:rPr>
      </w:pPr>
    </w:p>
    <w:p>
      <w:pPr>
        <w:ind w:left="340" w:right="12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ectPr>
          <w:pgSz w:w="11900" w:h="16838" w:orient="portrait"/>
          <w:cols w:equalWidth="0" w:num="1">
            <w:col w:w="11440"/>
          </w:cols>
          <w:pgMar w:left="240" w:top="714" w:right="219" w:bottom="1440" w:gutter="0" w:footer="0" w:header="0"/>
        </w:sectPr>
      </w:pPr>
    </w:p>
    <w:bookmarkStart w:id="50" w:name="page51"/>
    <w:bookmarkEnd w:id="50"/>
    <w:p>
      <w:pPr>
        <w:ind w:left="332" w:right="60" w:hanging="332"/>
        <w:spacing w:after="0" w:line="244" w:lineRule="auto"/>
        <w:tabs>
          <w:tab w:leader="none" w:pos="332" w:val="left"/>
        </w:tabs>
        <w:numPr>
          <w:ilvl w:val="0"/>
          <w:numId w:val="13"/>
        </w:numPr>
        <w:rPr>
          <w:rFonts w:ascii="Arial" w:cs="Arial" w:eastAsia="Arial" w:hAnsi="Arial"/>
          <w:sz w:val="18"/>
          <w:szCs w:val="18"/>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194" w:lineRule="exact"/>
        <w:rPr>
          <w:rFonts w:ascii="Arial" w:cs="Arial" w:eastAsia="Arial" w:hAnsi="Arial"/>
          <w:sz w:val="18"/>
          <w:szCs w:val="18"/>
          <w:color w:val="auto"/>
        </w:rPr>
      </w:pPr>
    </w:p>
    <w:p>
      <w:pPr>
        <w:ind w:left="332" w:right="40" w:hanging="332"/>
        <w:spacing w:after="0" w:line="244" w:lineRule="auto"/>
        <w:tabs>
          <w:tab w:leader="none" w:pos="332" w:val="left"/>
        </w:tabs>
        <w:numPr>
          <w:ilvl w:val="0"/>
          <w:numId w:val="13"/>
        </w:numPr>
        <w:rPr>
          <w:rFonts w:ascii="Arial" w:cs="Arial" w:eastAsia="Arial" w:hAnsi="Arial"/>
          <w:sz w:val="18"/>
          <w:szCs w:val="18"/>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194" w:lineRule="exact"/>
        <w:rPr>
          <w:rFonts w:ascii="Arial" w:cs="Arial" w:eastAsia="Arial" w:hAnsi="Arial"/>
          <w:sz w:val="18"/>
          <w:szCs w:val="18"/>
          <w:color w:val="auto"/>
        </w:rPr>
      </w:pPr>
    </w:p>
    <w:p>
      <w:pPr>
        <w:ind w:left="332" w:right="20" w:hanging="332"/>
        <w:spacing w:after="0" w:line="244" w:lineRule="auto"/>
        <w:tabs>
          <w:tab w:leader="none" w:pos="332" w:val="left"/>
        </w:tabs>
        <w:numPr>
          <w:ilvl w:val="0"/>
          <w:numId w:val="13"/>
        </w:numPr>
        <w:rPr>
          <w:rFonts w:ascii="Arial" w:cs="Arial" w:eastAsia="Arial" w:hAnsi="Arial"/>
          <w:sz w:val="18"/>
          <w:szCs w:val="18"/>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194" w:lineRule="exact"/>
        <w:rPr>
          <w:rFonts w:ascii="Arial" w:cs="Arial" w:eastAsia="Arial" w:hAnsi="Arial"/>
          <w:sz w:val="18"/>
          <w:szCs w:val="18"/>
          <w:color w:val="auto"/>
        </w:rPr>
      </w:pPr>
    </w:p>
    <w:p>
      <w:pPr>
        <w:ind w:left="332" w:right="60" w:hanging="332"/>
        <w:spacing w:after="0" w:line="316" w:lineRule="auto"/>
        <w:tabs>
          <w:tab w:leader="none" w:pos="332" w:val="left"/>
        </w:tabs>
        <w:numPr>
          <w:ilvl w:val="0"/>
          <w:numId w:val="13"/>
        </w:numPr>
        <w:rPr>
          <w:rFonts w:ascii="Arial" w:cs="Arial" w:eastAsia="Arial" w:hAnsi="Arial"/>
          <w:sz w:val="16"/>
          <w:szCs w:val="16"/>
          <w:color w:val="auto"/>
        </w:rPr>
      </w:pPr>
      <w:r>
        <w:rPr>
          <w:rFonts w:ascii="Arial" w:cs="Arial" w:eastAsia="Arial" w:hAnsi="Arial"/>
          <w:sz w:val="18"/>
          <w:szCs w:val="18"/>
          <w:color w:val="auto"/>
        </w:rPr>
        <w:t>This Award includes Restrictive Covenants and conditions precedent that apply during and following your termination of employment, and the PSUs described in this Award constitute good and valuable consideration provided in exchange for those Restrictive Covenants.</w:t>
      </w:r>
    </w:p>
    <w:p>
      <w:pPr>
        <w:spacing w:after="0" w:line="130" w:lineRule="exact"/>
        <w:rPr>
          <w:rFonts w:ascii="Arial" w:cs="Arial" w:eastAsia="Arial" w:hAnsi="Arial"/>
          <w:sz w:val="16"/>
          <w:szCs w:val="16"/>
          <w:color w:val="auto"/>
        </w:rPr>
      </w:pPr>
    </w:p>
    <w:p>
      <w:pPr>
        <w:ind w:left="332" w:right="40" w:hanging="332"/>
        <w:spacing w:after="0" w:line="250" w:lineRule="auto"/>
        <w:tabs>
          <w:tab w:leader="none" w:pos="332" w:val="left"/>
        </w:tabs>
        <w:numPr>
          <w:ilvl w:val="0"/>
          <w:numId w:val="13"/>
        </w:numPr>
        <w:rPr>
          <w:rFonts w:ascii="Arial" w:cs="Arial" w:eastAsia="Arial" w:hAnsi="Arial"/>
          <w:sz w:val="18"/>
          <w:szCs w:val="18"/>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186" w:lineRule="exact"/>
        <w:rPr>
          <w:rFonts w:ascii="Arial" w:cs="Arial" w:eastAsia="Arial" w:hAnsi="Arial"/>
          <w:sz w:val="18"/>
          <w:szCs w:val="18"/>
          <w:color w:val="auto"/>
        </w:rPr>
      </w:pPr>
    </w:p>
    <w:p>
      <w:pPr>
        <w:ind w:left="332" w:right="300" w:hanging="332"/>
        <w:spacing w:after="0" w:line="260" w:lineRule="auto"/>
        <w:tabs>
          <w:tab w:leader="none" w:pos="332" w:val="left"/>
        </w:tabs>
        <w:numPr>
          <w:ilvl w:val="0"/>
          <w:numId w:val="13"/>
        </w:numPr>
        <w:rPr>
          <w:rFonts w:ascii="Arial" w:cs="Arial" w:eastAsia="Arial" w:hAnsi="Arial"/>
          <w:sz w:val="18"/>
          <w:szCs w:val="18"/>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spacing w:after="0" w:line="176" w:lineRule="exact"/>
        <w:rPr>
          <w:rFonts w:ascii="Arial" w:cs="Arial" w:eastAsia="Arial" w:hAnsi="Arial"/>
          <w:sz w:val="18"/>
          <w:szCs w:val="18"/>
          <w:color w:val="auto"/>
        </w:rPr>
      </w:pPr>
    </w:p>
    <w:p>
      <w:pPr>
        <w:ind w:left="332" w:right="160" w:hanging="332"/>
        <w:spacing w:after="0" w:line="282" w:lineRule="auto"/>
        <w:tabs>
          <w:tab w:leader="none" w:pos="332" w:val="left"/>
        </w:tabs>
        <w:numPr>
          <w:ilvl w:val="0"/>
          <w:numId w:val="13"/>
        </w:numPr>
        <w:rPr>
          <w:rFonts w:ascii="Arial" w:cs="Arial" w:eastAsia="Arial" w:hAnsi="Arial"/>
          <w:sz w:val="16"/>
          <w:szCs w:val="16"/>
          <w:color w:val="auto"/>
        </w:rPr>
      </w:pPr>
      <w:r>
        <w:rPr>
          <w:rFonts w:ascii="Arial" w:cs="Arial" w:eastAsia="Arial" w:hAnsi="Arial"/>
          <w:sz w:val="18"/>
          <w:szCs w:val="18"/>
          <w:color w:val="auto"/>
        </w:rPr>
        <w:t>You will have no claim or entitlement to compensation or damages arising from the forfeiture of the PSUs, the termination of the Plan, or the diminution in value of the PSUs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61" w:lineRule="exact"/>
        <w:rPr>
          <w:rFonts w:ascii="Arial" w:cs="Arial" w:eastAsia="Arial" w:hAnsi="Arial"/>
          <w:sz w:val="16"/>
          <w:szCs w:val="16"/>
          <w:color w:val="auto"/>
        </w:rPr>
      </w:pPr>
    </w:p>
    <w:p>
      <w:pPr>
        <w:ind w:left="332" w:right="240" w:hanging="332"/>
        <w:spacing w:after="0" w:line="260" w:lineRule="auto"/>
        <w:tabs>
          <w:tab w:leader="none" w:pos="332" w:val="left"/>
        </w:tabs>
        <w:numPr>
          <w:ilvl w:val="0"/>
          <w:numId w:val="13"/>
        </w:numPr>
        <w:rPr>
          <w:rFonts w:ascii="Arial" w:cs="Arial" w:eastAsia="Arial" w:hAnsi="Arial"/>
          <w:sz w:val="18"/>
          <w:szCs w:val="18"/>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190" w:lineRule="exact"/>
        <w:rPr>
          <w:rFonts w:ascii="Arial" w:cs="Arial" w:eastAsia="Arial" w:hAnsi="Arial"/>
          <w:sz w:val="18"/>
          <w:szCs w:val="18"/>
          <w:color w:val="auto"/>
        </w:rPr>
      </w:pPr>
    </w:p>
    <w:p>
      <w:pPr>
        <w:ind w:left="332" w:hanging="332"/>
        <w:spacing w:after="0" w:line="263" w:lineRule="auto"/>
        <w:tabs>
          <w:tab w:leader="none" w:pos="332" w:val="left"/>
        </w:tabs>
        <w:numPr>
          <w:ilvl w:val="0"/>
          <w:numId w:val="13"/>
        </w:numPr>
        <w:rPr>
          <w:rFonts w:ascii="Arial" w:cs="Arial" w:eastAsia="Arial" w:hAnsi="Arial"/>
          <w:sz w:val="17"/>
          <w:szCs w:val="17"/>
          <w:color w:val="auto"/>
        </w:rPr>
      </w:pPr>
      <w:r>
        <w:rPr>
          <w:rFonts w:ascii="Arial" w:cs="Arial" w:eastAsia="Arial" w:hAnsi="Arial"/>
          <w:sz w:val="19"/>
          <w:szCs w:val="19"/>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76" w:lineRule="exact"/>
        <w:rPr>
          <w:rFonts w:ascii="Arial" w:cs="Arial" w:eastAsia="Arial" w:hAnsi="Arial"/>
          <w:sz w:val="17"/>
          <w:szCs w:val="17"/>
          <w:color w:val="auto"/>
        </w:rPr>
      </w:pPr>
    </w:p>
    <w:p>
      <w:pPr>
        <w:ind w:left="332" w:right="160" w:hanging="332"/>
        <w:spacing w:after="0" w:line="246" w:lineRule="auto"/>
        <w:tabs>
          <w:tab w:leader="none" w:pos="332" w:val="left"/>
        </w:tabs>
        <w:numPr>
          <w:ilvl w:val="0"/>
          <w:numId w:val="13"/>
        </w:numPr>
        <w:rPr>
          <w:rFonts w:ascii="Arial" w:cs="Arial" w:eastAsia="Arial" w:hAnsi="Arial"/>
          <w:sz w:val="18"/>
          <w:szCs w:val="18"/>
          <w:color w:val="auto"/>
        </w:rPr>
      </w:pPr>
      <w:r>
        <w:rPr>
          <w:rFonts w:ascii="Arial" w:cs="Arial" w:eastAsia="Arial" w:hAnsi="Arial"/>
          <w:sz w:val="20"/>
          <w:szCs w:val="20"/>
          <w:color w:val="auto"/>
        </w:rPr>
        <w:t>This Plan and this Award are governed by the laws of the State of Delaware, without regard to the conflicts of law provisions thereof, and any cause or claim arising with respect to this Award or the subject matter contained in this Award Document will be exclusively resolved in the Courts of Delaware. The Company will make reasonable efforts so that the Award complies with all applicable federal and state securities laws;</w:t>
      </w:r>
    </w:p>
    <w:p>
      <w:pPr>
        <w:sectPr>
          <w:pgSz w:w="11900" w:h="16838" w:orient="portrait"/>
          <w:cols w:equalWidth="0" w:num="1">
            <w:col w:w="11412"/>
          </w:cols>
          <w:pgMar w:left="248" w:top="798" w:right="239" w:bottom="1440" w:gutter="0" w:footer="0" w:header="0"/>
        </w:sectPr>
      </w:pPr>
    </w:p>
    <w:bookmarkStart w:id="51" w:name="page52"/>
    <w:bookmarkEnd w:id="51"/>
    <w:p>
      <w:pPr>
        <w:ind w:left="340" w:right="380"/>
        <w:spacing w:after="0" w:line="289" w:lineRule="auto"/>
        <w:rPr>
          <w:sz w:val="20"/>
          <w:szCs w:val="20"/>
          <w:color w:val="auto"/>
        </w:rPr>
      </w:pPr>
      <w:r>
        <w:rPr>
          <w:rFonts w:ascii="Arial" w:cs="Arial" w:eastAsia="Arial" w:hAnsi="Arial"/>
          <w:sz w:val="20"/>
          <w:szCs w:val="20"/>
          <w:color w:val="auto"/>
        </w:rPr>
        <w:t>provided, however, notwithstanding any other provision of the Award Document, the PSUs shall not be settled if the settlement thereof would result in a violation of any such law.</w:t>
      </w:r>
    </w:p>
    <w:p>
      <w:pPr>
        <w:spacing w:after="0" w:line="162" w:lineRule="exact"/>
        <w:rPr>
          <w:sz w:val="20"/>
          <w:szCs w:val="20"/>
          <w:color w:val="auto"/>
        </w:rPr>
      </w:pPr>
    </w:p>
    <w:p>
      <w:pPr>
        <w:ind w:left="340" w:right="800" w:hanging="332"/>
        <w:spacing w:after="0" w:line="26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76"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To accept this offer you will need to follow the link at the bottom of this page. Your electronic acceptance confirms the following:</w:t>
      </w:r>
    </w:p>
    <w:p>
      <w:pPr>
        <w:spacing w:after="0" w:line="216"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40" w:hanging="332"/>
        <w:spacing w:after="0" w:line="26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20"/>
          <w:szCs w:val="20"/>
          <w:color w:val="auto"/>
        </w:rPr>
        <w:t>Accept the number of target PSUs (and any Shares) that are issued by the Company to me in accordance with the terms of the Plan and this Award Document; and</w:t>
      </w:r>
    </w:p>
    <w:p>
      <w:pPr>
        <w:spacing w:after="0" w:line="19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20"/>
          <w:szCs w:val="20"/>
          <w:color w:val="auto"/>
        </w:rPr>
        <w:t>Be bound by and abide by the terms of this Award Document and the Plan.</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If you do not accept this Award by x, this offer will lapse and be incapable of acceptance (unless otherwise agreed to by the Company).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x.</w:t>
      </w:r>
    </w:p>
    <w:p>
      <w:pPr>
        <w:sectPr>
          <w:pgSz w:w="11900" w:h="16838" w:orient="portrait"/>
          <w:cols w:equalWidth="0" w:num="1">
            <w:col w:w="11400"/>
          </w:cols>
          <w:pgMar w:left="240" w:top="595" w:right="25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499"/>
        <w:spacing w:after="0"/>
        <w:rPr>
          <w:sz w:val="20"/>
          <w:szCs w:val="20"/>
          <w:color w:val="auto"/>
        </w:rPr>
      </w:pPr>
      <w:r>
        <w:rPr>
          <w:rFonts w:ascii="Arial" w:cs="Arial" w:eastAsia="Arial" w:hAnsi="Arial"/>
          <w:sz w:val="22"/>
          <w:szCs w:val="22"/>
          <w:b w:val="1"/>
          <w:bCs w:val="1"/>
          <w:color w:val="auto"/>
        </w:rPr>
        <w:t>Intentionally Omitted</w:t>
      </w:r>
    </w:p>
    <w:p>
      <w:pPr>
        <w:sectPr>
          <w:pgSz w:w="11900" w:h="16838" w:orient="portrait"/>
          <w:cols w:equalWidth="0" w:num="1">
            <w:col w:w="10219"/>
          </w:cols>
          <w:pgMar w:left="240" w:top="585" w:right="1440" w:bottom="1440" w:gutter="0" w:footer="0" w:header="0"/>
        </w:sectPr>
      </w:pPr>
    </w:p>
    <w:bookmarkStart w:id="53" w:name="page54"/>
    <w:bookmarkEnd w:id="53"/>
    <w:p>
      <w:pPr>
        <w:ind w:left="10300"/>
        <w:spacing w:after="0"/>
        <w:rPr>
          <w:sz w:val="20"/>
          <w:szCs w:val="20"/>
          <w:color w:val="auto"/>
        </w:rPr>
      </w:pPr>
      <w:r>
        <w:rPr>
          <w:rFonts w:ascii="Arial" w:cs="Arial" w:eastAsia="Arial" w:hAnsi="Arial"/>
          <w:sz w:val="19"/>
          <w:szCs w:val="19"/>
          <w:b w:val="1"/>
          <w:bCs w:val="1"/>
          <w:color w:val="auto"/>
        </w:rPr>
        <w:t>Exhibit 10.6</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AGREEMENT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Indemnification Agreement, dated as of [.]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by and between General Motors Company,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_________________ (“</w:t>
      </w:r>
      <w:r>
        <w:rPr>
          <w:rFonts w:ascii="Arial" w:cs="Arial" w:eastAsia="Arial" w:hAnsi="Arial"/>
          <w:sz w:val="22"/>
          <w:szCs w:val="22"/>
          <w:b w:val="1"/>
          <w:bCs w:val="1"/>
          <w:i w:val="1"/>
          <w:iCs w:val="1"/>
          <w:color w:val="auto"/>
        </w:rPr>
        <w:t>Indemnitee</w:t>
      </w:r>
      <w:r>
        <w:rPr>
          <w:rFonts w:ascii="Arial" w:cs="Arial" w:eastAsia="Arial" w:hAnsi="Arial"/>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ind w:firstLine="656"/>
        <w:spacing w:after="0" w:line="253" w:lineRule="auto"/>
        <w:tabs>
          <w:tab w:leader="none" w:pos="1507"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light of the responsibilities vested in directors and officers of a Delaware corporation, it is critically important to the Company and its stockholders that the Company be able to attract and retain highly experienced and reputable persons to serve as directors and officers of the Company.</w:t>
      </w:r>
    </w:p>
    <w:p>
      <w:pPr>
        <w:spacing w:after="0" w:line="226" w:lineRule="exact"/>
        <w:rPr>
          <w:rFonts w:ascii="Arial" w:cs="Arial" w:eastAsia="Arial" w:hAnsi="Arial"/>
          <w:sz w:val="22"/>
          <w:szCs w:val="22"/>
          <w:color w:val="auto"/>
        </w:rPr>
      </w:pPr>
    </w:p>
    <w:p>
      <w:pPr>
        <w:jc w:val="both"/>
        <w:ind w:firstLine="656"/>
        <w:spacing w:after="0" w:line="312" w:lineRule="auto"/>
        <w:tabs>
          <w:tab w:leader="none" w:pos="1495"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recognition of the need for corporations to be able to induce capable and responsible persons to accept positions in corporate management, Delaware law authorizes (and in some instances requires) corporations to indemnify their directors and officers, and further authorizes corporations to purchase and maintain insurance for the benefit of their directors and officers.</w:t>
      </w:r>
    </w:p>
    <w:p>
      <w:pPr>
        <w:spacing w:after="0" w:line="174" w:lineRule="exact"/>
        <w:rPr>
          <w:rFonts w:ascii="Arial" w:cs="Arial" w:eastAsia="Arial" w:hAnsi="Arial"/>
          <w:sz w:val="19"/>
          <w:szCs w:val="19"/>
          <w:color w:val="auto"/>
        </w:rPr>
      </w:pPr>
    </w:p>
    <w:p>
      <w:pPr>
        <w:jc w:val="both"/>
        <w:ind w:firstLine="656"/>
        <w:spacing w:after="0" w:line="253" w:lineRule="auto"/>
        <w:tabs>
          <w:tab w:leader="none" w:pos="1495"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Delaware courts have recognized that indemnification by a corporation serves the dual policies of (1) allowing corporate officials to resist unjustified lawsuits, and (2) encouraging capable women and men to serve as corporate directors and officers.</w:t>
      </w:r>
    </w:p>
    <w:p>
      <w:pPr>
        <w:spacing w:after="0" w:line="226" w:lineRule="exact"/>
        <w:rPr>
          <w:rFonts w:ascii="Arial" w:cs="Arial" w:eastAsia="Arial" w:hAnsi="Arial"/>
          <w:sz w:val="22"/>
          <w:szCs w:val="22"/>
          <w:color w:val="auto"/>
        </w:rPr>
      </w:pPr>
    </w:p>
    <w:p>
      <w:pPr>
        <w:jc w:val="both"/>
        <w:ind w:firstLine="656"/>
        <w:spacing w:after="0" w:line="250" w:lineRule="auto"/>
        <w:tabs>
          <w:tab w:leader="none" w:pos="1507"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Indemnitee is, or will be, a director or officer of the Company and his or her willingness to serve in such capacity is predicated, in substantial part, upon the Company’s willingness to indemnify him or her in accordance with the principles reflected above, to the fullest extent permitted by the laws of the State of Delaware, and upon the other undertakings set forth in this Agreement.</w:t>
      </w:r>
    </w:p>
    <w:p>
      <w:pPr>
        <w:spacing w:after="0" w:line="228" w:lineRule="exact"/>
        <w:rPr>
          <w:rFonts w:ascii="Arial" w:cs="Arial" w:eastAsia="Arial" w:hAnsi="Arial"/>
          <w:sz w:val="22"/>
          <w:szCs w:val="22"/>
          <w:color w:val="auto"/>
        </w:rPr>
      </w:pPr>
    </w:p>
    <w:p>
      <w:pPr>
        <w:jc w:val="both"/>
        <w:ind w:firstLine="656"/>
        <w:spacing w:after="0" w:line="290" w:lineRule="auto"/>
        <w:tabs>
          <w:tab w:leader="none" w:pos="1482"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Therefore, in recognition of the need to provide Indemnitee with substantial protection against personal liability, in order to procure Indemnitee’s service or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Arial" w:cs="Arial" w:eastAsia="Arial" w:hAnsi="Arial"/>
          <w:sz w:val="19"/>
          <w:szCs w:val="19"/>
          <w:b w:val="1"/>
          <w:bCs w:val="1"/>
          <w:i w:val="1"/>
          <w:iCs w:val="1"/>
          <w:color w:val="auto"/>
        </w:rPr>
        <w:t>Constituent Documents</w:t>
      </w:r>
      <w:r>
        <w:rPr>
          <w:rFonts w:ascii="Arial" w:cs="Arial" w:eastAsia="Arial" w:hAnsi="Arial"/>
          <w:sz w:val="19"/>
          <w:szCs w:val="19"/>
          <w:color w:val="auto"/>
        </w:rPr>
        <w:t>”), any change in the composition of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or any change-in-control or business combination transaction relating to the Company), the Company wishes to provide in this Agreement for the indemnification of and the advancement of Expenses to Indemnitee as set forth in this Agreement and for the continued coverage of Indemnitee under the Company’s directors’ and officers’ liability insurance policies.</w:t>
      </w:r>
    </w:p>
    <w:p>
      <w:pPr>
        <w:spacing w:after="0" w:line="197" w:lineRule="exact"/>
        <w:rPr>
          <w:rFonts w:ascii="Arial" w:cs="Arial" w:eastAsia="Arial" w:hAnsi="Arial"/>
          <w:sz w:val="19"/>
          <w:szCs w:val="19"/>
          <w:color w:val="auto"/>
        </w:rPr>
      </w:pPr>
    </w:p>
    <w:p>
      <w:pPr>
        <w:jc w:val="both"/>
        <w:ind w:firstLine="656"/>
        <w:spacing w:after="0" w:line="263" w:lineRule="auto"/>
        <w:tabs>
          <w:tab w:leader="none" w:pos="1453" w:val="left"/>
        </w:tabs>
        <w:numPr>
          <w:ilvl w:val="0"/>
          <w:numId w:val="16"/>
        </w:numPr>
        <w:rPr>
          <w:rFonts w:ascii="Arial" w:cs="Arial" w:eastAsia="Arial" w:hAnsi="Arial"/>
          <w:sz w:val="21"/>
          <w:szCs w:val="21"/>
          <w:color w:val="auto"/>
        </w:rPr>
      </w:pPr>
      <w:r>
        <w:rPr>
          <w:rFonts w:ascii="Arial" w:cs="Arial" w:eastAsia="Arial" w:hAnsi="Arial"/>
          <w:sz w:val="21"/>
          <w:szCs w:val="21"/>
          <w:color w:val="auto"/>
        </w:rPr>
        <w:t>In light of the considerations referred to in the preceding recitals, it is the Company’s intention and desire that this Agreement not diminish or abrogate any other rights Indemnitee may have under the Constituent Documents, or the substantive laws of the State of Delaware, any other contract or otherwise (collectively, “</w:t>
      </w:r>
      <w:r>
        <w:rPr>
          <w:rFonts w:ascii="Arial" w:cs="Arial" w:eastAsia="Arial" w:hAnsi="Arial"/>
          <w:sz w:val="21"/>
          <w:szCs w:val="21"/>
          <w:b w:val="1"/>
          <w:bCs w:val="1"/>
          <w:i w:val="1"/>
          <w:iCs w:val="1"/>
          <w:color w:val="auto"/>
        </w:rPr>
        <w:t>Other Indemnity Provisions</w:t>
      </w:r>
      <w:r>
        <w:rPr>
          <w:rFonts w:ascii="Arial" w:cs="Arial" w:eastAsia="Arial" w:hAnsi="Arial"/>
          <w:sz w:val="21"/>
          <w:szCs w:val="21"/>
          <w:color w:val="auto"/>
        </w:rPr>
        <w:t>”) or the Company’s directors’ and officers’ liability insurance policies, and that the provisions of this Agreement be construed liberally, subject to their express terms, to maximize the protections to be provided to Indemnitee hereunder.</w:t>
      </w:r>
    </w:p>
    <w:p>
      <w:pPr>
        <w:spacing w:after="0" w:line="216"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hereby agree as follows:</w:t>
      </w:r>
    </w:p>
    <w:p>
      <w:pPr>
        <w:sectPr>
          <w:pgSz w:w="11900" w:h="16838" w:orient="portrait"/>
          <w:cols w:equalWidth="0" w:num="1">
            <w:col w:w="11420"/>
          </w:cols>
          <w:pgMar w:left="240" w:top="585" w:right="239" w:bottom="1440" w:gutter="0" w:footer="0" w:header="0"/>
        </w:sectPr>
      </w:pPr>
    </w:p>
    <w:bookmarkStart w:id="54" w:name="page55"/>
    <w:bookmarkEnd w:id="54"/>
    <w:p>
      <w:pPr>
        <w:ind w:left="-656" w:right="20" w:firstLine="656"/>
        <w:spacing w:after="0" w:line="269" w:lineRule="auto"/>
        <w:tabs>
          <w:tab w:leader="none" w:pos="802"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Certain Definitions. </w:t>
      </w:r>
      <w:r>
        <w:rPr>
          <w:rFonts w:ascii="Arial" w:cs="Arial" w:eastAsia="Arial" w:hAnsi="Arial"/>
          <w:sz w:val="22"/>
          <w:szCs w:val="22"/>
          <w:color w:val="auto"/>
        </w:rPr>
        <w:t>In addition to terms defined elsewhere herein, the following terms have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when used in this Agreement with initial capital letters:</w:t>
      </w:r>
    </w:p>
    <w:p>
      <w:pPr>
        <w:spacing w:after="0" w:line="209" w:lineRule="exact"/>
        <w:rPr>
          <w:sz w:val="20"/>
          <w:szCs w:val="20"/>
          <w:color w:val="auto"/>
        </w:rPr>
      </w:pPr>
    </w:p>
    <w:p>
      <w:pPr>
        <w:ind w:left="1544" w:hanging="895"/>
        <w:spacing w:after="0"/>
        <w:tabs>
          <w:tab w:leader="none" w:pos="15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occurrence of one or more of the following events:</w:t>
      </w:r>
    </w:p>
    <w:p>
      <w:pPr>
        <w:spacing w:after="0" w:line="260" w:lineRule="exact"/>
        <w:rPr>
          <w:sz w:val="20"/>
          <w:szCs w:val="20"/>
          <w:color w:val="auto"/>
        </w:rPr>
      </w:pPr>
    </w:p>
    <w:p>
      <w:pPr>
        <w:jc w:val="both"/>
        <w:ind w:left="1304" w:hanging="655"/>
        <w:spacing w:after="0" w:line="288" w:lineRule="auto"/>
        <w:tabs>
          <w:tab w:leader="none" w:pos="1304"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Any Person other than an Excluded Person, directly or indirectly, becomes the “beneficial owner” (within the meaning of Rule 13d-3 under the Exchange Act) of securities of the Company constituting more than 40 percent of the total combined voting power of the Company’s Voting Securities outstanding;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Person becomes the beneficial owner of 40 percent of the total combined voting power of the Company’s outstanding Voting Securities as a result of a sale of such securities to such Person by the Company or a repurchase of securities by the Company, such sale or purchase by the Company shall not result in a Change in Control;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such Person subsequently acquires beneficial ownership of additional Voting Securities of the Company (other than from the Company), such subsequent acquisition shall result in a Change in Control if such Person’s beneficial ownership of the Company’s Voting Securities immediately following such acquisition exceeds 40 percent of the total combined voting power of the Company’s outstanding Voting Securities;</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left="1304" w:hanging="655"/>
        <w:spacing w:after="0" w:line="297" w:lineRule="auto"/>
        <w:tabs>
          <w:tab w:leader="none" w:pos="1304" w:val="left"/>
        </w:tabs>
        <w:numPr>
          <w:ilvl w:val="0"/>
          <w:numId w:val="19"/>
        </w:numPr>
        <w:rPr>
          <w:rFonts w:ascii="Arial" w:cs="Arial" w:eastAsia="Arial" w:hAnsi="Arial"/>
          <w:sz w:val="19"/>
          <w:szCs w:val="19"/>
          <w:color w:val="auto"/>
        </w:rPr>
      </w:pPr>
      <w:r>
        <w:rPr>
          <w:rFonts w:ascii="Arial" w:cs="Arial" w:eastAsia="Arial" w:hAnsi="Arial"/>
          <w:sz w:val="19"/>
          <w:szCs w:val="19"/>
          <w:color w:val="auto"/>
        </w:rPr>
        <w:t>at any time during a period of 24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(the “</w:t>
      </w:r>
      <w:r>
        <w:rPr>
          <w:rFonts w:ascii="Arial" w:cs="Arial" w:eastAsia="Arial" w:hAnsi="Arial"/>
          <w:sz w:val="19"/>
          <w:szCs w:val="19"/>
          <w:b w:val="1"/>
          <w:bCs w:val="1"/>
          <w:i w:val="1"/>
          <w:iCs w:val="1"/>
          <w:color w:val="auto"/>
        </w:rPr>
        <w:t>Incumbent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cease for any reason to constitute a majority of members of the Board;</w:t>
      </w:r>
    </w:p>
    <w:p>
      <w:pPr>
        <w:spacing w:after="0" w:line="187" w:lineRule="exact"/>
        <w:rPr>
          <w:rFonts w:ascii="Arial" w:cs="Arial" w:eastAsia="Arial" w:hAnsi="Arial"/>
          <w:sz w:val="19"/>
          <w:szCs w:val="19"/>
          <w:color w:val="auto"/>
        </w:rPr>
      </w:pPr>
    </w:p>
    <w:p>
      <w:pPr>
        <w:jc w:val="both"/>
        <w:ind w:left="1304" w:hanging="655"/>
        <w:spacing w:after="0" w:line="290" w:lineRule="auto"/>
        <w:tabs>
          <w:tab w:leader="none" w:pos="1304"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consummation of a reorganization, merger or consolidation of the Company or any of its Subsidiaries with any other corporation or entity, in each case, unless, immediately following such reorganization, merger or consolidation, more than 60 percent of the combined voting power and total fair market value of then outstanding 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197" w:lineRule="exact"/>
        <w:rPr>
          <w:rFonts w:ascii="Arial" w:cs="Arial" w:eastAsia="Arial" w:hAnsi="Arial"/>
          <w:sz w:val="19"/>
          <w:szCs w:val="19"/>
          <w:color w:val="auto"/>
        </w:rPr>
      </w:pPr>
    </w:p>
    <w:p>
      <w:pPr>
        <w:jc w:val="both"/>
        <w:ind w:left="1304" w:hanging="655"/>
        <w:spacing w:after="0" w:line="248" w:lineRule="auto"/>
        <w:tabs>
          <w:tab w:leader="none" w:pos="1304"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consummation of any sale, lease, exchange or other transfer to any Person (other than a Subsidiary or affiliate of the Company) of assets of the Company and/or any of its Subsidiaries, in one transaction or a series of related transactions within a 12-month period, having an aggregate fair market value of more than 50 percent of the fair market value of the Company and its Subsidiaries immediately prior to such transaction(s).</w:t>
      </w:r>
    </w:p>
    <w:p>
      <w:pPr>
        <w:spacing w:after="0" w:line="232" w:lineRule="exact"/>
        <w:rPr>
          <w:rFonts w:ascii="Arial" w:cs="Arial" w:eastAsia="Arial" w:hAnsi="Arial"/>
          <w:sz w:val="22"/>
          <w:szCs w:val="22"/>
          <w:color w:val="auto"/>
        </w:rPr>
      </w:pPr>
    </w:p>
    <w:p>
      <w:pPr>
        <w:jc w:val="both"/>
        <w:ind w:left="1304"/>
        <w:spacing w:after="0" w:line="253" w:lineRule="auto"/>
        <w:rPr>
          <w:rFonts w:ascii="Arial" w:cs="Arial" w:eastAsia="Arial" w:hAnsi="Arial"/>
          <w:sz w:val="22"/>
          <w:szCs w:val="22"/>
          <w:color w:val="auto"/>
        </w:rPr>
      </w:pPr>
      <w:r>
        <w:rPr>
          <w:rFonts w:ascii="Arial" w:cs="Arial" w:eastAsia="Arial" w:hAnsi="Arial"/>
          <w:sz w:val="22"/>
          <w:szCs w:val="22"/>
          <w:color w:val="auto"/>
        </w:rPr>
        <w:t>Notwithstanding the foregoing in this Section 1(a), in no event shall a Change in Control be deemed to have occurred (A) as a result of the formation of a Holding Company, (B) if the Executive is part of a “group” within the meaning of Section 13</w:t>
      </w:r>
    </w:p>
    <w:p>
      <w:pPr>
        <w:sectPr>
          <w:pgSz w:w="11900" w:h="16838" w:orient="portrait"/>
          <w:cols w:equalWidth="0" w:num="1">
            <w:col w:w="10764"/>
          </w:cols>
          <w:pgMar w:left="896" w:top="585" w:right="239" w:bottom="1440" w:gutter="0" w:footer="0" w:header="0"/>
        </w:sectPr>
      </w:pPr>
    </w:p>
    <w:bookmarkStart w:id="55" w:name="page56"/>
    <w:bookmarkEnd w:id="55"/>
    <w:p>
      <w:pPr>
        <w:jc w:val="both"/>
        <w:ind w:left="760"/>
        <w:spacing w:after="0" w:line="250" w:lineRule="auto"/>
        <w:rPr>
          <w:sz w:val="20"/>
          <w:szCs w:val="20"/>
          <w:color w:val="auto"/>
        </w:rPr>
      </w:pPr>
      <w:r>
        <w:rPr>
          <w:rFonts w:ascii="Arial" w:cs="Arial" w:eastAsia="Arial" w:hAnsi="Arial"/>
          <w:sz w:val="22"/>
          <w:szCs w:val="22"/>
          <w:color w:val="auto"/>
        </w:rPr>
        <w:t>(d)(3)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for purposes of Section 409A of the Code.</w:t>
      </w:r>
    </w:p>
    <w:p>
      <w:pPr>
        <w:spacing w:after="0" w:line="188" w:lineRule="exact"/>
        <w:rPr>
          <w:sz w:val="20"/>
          <w:szCs w:val="20"/>
          <w:color w:val="auto"/>
        </w:rPr>
      </w:pPr>
    </w:p>
    <w:p>
      <w:pPr>
        <w:jc w:val="both"/>
        <w:ind w:left="-1200" w:firstLine="1305"/>
        <w:spacing w:after="0" w:line="261" w:lineRule="auto"/>
        <w:tabs>
          <w:tab w:leader="none" w:pos="997" w:val="left"/>
        </w:tabs>
        <w:numPr>
          <w:ilvl w:val="0"/>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Claim</w:t>
      </w:r>
      <w:r>
        <w:rPr>
          <w:rFonts w:ascii="Arial" w:cs="Arial" w:eastAsia="Arial" w:hAnsi="Arial"/>
          <w:sz w:val="21"/>
          <w:szCs w:val="21"/>
          <w:color w:val="auto"/>
        </w:rPr>
        <w:t>” means (i) any threatened, asserted, pending or completed claim, demand, action, suit or proceeding, whether civil, criminal, administrative, arbitrative, investigative or other, and whether made pursuant to federal, state or other law; and (ii) any inquiry or investigation, whether made, instituted or conducted, by the Company or any other Person, including without limitation any federal, state or other governmental entity, that Indemnitee determines might lead to the institution of any such claim, demand, action, suit or proceeding. For the avoidance of doubt, the Company intends indemnity to be provided hereunder in respect of acts or failure to act prior to, on or after the date hereof.</w:t>
      </w:r>
    </w:p>
    <w:p>
      <w:pPr>
        <w:spacing w:after="0" w:line="220" w:lineRule="exact"/>
        <w:rPr>
          <w:rFonts w:ascii="Arial" w:cs="Arial" w:eastAsia="Arial" w:hAnsi="Arial"/>
          <w:sz w:val="21"/>
          <w:szCs w:val="21"/>
          <w:color w:val="auto"/>
        </w:rPr>
      </w:pPr>
    </w:p>
    <w:p>
      <w:pPr>
        <w:jc w:val="both"/>
        <w:ind w:left="-1200" w:firstLine="1305"/>
        <w:spacing w:after="0" w:line="292" w:lineRule="auto"/>
        <w:tabs>
          <w:tab w:leader="none" w:pos="985" w:val="left"/>
        </w:tabs>
        <w:numPr>
          <w:ilvl w:val="0"/>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Controlled Affiliate</w:t>
      </w:r>
      <w:r>
        <w:rPr>
          <w:rFonts w:ascii="Arial" w:cs="Arial" w:eastAsia="Arial" w:hAnsi="Arial"/>
          <w:sz w:val="19"/>
          <w:szCs w:val="19"/>
          <w:color w:val="auto"/>
        </w:rPr>
        <w:t>” means any corporation, limited liability company, partnership, joint venture, trust or other entity or enterprise, whether or not for profit, that is directly or indirectly controlled by the Company. For purposes of this definition, “control” means the possession, directly or indirectly, of the power to direct or cause the direction of the management or policies of an entity or enterprise, whether through the ownership of voting securities, through other voting rights, by contract or otherwise; provided that direct or indirect beneficial ownership of capital stock or other interests in an entity or enterprise entitling the holder to cast 15% or more of the total number of votes generally entitled to be cast in the election of directors (or persons performing comparable functions) of such entity or enterprise shall be deemed to constitute control for purposes of this definition.</w:t>
      </w:r>
    </w:p>
    <w:p>
      <w:pPr>
        <w:spacing w:after="0" w:line="192" w:lineRule="exact"/>
        <w:rPr>
          <w:rFonts w:ascii="Arial" w:cs="Arial" w:eastAsia="Arial" w:hAnsi="Arial"/>
          <w:sz w:val="19"/>
          <w:szCs w:val="19"/>
          <w:color w:val="auto"/>
        </w:rPr>
      </w:pPr>
    </w:p>
    <w:p>
      <w:pPr>
        <w:ind w:left="-1200" w:firstLine="1305"/>
        <w:spacing w:after="0" w:line="263" w:lineRule="auto"/>
        <w:tabs>
          <w:tab w:leader="none" w:pos="997"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Disinterested Director</w:t>
      </w:r>
      <w:r>
        <w:rPr>
          <w:rFonts w:ascii="Arial" w:cs="Arial" w:eastAsia="Arial" w:hAnsi="Arial"/>
          <w:sz w:val="22"/>
          <w:szCs w:val="22"/>
          <w:color w:val="auto"/>
        </w:rPr>
        <w:t>” means a director of the Company who is not and was not a party to the Claim in respect of which indemnification is sought by Indemnitee.</w:t>
      </w:r>
    </w:p>
    <w:p>
      <w:pPr>
        <w:spacing w:after="0" w:line="215" w:lineRule="exact"/>
        <w:rPr>
          <w:rFonts w:ascii="Arial" w:cs="Arial" w:eastAsia="Arial" w:hAnsi="Arial"/>
          <w:sz w:val="22"/>
          <w:szCs w:val="22"/>
          <w:color w:val="auto"/>
        </w:rPr>
      </w:pPr>
    </w:p>
    <w:p>
      <w:pPr>
        <w:jc w:val="both"/>
        <w:ind w:left="-1200" w:firstLine="1305"/>
        <w:spacing w:after="0" w:line="253" w:lineRule="auto"/>
        <w:tabs>
          <w:tab w:leader="none" w:pos="985"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from time to time, and the rules, regulations and guidance thereunder. Any reference to a provision in the Exchange Act shall include any successor provision thereto.</w:t>
      </w:r>
    </w:p>
    <w:p>
      <w:pPr>
        <w:spacing w:after="0" w:line="226" w:lineRule="exact"/>
        <w:rPr>
          <w:rFonts w:ascii="Arial" w:cs="Arial" w:eastAsia="Arial" w:hAnsi="Arial"/>
          <w:sz w:val="22"/>
          <w:szCs w:val="22"/>
          <w:color w:val="auto"/>
        </w:rPr>
      </w:pPr>
    </w:p>
    <w:p>
      <w:pPr>
        <w:jc w:val="both"/>
        <w:ind w:left="-1200" w:firstLine="1305"/>
        <w:spacing w:after="0" w:line="250" w:lineRule="auto"/>
        <w:tabs>
          <w:tab w:leader="none" w:pos="961"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Excluded Person</w:t>
      </w:r>
      <w:r>
        <w:rPr>
          <w:rFonts w:ascii="Arial" w:cs="Arial" w:eastAsia="Arial" w:hAnsi="Arial"/>
          <w:sz w:val="22"/>
          <w:szCs w:val="22"/>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plan described in clause (iv).</w:t>
      </w:r>
    </w:p>
    <w:p>
      <w:pPr>
        <w:spacing w:after="0" w:line="228" w:lineRule="exact"/>
        <w:rPr>
          <w:rFonts w:ascii="Arial" w:cs="Arial" w:eastAsia="Arial" w:hAnsi="Arial"/>
          <w:sz w:val="22"/>
          <w:szCs w:val="22"/>
          <w:color w:val="auto"/>
        </w:rPr>
      </w:pPr>
    </w:p>
    <w:p>
      <w:pPr>
        <w:jc w:val="both"/>
        <w:ind w:left="-1200" w:firstLine="1305"/>
        <w:spacing w:after="0" w:line="260" w:lineRule="auto"/>
        <w:tabs>
          <w:tab w:leader="none" w:pos="997" w:val="left"/>
        </w:tabs>
        <w:numPr>
          <w:ilvl w:val="0"/>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Expenses</w:t>
      </w:r>
      <w:r>
        <w:rPr>
          <w:rFonts w:ascii="Arial" w:cs="Arial" w:eastAsia="Arial" w:hAnsi="Arial"/>
          <w:sz w:val="21"/>
          <w:szCs w:val="21"/>
          <w:color w:val="auto"/>
        </w:rPr>
        <w:t>” means attorneys’ and experts’ fees and expenses and all other costs and expenses (including but not limited to court costs, transcript costs, costs of travel, duplicating and imaging costs, printing and binding costs, telephone charges, facsimile transmission charges, computerized legal research, postage and courier costs, fees and expenses of third-party vendors, and the premium, security for, and other costs associated with any bond (including supersedeas or appeal bonds, injunction bonds, costs bonds, appraisal bonds or their equivalents)) paid or payable in connection with investigating, defending, being a witness in or participating in (including on appeal), or preparing to investigate, defend, be a witness in or participate in (including on appeal), any Claim.</w:t>
      </w:r>
    </w:p>
    <w:p>
      <w:pPr>
        <w:spacing w:after="0" w:line="221" w:lineRule="exact"/>
        <w:rPr>
          <w:rFonts w:ascii="Arial" w:cs="Arial" w:eastAsia="Arial" w:hAnsi="Arial"/>
          <w:sz w:val="21"/>
          <w:szCs w:val="21"/>
          <w:color w:val="auto"/>
        </w:rPr>
      </w:pPr>
    </w:p>
    <w:p>
      <w:pPr>
        <w:jc w:val="both"/>
        <w:ind w:left="-1200" w:firstLine="1305"/>
        <w:spacing w:after="0" w:line="250" w:lineRule="auto"/>
        <w:tabs>
          <w:tab w:leader="none" w:pos="997"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Holding Company</w:t>
      </w:r>
      <w:r>
        <w:rPr>
          <w:rFonts w:ascii="Arial" w:cs="Arial" w:eastAsia="Arial" w:hAnsi="Arial"/>
          <w:sz w:val="22"/>
          <w:szCs w:val="22"/>
          <w:color w:val="auto"/>
        </w:rPr>
        <w:t>” means an entity that becomes a holding company for the Company or its businesses as part of any reorganization, merger, consolidation or other transaction, provided that the outstanding shares of common stock of such entity and the combined voting power of the then outstanding Voting Securities of such entity are, immediately after such reorganization, merger, consolidation</w:t>
      </w:r>
    </w:p>
    <w:p>
      <w:pPr>
        <w:sectPr>
          <w:pgSz w:w="11900" w:h="16838" w:orient="portrait"/>
          <w:cols w:equalWidth="0" w:num="1">
            <w:col w:w="10220"/>
          </w:cols>
          <w:pgMar w:left="1440" w:top="591" w:right="239" w:bottom="1440" w:gutter="0" w:footer="0" w:header="0"/>
        </w:sectPr>
      </w:pPr>
    </w:p>
    <w:bookmarkStart w:id="56" w:name="page57"/>
    <w:bookmarkEnd w:id="56"/>
    <w:p>
      <w:pPr>
        <w:jc w:val="both"/>
        <w:spacing w:after="0" w:line="302" w:lineRule="auto"/>
        <w:rPr>
          <w:sz w:val="20"/>
          <w:szCs w:val="20"/>
          <w:color w:val="auto"/>
        </w:rPr>
      </w:pPr>
      <w:r>
        <w:rPr>
          <w:rFonts w:ascii="Arial" w:cs="Arial" w:eastAsia="Arial" w:hAnsi="Arial"/>
          <w:sz w:val="19"/>
          <w:szCs w:val="19"/>
          <w:color w:val="auto"/>
        </w:rPr>
        <w:t>or other transaction, beneficially owned, directly 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pacing w:after="0" w:line="183" w:lineRule="exact"/>
        <w:rPr>
          <w:sz w:val="20"/>
          <w:szCs w:val="20"/>
          <w:color w:val="auto"/>
        </w:rPr>
      </w:pPr>
    </w:p>
    <w:p>
      <w:pPr>
        <w:jc w:val="both"/>
        <w:ind w:firstLine="1305"/>
        <w:spacing w:after="0" w:line="285" w:lineRule="auto"/>
        <w:tabs>
          <w:tab w:leader="none" w:pos="2149"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Indemnifiable Claim</w:t>
      </w:r>
      <w:r>
        <w:rPr>
          <w:rFonts w:ascii="Arial" w:cs="Arial" w:eastAsia="Arial" w:hAnsi="Arial"/>
          <w:sz w:val="19"/>
          <w:szCs w:val="19"/>
          <w:color w:val="auto"/>
        </w:rPr>
        <w:t>” means any Claim based upon, arising out of or resulting from (i) any actual, alleged or suspected act or failure to act by Indemnitee in his or her capacity as a director or officer of the Company or, at the request of the Company, as a director, officer, employee, member, manager, fiduciary, trustee or agent of any other corporation, limited liability company, partnership, joint venture, trust or other organization or enterprise, whether or not for profit, as to which Indemnitee is or was serving at the request of the Company, (ii) any actual, alleged or suspected act or failure to act by Indemnitee in respect of any business, transaction, communication, filing, disclosure or other activity as a director or officer of the Company or, at the request of the Company, as a director, officer, employee, member, manager, trustee, fiduciary or agent of any other entity or enterprise referred to in clause (i) of this sentence, or (iii) Indemnitee’s status as a current or former director or officer of the Company or, at the request of the Company, as a current or former director, officer, employee, member, manager, trustee, fiduciary or agent of any other entity or enterprise referred to in clause (i) of this sentence or any actual, alleged or suspected act or failure to act by Indemnitee in connection with any obligation or restriction imposed upon Indemnitee by reason of such status. In addition to any service at the actual request of the Company, for purposes of this Agreement, Indemnitee shall be deemed to be serving or to have served as a director or officer of the Company or, at the request of the Company, as a director, officer, employee, member, manager, agent, trustee or other fiduciary of another entity or enterprise if Indemnitee is or was serving as a director, officer, employee, member, manager, agent, trustee or other fiduciary of such entity or enterprise and (A) such entity or enterprise is or at the time of such service was a Controlled Affiliate, (B) such entity or enterprise is or at the time of such service was an employee benefit plan (or related trust) sponsored or maintained by the Company or a Controlled Affiliate, or (C) the Company or a Controlled Affiliate (by action of the Board, any committee thereof or the Company’s Chief Executive Officer (other than as the Chief Executive Officer himself or herself)) caused or authorized Indemnitee to be nominated, elected, appointed, designated, employed, engaged or selected to serve in such capacity.</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firstLine="1305"/>
        <w:spacing w:after="0" w:line="294" w:lineRule="auto"/>
        <w:tabs>
          <w:tab w:leader="none" w:pos="2149"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Indemnifiable Losses</w:t>
      </w:r>
      <w:r>
        <w:rPr>
          <w:rFonts w:ascii="Arial" w:cs="Arial" w:eastAsia="Arial" w:hAnsi="Arial"/>
          <w:sz w:val="19"/>
          <w:szCs w:val="19"/>
          <w:color w:val="auto"/>
        </w:rPr>
        <w:t>” means any and all Losses relating to, arising out of or resulting from any Indemnifiable Claim; provided, however, that Indemnifiable Losses shall not include Losses incurred by Indemnitee in respect of any Indemnifiable Claim (or any matter or issue therein) as to which Indemnitee shall have been adjudged liable to the Company, unless and only to the extent that the Delaware Court of Chancery or the court in which such Indemnifiable Claim was brought shall determine upon application that, despite the adjudication of liability but in view of all the circumstances of the case, Indemnitee is fairly and reasonably entitled to indemnification for such Expenses as the court shall deem proper.</w:t>
      </w:r>
    </w:p>
    <w:p>
      <w:pPr>
        <w:spacing w:after="0" w:line="190" w:lineRule="exact"/>
        <w:rPr>
          <w:rFonts w:ascii="Arial" w:cs="Arial" w:eastAsia="Arial" w:hAnsi="Arial"/>
          <w:sz w:val="19"/>
          <w:szCs w:val="19"/>
          <w:color w:val="auto"/>
        </w:rPr>
      </w:pPr>
    </w:p>
    <w:p>
      <w:pPr>
        <w:jc w:val="both"/>
        <w:ind w:firstLine="1305"/>
        <w:spacing w:after="0" w:line="260" w:lineRule="auto"/>
        <w:tabs>
          <w:tab w:leader="none" w:pos="2197" w:val="left"/>
        </w:tabs>
        <w:numPr>
          <w:ilvl w:val="0"/>
          <w:numId w:val="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Indemnification Eligibility Requirement</w:t>
      </w:r>
      <w:r>
        <w:rPr>
          <w:rFonts w:ascii="Arial" w:cs="Arial" w:eastAsia="Arial" w:hAnsi="Arial"/>
          <w:sz w:val="21"/>
          <w:szCs w:val="21"/>
          <w:color w:val="auto"/>
        </w:rPr>
        <w:t>” means that, in accordance with Section 145(a) or (b) of the Delaware General Corporation Law, the Indemnitee shall not be eligible for indemnification against Indemnifiable Losses relating to, arising out of or resulting from an Indemnifiable Claim, unless (i) the Indemnitee has acted in good faith and with a reasonable belief that his or her action was in or not opposed to the best interests of the Company and, with respect to any criminal action or proceeding, that Indemnitee had no reasonable cause to believe that his or her conduct was unlawful, or (ii) the Indemnitee meets any other applicable standard of conduct that may hereafter be substituted under Section 145(a) or (b) of the Delaware General Corporation Law or any successor to such provision(s).</w:t>
      </w:r>
    </w:p>
    <w:p>
      <w:pPr>
        <w:sectPr>
          <w:pgSz w:w="11900" w:h="16838" w:orient="portrait"/>
          <w:cols w:equalWidth="0" w:num="1">
            <w:col w:w="11420"/>
          </w:cols>
          <w:pgMar w:left="240" w:top="591" w:right="239" w:bottom="1440" w:gutter="0" w:footer="0" w:header="0"/>
        </w:sectPr>
      </w:pPr>
    </w:p>
    <w:bookmarkStart w:id="57" w:name="page58"/>
    <w:bookmarkEnd w:id="57"/>
    <w:p>
      <w:pPr>
        <w:jc w:val="both"/>
        <w:ind w:left="-656" w:firstLine="1305"/>
        <w:spacing w:after="0" w:line="290" w:lineRule="auto"/>
        <w:tabs>
          <w:tab w:leader="none" w:pos="1492" w:val="left"/>
        </w:tabs>
        <w:numPr>
          <w:ilvl w:val="1"/>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Independent Counsel</w:t>
      </w:r>
      <w:r>
        <w:rPr>
          <w:rFonts w:ascii="Arial" w:cs="Arial" w:eastAsia="Arial" w:hAnsi="Arial"/>
          <w:sz w:val="19"/>
          <w:szCs w:val="19"/>
          <w:color w:val="auto"/>
        </w:rPr>
        <w:t>” means a law firm, or a member of a law firm, that is experienced in matters of corporation law and neither presently is, nor in the past five years has been, retained to represent: (i) the Company (or any subsidiary of the Company) or Indemnitee in any matter material to either such party (other than with respect to matters concerning the Indemnitee under this Agreement, or of other indemnitees under similar indemnification agreements) or (ii) any other named (or, as to a threatened matter, reasonably likely to be named) party to the Indemnifiable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97" w:lineRule="exact"/>
        <w:rPr>
          <w:rFonts w:ascii="Arial" w:cs="Arial" w:eastAsia="Arial" w:hAnsi="Arial"/>
          <w:sz w:val="19"/>
          <w:szCs w:val="19"/>
          <w:color w:val="auto"/>
        </w:rPr>
      </w:pPr>
    </w:p>
    <w:p>
      <w:pPr>
        <w:jc w:val="both"/>
        <w:ind w:left="-656" w:firstLine="1305"/>
        <w:spacing w:after="0" w:line="253" w:lineRule="auto"/>
        <w:tabs>
          <w:tab w:leader="none" w:pos="16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Losses</w:t>
      </w:r>
      <w:r>
        <w:rPr>
          <w:rFonts w:ascii="Arial" w:cs="Arial" w:eastAsia="Arial" w:hAnsi="Arial"/>
          <w:sz w:val="22"/>
          <w:szCs w:val="22"/>
          <w:color w:val="auto"/>
        </w:rPr>
        <w:t>” means any and all Expenses, damages, losses, liabilities, judgments, fines, penalties (whether civil, criminal or other) and amounts paid or payable in settlement, including without limitation all interest, assessments and other charges paid or payable in connection with or in respect of any of the foregoing.</w:t>
      </w:r>
    </w:p>
    <w:p>
      <w:pPr>
        <w:spacing w:after="0" w:line="226" w:lineRule="exact"/>
        <w:rPr>
          <w:rFonts w:ascii="Arial" w:cs="Arial" w:eastAsia="Arial" w:hAnsi="Arial"/>
          <w:sz w:val="22"/>
          <w:szCs w:val="22"/>
          <w:color w:val="auto"/>
        </w:rPr>
      </w:pPr>
    </w:p>
    <w:p>
      <w:pPr>
        <w:ind w:left="-656" w:firstLine="1305"/>
        <w:spacing w:after="0" w:line="263" w:lineRule="auto"/>
        <w:tabs>
          <w:tab w:leader="none" w:pos="1541" w:val="left"/>
        </w:tabs>
        <w:numPr>
          <w:ilvl w:val="1"/>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or entity, including any two or more Persons deemed to be one “person” as used in Sections 13(d)(3) and 14(d)(2) of the Exchange Act.</w:t>
      </w:r>
    </w:p>
    <w:p>
      <w:pPr>
        <w:spacing w:after="0" w:line="215" w:lineRule="exact"/>
        <w:rPr>
          <w:rFonts w:ascii="Arial" w:cs="Arial" w:eastAsia="Arial" w:hAnsi="Arial"/>
          <w:sz w:val="22"/>
          <w:szCs w:val="22"/>
          <w:color w:val="auto"/>
        </w:rPr>
      </w:pPr>
    </w:p>
    <w:p>
      <w:pPr>
        <w:jc w:val="both"/>
        <w:ind w:left="-656" w:firstLine="1305"/>
        <w:spacing w:after="0" w:line="253" w:lineRule="auto"/>
        <w:tabs>
          <w:tab w:leader="none" w:pos="1541" w:val="left"/>
        </w:tabs>
        <w:numPr>
          <w:ilvl w:val="1"/>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 entity of which the Company directly or indirectly holds all or a majority of the value of the outstanding equity interests of such entity or a majority of the voting power with respect to the Voting Securities of such entity.</w:t>
      </w:r>
    </w:p>
    <w:p>
      <w:pPr>
        <w:spacing w:after="0" w:line="226" w:lineRule="exact"/>
        <w:rPr>
          <w:rFonts w:ascii="Arial" w:cs="Arial" w:eastAsia="Arial" w:hAnsi="Arial"/>
          <w:sz w:val="22"/>
          <w:szCs w:val="22"/>
          <w:color w:val="auto"/>
        </w:rPr>
      </w:pPr>
    </w:p>
    <w:p>
      <w:pPr>
        <w:jc w:val="both"/>
        <w:ind w:left="-656" w:firstLine="1305"/>
        <w:spacing w:after="0" w:line="253" w:lineRule="auto"/>
        <w:tabs>
          <w:tab w:leader="none" w:pos="1541" w:val="left"/>
        </w:tabs>
        <w:numPr>
          <w:ilvl w:val="1"/>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Voting Securities</w:t>
      </w:r>
      <w:r>
        <w:rPr>
          <w:rFonts w:ascii="Arial" w:cs="Arial" w:eastAsia="Arial" w:hAnsi="Arial"/>
          <w:sz w:val="22"/>
          <w:szCs w:val="22"/>
          <w:color w:val="auto"/>
        </w:rPr>
        <w:t>”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220" w:lineRule="exact"/>
        <w:rPr>
          <w:rFonts w:ascii="Arial" w:cs="Arial" w:eastAsia="Arial" w:hAnsi="Arial"/>
          <w:sz w:val="22"/>
          <w:szCs w:val="22"/>
          <w:color w:val="auto"/>
        </w:rPr>
      </w:pPr>
    </w:p>
    <w:p>
      <w:pPr>
        <w:jc w:val="both"/>
        <w:ind w:left="-656" w:firstLine="656"/>
        <w:spacing w:after="0" w:line="285" w:lineRule="auto"/>
        <w:tabs>
          <w:tab w:leader="none" w:pos="802"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 xml:space="preserve">Indemnification Obligation. </w:t>
      </w:r>
      <w:r>
        <w:rPr>
          <w:rFonts w:ascii="Arial" w:cs="Arial" w:eastAsia="Arial" w:hAnsi="Arial"/>
          <w:sz w:val="19"/>
          <w:szCs w:val="19"/>
          <w:color w:val="auto"/>
        </w:rPr>
        <w:t>Subject to Section 7 and to the proviso in this Section,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indemnify, defend and hold harmless Indemnitee, to the fullest extent permitted or required by the laws of the State of Delaware in effect on the date hereof or as such laws may from time to time hereafter be amended to increase the scope of such permitted indemnification, against any and all Indemnifiable Claims and Indemnifiable Losses; provided, however, that, (i) except as provided in Sections 4 and 21 or in connection with such Indemnitee’s rights with respect to a Change in Control, Indemnitee shall not be entitled to indemnification pursuant to this Agreement in connection with any Claim initiated by Indemnitee against the Company or any director or officer of the Company unless the Company has joined in or authorized the proceeding in connection with such Claim; and (ii) Indemnitee shall not be entitled to indemnification pursuant to this Agreement on any Claim determined by final judgment or other final adjudication to be a violation of federal or state securities laws if such indemnification is by final judgment or other final adjudication determined to be not permitted under then-applicable law; and, provided further, that the Company shall not be obligated to (x) indemnify Indemnitee for the disgorgement of profits arising from the purchase or sale of securities of the Company in violation of Section 16(b) of the Exchange Act, and (y) indemnify or advance funds to Indemnitee for Indemnitee’s reimbursement to the Company of any bonus or incentive-based or equity-based compensation previously received by Indemnitee or payment of any profits realized by Indemnitee from the sale of securities of the Company, as required in each case under the Exchange Act (including but not limited to any such reimbursement under Section 304 of the Sarbanes-Oxley Act of 2002 or Section 954 of the Dodd-Frank Wall Street Reform and Consumer Protection Act in connection with an accounting restatement of the Company or the payment of the Company of profits arising from the purchase or sale by Indemnitee of securities in violation of Section 306 of the Sarbanes-Oxley Act). The Company acknowledges that the foregoing obligation may be substantially broader than that now</w:t>
      </w:r>
    </w:p>
    <w:p>
      <w:pPr>
        <w:sectPr>
          <w:pgSz w:w="11900" w:h="16838" w:orient="portrait"/>
          <w:cols w:equalWidth="0" w:num="1">
            <w:col w:w="10764"/>
          </w:cols>
          <w:pgMar w:left="896" w:top="591" w:right="239" w:bottom="1440" w:gutter="0" w:footer="0" w:header="0"/>
        </w:sectPr>
      </w:pPr>
    </w:p>
    <w:bookmarkStart w:id="58" w:name="page59"/>
    <w:bookmarkEnd w:id="58"/>
    <w:p>
      <w:pPr>
        <w:spacing w:after="0" w:line="263" w:lineRule="auto"/>
        <w:rPr>
          <w:sz w:val="20"/>
          <w:szCs w:val="20"/>
          <w:color w:val="auto"/>
        </w:rPr>
      </w:pPr>
      <w:r>
        <w:rPr>
          <w:rFonts w:ascii="Arial" w:cs="Arial" w:eastAsia="Arial" w:hAnsi="Arial"/>
          <w:sz w:val="22"/>
          <w:szCs w:val="22"/>
          <w:color w:val="auto"/>
        </w:rPr>
        <w:t>provided by applicable law and the Company’s Constituent Documents and intends that it be interpreted consistently with this Section and the recitals to this Agreement.</w:t>
      </w:r>
    </w:p>
    <w:p>
      <w:pPr>
        <w:spacing w:after="0" w:line="209" w:lineRule="exact"/>
        <w:rPr>
          <w:sz w:val="20"/>
          <w:szCs w:val="20"/>
          <w:color w:val="auto"/>
        </w:rPr>
      </w:pPr>
    </w:p>
    <w:p>
      <w:pPr>
        <w:jc w:val="both"/>
        <w:ind w:firstLine="656"/>
        <w:spacing w:after="0" w:line="286" w:lineRule="auto"/>
        <w:tabs>
          <w:tab w:leader="none" w:pos="1459" w:val="left"/>
        </w:tabs>
        <w:numPr>
          <w:ilvl w:val="0"/>
          <w:numId w:val="24"/>
        </w:numPr>
        <w:rPr>
          <w:rFonts w:ascii="Arial" w:cs="Arial" w:eastAsia="Arial" w:hAnsi="Arial"/>
          <w:sz w:val="19"/>
          <w:szCs w:val="19"/>
          <w:color w:val="auto"/>
        </w:rPr>
      </w:pPr>
      <w:r>
        <w:rPr>
          <w:rFonts w:ascii="Arial" w:cs="Arial" w:eastAsia="Arial" w:hAnsi="Arial"/>
          <w:sz w:val="19"/>
          <w:szCs w:val="19"/>
          <w:b w:val="1"/>
          <w:bCs w:val="1"/>
          <w:color w:val="auto"/>
        </w:rPr>
        <w:t xml:space="preserve">Advancement of Expenses. </w:t>
      </w:r>
      <w:r>
        <w:rPr>
          <w:rFonts w:ascii="Arial" w:cs="Arial" w:eastAsia="Arial" w:hAnsi="Arial"/>
          <w:sz w:val="19"/>
          <w:szCs w:val="19"/>
          <w:color w:val="auto"/>
        </w:rPr>
        <w:t>Indemnitee shall have the right to advancement by the Company prior to the final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disposition of any Indemnifiable Claim of any and all Expenses relating to, arising out of or resulting from any Indemnifiable Claim paid or incurred by Indemnitee or which Indemnitee determines in good faith are reasonably likely to be paid or incurred by Indemnitee and as to which Indemnitee’s counsel provides supporting documentation. Without limiting the generality or effect of any other provision hereof, Indemnitee’s right to such advancement is not subject to the satisfaction of any Indemnification Eligibility Requirement. Without limiting the generality or effect of the foregoing, within five business days after any request by Indemnitee that is accompanied by supporting documentation for specific Expenses to be reimbursed or advanced, the Company shall, in accordance with such request (but without duplication), (a) pay such Expenses on behalf of Indemnitee, (b) advance to Indemnitee funds in an amount sufficient to pay such Expenses, or (c) reimburse Indemnitee for such Expenses;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Indemnitee shall repay, without interest any amounts actually advanced to Indemnitee that, at the final disposition of the Indemnifiable Claim to which the advance related, were in excess of amounts paid or payable by Indemnitee in respect of Expenses relating to, arising out of or resulting from such Indemnifiable Claim. In connection with any such payment, advancement or reimbursement, at the request of the Company, Indemnitee shall execute and deliver to the Company an undertaking, which need not be secured and shall be accepted without reference to Indemnitee’s ability to repay the Expenses, by or on behalf of the Indemnitee, to repay any amounts paid, advanced or reimbursed by the Company in respect of Expenses relating to, arising out of or resulting from any Indemnifiable Claim in respect of which it shall have been determined, following the final disposition of such Indemnifiable Claim and in accordance with Section 7, that Indemnitee is not entitled to indemnification hereunder.</w:t>
      </w:r>
    </w:p>
    <w:p>
      <w:pPr>
        <w:spacing w:after="0" w:line="192" w:lineRule="exact"/>
        <w:rPr>
          <w:rFonts w:ascii="Arial" w:cs="Arial" w:eastAsia="Arial" w:hAnsi="Arial"/>
          <w:sz w:val="19"/>
          <w:szCs w:val="19"/>
          <w:color w:val="auto"/>
        </w:rPr>
      </w:pPr>
    </w:p>
    <w:p>
      <w:pPr>
        <w:jc w:val="both"/>
        <w:ind w:firstLine="656"/>
        <w:spacing w:after="0" w:line="258" w:lineRule="auto"/>
        <w:tabs>
          <w:tab w:leader="none" w:pos="1459" w:val="left"/>
        </w:tabs>
        <w:numPr>
          <w:ilvl w:val="0"/>
          <w:numId w:val="24"/>
        </w:numPr>
        <w:rPr>
          <w:rFonts w:ascii="Arial" w:cs="Arial" w:eastAsia="Arial" w:hAnsi="Arial"/>
          <w:sz w:val="21"/>
          <w:szCs w:val="21"/>
          <w:color w:val="auto"/>
        </w:rPr>
      </w:pPr>
      <w:r>
        <w:rPr>
          <w:rFonts w:ascii="Arial" w:cs="Arial" w:eastAsia="Arial" w:hAnsi="Arial"/>
          <w:sz w:val="21"/>
          <w:szCs w:val="21"/>
          <w:b w:val="1"/>
          <w:bCs w:val="1"/>
          <w:color w:val="auto"/>
        </w:rPr>
        <w:t xml:space="preserve">Indemnification for Additional Expenses. </w:t>
      </w:r>
      <w:r>
        <w:rPr>
          <w:rFonts w:ascii="Arial" w:cs="Arial" w:eastAsia="Arial" w:hAnsi="Arial"/>
          <w:sz w:val="21"/>
          <w:szCs w:val="21"/>
          <w:color w:val="auto"/>
        </w:rPr>
        <w:t>Without limiting the generality or effect of the foregoing,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shall indemnify and hold harmless Indemnitee against and, if requested by Indemnitee, shall reimburse Indemnitee for, or advance to Indemnitee, within five business days of such request accompanied by supporting documentation for specific Expenses to be reimbursed or advanced, any and all Expenses paid or incurred by Indemnitee or which Indemnitee determines in good faith are reasonably likely to be paid or incurred by Indemnitee in connection with any Claim made, instituted or conducted by Indemnitee for (a) indemnification or reimbursement or advance payment of Expenses by the Company under any provision of this Agreement, or under any other agreement or provision of the Constituent Documents now or hereafter in effect relating to Indemnifiable Claims, and/or (b) recovery under any directors’ and officers’ liability insurance policies maintained by the Company, regardless in each case of whether Indemnitee ultimately is determined to be entitled to such indemnification, reimbursement, advance or insurance recovery, as the case may be; provided, however, that Indemnitee shall return, without interest, any such advance of Expenses (or portion thereof) which remains unspent at the final disposition of the Claim to which the advance related.</w:t>
      </w:r>
    </w:p>
    <w:p>
      <w:pPr>
        <w:spacing w:after="0" w:line="220" w:lineRule="exact"/>
        <w:rPr>
          <w:rFonts w:ascii="Arial" w:cs="Arial" w:eastAsia="Arial" w:hAnsi="Arial"/>
          <w:sz w:val="21"/>
          <w:szCs w:val="21"/>
          <w:color w:val="auto"/>
        </w:rPr>
      </w:pPr>
    </w:p>
    <w:p>
      <w:pPr>
        <w:jc w:val="both"/>
        <w:ind w:firstLine="656"/>
        <w:spacing w:after="0" w:line="256" w:lineRule="auto"/>
        <w:tabs>
          <w:tab w:leader="none" w:pos="1459"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 xml:space="preserve">Partial Indemnity. </w:t>
      </w:r>
      <w:r>
        <w:rPr>
          <w:rFonts w:ascii="Arial" w:cs="Arial" w:eastAsia="Arial" w:hAnsi="Arial"/>
          <w:sz w:val="22"/>
          <w:szCs w:val="22"/>
          <w:color w:val="auto"/>
        </w:rPr>
        <w:t>If Indemnitee is entitled under any provision of this Agreement to indemnification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for some or a portion of any Indemnifiable Loss but not for all of the total amount thereof, the Company shall nevertheless indemnify Indemnitee for the portion thereof to which Indemnitee is entitled.</w:t>
      </w:r>
    </w:p>
    <w:p>
      <w:pPr>
        <w:spacing w:after="0" w:line="216" w:lineRule="exact"/>
        <w:rPr>
          <w:rFonts w:ascii="Arial" w:cs="Arial" w:eastAsia="Arial" w:hAnsi="Arial"/>
          <w:sz w:val="22"/>
          <w:szCs w:val="22"/>
          <w:color w:val="auto"/>
        </w:rPr>
      </w:pPr>
    </w:p>
    <w:p>
      <w:pPr>
        <w:jc w:val="both"/>
        <w:ind w:firstLine="656"/>
        <w:spacing w:after="0" w:line="252" w:lineRule="auto"/>
        <w:tabs>
          <w:tab w:leader="none" w:pos="1459"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 xml:space="preserve">Procedure for Notification. </w:t>
      </w:r>
      <w:r>
        <w:rPr>
          <w:rFonts w:ascii="Arial" w:cs="Arial" w:eastAsia="Arial" w:hAnsi="Arial"/>
          <w:sz w:val="22"/>
          <w:szCs w:val="22"/>
          <w:color w:val="auto"/>
        </w:rPr>
        <w:t>To obtain indemnification under this Agreement in respect of an Indemnifiable Claim</w:t>
      </w:r>
      <w:r>
        <w:rPr>
          <w:rFonts w:ascii="Arial" w:cs="Arial" w:eastAsia="Arial" w:hAnsi="Arial"/>
          <w:sz w:val="22"/>
          <w:szCs w:val="22"/>
          <w:b w:val="1"/>
          <w:bCs w:val="1"/>
          <w:color w:val="auto"/>
        </w:rPr>
        <w:t xml:space="preserve"> </w:t>
      </w:r>
      <w:r>
        <w:rPr>
          <w:rFonts w:ascii="Arial" w:cs="Arial" w:eastAsia="Arial" w:hAnsi="Arial"/>
          <w:sz w:val="22"/>
          <w:szCs w:val="22"/>
          <w:color w:val="auto"/>
        </w:rPr>
        <w:t>or Indemnifiable Loss, Indemnitee shall submit to the Company a written request therefor, including a brief description (based upon information then available to Indemnitee) of such Indemnifiable Claim or Indemnifiable Loss. If, at the time of the receipt of such request, the Company has</w:t>
      </w:r>
    </w:p>
    <w:p>
      <w:pPr>
        <w:sectPr>
          <w:pgSz w:w="11900" w:h="16838" w:orient="portrait"/>
          <w:cols w:equalWidth="0" w:num="1">
            <w:col w:w="11420"/>
          </w:cols>
          <w:pgMar w:left="240" w:top="591" w:right="239" w:bottom="1440" w:gutter="0" w:footer="0" w:header="0"/>
        </w:sectPr>
      </w:pPr>
    </w:p>
    <w:bookmarkStart w:id="59" w:name="page60"/>
    <w:bookmarkEnd w:id="59"/>
    <w:p>
      <w:pPr>
        <w:jc w:val="both"/>
        <w:spacing w:after="0" w:line="289" w:lineRule="auto"/>
        <w:rPr>
          <w:sz w:val="20"/>
          <w:szCs w:val="20"/>
          <w:color w:val="auto"/>
        </w:rPr>
      </w:pPr>
      <w:r>
        <w:rPr>
          <w:rFonts w:ascii="Arial" w:cs="Arial" w:eastAsia="Arial" w:hAnsi="Arial"/>
          <w:sz w:val="19"/>
          <w:szCs w:val="19"/>
          <w:color w:val="auto"/>
        </w:rPr>
        <w:t>directors’ and officers’ liability insurance in effect under which coverage for such Indemnifiable Claim or Indemnifiable Loss is potentially available, the Company shall give prompt written notice of such Indemnifiable Claim or Indemnifiable Loss to the applicable insurers in accordance with the procedures set forth in the applicable policies. The Company shall provide to Indemnitee a copy of such notice delivered to the applicable insurers and, upon Indemnitee’s request, copies of all subsequent correspondence between the Company and such insurers regarding the Indemnifiable Claim or Indemnifiable Loss, in each case substantially concurrently with the delivery thereof by the Company. The failure by Indemnitee to timely notify the Company of any Indemnifiable Claim or Indemnifiable Loss shall not relieve the Company from any liability hereunder unless, and only to the extent that, the Company did not otherwise learn of such Indemnifiable Claim or Indemnifiable Loss and such failure results in forfeiture by the Company of substantial defenses, rights or insurance coverage.</w:t>
      </w:r>
    </w:p>
    <w:p>
      <w:pPr>
        <w:spacing w:after="0" w:line="192" w:lineRule="exact"/>
        <w:rPr>
          <w:sz w:val="20"/>
          <w:szCs w:val="20"/>
          <w:color w:val="auto"/>
        </w:rPr>
      </w:pPr>
    </w:p>
    <w:p>
      <w:pPr>
        <w:ind w:left="1460" w:hanging="723"/>
        <w:spacing w:after="0"/>
        <w:tabs>
          <w:tab w:leader="none" w:pos="146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Determination of Right to Indemnification.</w:t>
      </w:r>
    </w:p>
    <w:p>
      <w:pPr>
        <w:spacing w:after="0" w:line="266" w:lineRule="exact"/>
        <w:rPr>
          <w:rFonts w:ascii="Arial" w:cs="Arial" w:eastAsia="Arial" w:hAnsi="Arial"/>
          <w:sz w:val="22"/>
          <w:szCs w:val="22"/>
          <w:color w:val="auto"/>
        </w:rPr>
      </w:pPr>
    </w:p>
    <w:p>
      <w:pPr>
        <w:jc w:val="both"/>
        <w:ind w:firstLine="1305"/>
        <w:spacing w:after="0" w:line="248" w:lineRule="auto"/>
        <w:tabs>
          <w:tab w:leader="none" w:pos="2185" w:val="left"/>
        </w:tabs>
        <w:numPr>
          <w:ilvl w:val="1"/>
          <w:numId w:val="25"/>
        </w:numPr>
        <w:rPr>
          <w:rFonts w:ascii="Arial" w:cs="Arial" w:eastAsia="Arial" w:hAnsi="Arial"/>
          <w:sz w:val="22"/>
          <w:szCs w:val="22"/>
          <w:color w:val="auto"/>
        </w:rPr>
      </w:pPr>
      <w:r>
        <w:rPr>
          <w:rFonts w:ascii="Arial" w:cs="Arial" w:eastAsia="Arial" w:hAnsi="Arial"/>
          <w:sz w:val="22"/>
          <w:szCs w:val="22"/>
          <w:color w:val="auto"/>
        </w:rPr>
        <w:t>To the extent that Indemnitee shall have been successful on the merits or otherwise in defense of any Indemnifiable Claim or any portion thereof or in defense of any issue or matter therein, including without limitation dismissal without prejudice, Indemnitee shall be indemnified against all Indemnifiable Losses relating to, arising out of or resulting from such Indemnifiable Claim in accordance with Section 2 and no Indemnification Eligibility Requirement Determination (as defined in Section 7(b)) shall be required.</w:t>
      </w:r>
    </w:p>
    <w:p>
      <w:pPr>
        <w:spacing w:after="0" w:line="232" w:lineRule="exact"/>
        <w:rPr>
          <w:rFonts w:ascii="Arial" w:cs="Arial" w:eastAsia="Arial" w:hAnsi="Arial"/>
          <w:sz w:val="22"/>
          <w:szCs w:val="22"/>
          <w:color w:val="auto"/>
        </w:rPr>
      </w:pPr>
    </w:p>
    <w:p>
      <w:pPr>
        <w:jc w:val="both"/>
        <w:ind w:firstLine="1305"/>
        <w:spacing w:after="0" w:line="285" w:lineRule="auto"/>
        <w:tabs>
          <w:tab w:leader="none" w:pos="2197" w:val="left"/>
        </w:tabs>
        <w:numPr>
          <w:ilvl w:val="1"/>
          <w:numId w:val="25"/>
        </w:numPr>
        <w:rPr>
          <w:rFonts w:ascii="Arial" w:cs="Arial" w:eastAsia="Arial" w:hAnsi="Arial"/>
          <w:sz w:val="19"/>
          <w:szCs w:val="19"/>
          <w:color w:val="auto"/>
        </w:rPr>
      </w:pPr>
      <w:r>
        <w:rPr>
          <w:rFonts w:ascii="Arial" w:cs="Arial" w:eastAsia="Arial" w:hAnsi="Arial"/>
          <w:sz w:val="19"/>
          <w:szCs w:val="19"/>
          <w:color w:val="auto"/>
        </w:rPr>
        <w:t>To the extent that the provisions of Section 7(a) are inapplicable to an Indemnifiable Claim that shall have been finally disposed of, any determination of whether Indemnitee has satisfied the applicable Indemnification Eligibility Requirement (an “</w:t>
      </w:r>
      <w:r>
        <w:rPr>
          <w:rFonts w:ascii="Arial" w:cs="Arial" w:eastAsia="Arial" w:hAnsi="Arial"/>
          <w:sz w:val="19"/>
          <w:szCs w:val="19"/>
          <w:b w:val="1"/>
          <w:bCs w:val="1"/>
          <w:i w:val="1"/>
          <w:iCs w:val="1"/>
          <w:color w:val="auto"/>
        </w:rPr>
        <w:t>Indemnification Eligibility Requirement Determination</w:t>
      </w:r>
      <w:r>
        <w:rPr>
          <w:rFonts w:ascii="Arial" w:cs="Arial" w:eastAsia="Arial" w:hAnsi="Arial"/>
          <w:sz w:val="19"/>
          <w:szCs w:val="19"/>
          <w:color w:val="auto"/>
        </w:rPr>
        <w:t>”) shall be made as follows: (i) if a Change in Control shall not have occurred, or if a Change in Control shall have occurred but Indemnitee shall have requested that the Indemnification Eligibility Requirement Determination be made pursuant to this clause (i), (A) by a majority vote of the Disinterested Directors, even if less than a quorum of the Board, (B) if such Disinterested Directors so direct, by a majority vote of a committee of Disinterested Directors designated by a majority vote of all Disinterested Directors, even if less than a quorum or (C) if there are no such Disinterested Directors, or if a majority of the Disinterested Directors so direct, by Independent Counsel in a written opinion addressed to the Board, a copy of which shall be delivered to Indemnitee; and (ii) if a Change in Control shall have occurred and Indemnitee shall not have requested that the Indemnification Eligibility Requirement Determination be made pursuant to clause (i), by Independent Counsel in a written opinion addressed to the Board, a copy of which shall be delivered to Indemnitee. Indemnitee shall cooperate with reasonable requests of the individual or firm making such Indemnification Eligibility Requirement Determination, including providing to such Person documentation or information which is not privileged or otherwise protected from disclosure and which is reasonably available to Indemnitee and reasonably necessary to such determination without incurring any unreimbursed cost in connection therewith. The Company shall indemnify and hold harmless Indemnitee against and, if requested by Indemnitee, shall reimburse Indemnitee for, or advance to Indemnitee, within five business days of such request accompanied by supporting documentation for specific costs and expenses to be reimbursed or advanced, any and all costs and expenses (including attorneys’ and experts’ fees and expenses) incurred by Indemnitee in so cooperating with the Person making such Indemnification Eligibility Requirement Determination.</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firstLine="1305"/>
        <w:spacing w:after="0" w:line="250" w:lineRule="auto"/>
        <w:tabs>
          <w:tab w:leader="none" w:pos="2185"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Company shall use its reasonable efforts to cause any Indemnification Eligibility Requirement Determination required under Section 7(b) to be made as promptly as practicable. If (i) the Person empowered or selected under Section 7 to make the Indemnification Eligibility Requirement Determination shall not have made a determination within 30 calendar days after the later of (A) receipt by</w:t>
      </w:r>
    </w:p>
    <w:p>
      <w:pPr>
        <w:sectPr>
          <w:pgSz w:w="11900" w:h="16838" w:orient="portrait"/>
          <w:cols w:equalWidth="0" w:num="1">
            <w:col w:w="11420"/>
          </w:cols>
          <w:pgMar w:left="240" w:top="591" w:right="239" w:bottom="1440" w:gutter="0" w:footer="0" w:header="0"/>
        </w:sectPr>
      </w:pPr>
    </w:p>
    <w:bookmarkStart w:id="60" w:name="page61"/>
    <w:bookmarkEnd w:id="60"/>
    <w:p>
      <w:pPr>
        <w:jc w:val="both"/>
        <w:spacing w:after="0" w:line="292" w:lineRule="auto"/>
        <w:rPr>
          <w:sz w:val="20"/>
          <w:szCs w:val="20"/>
          <w:color w:val="auto"/>
        </w:rPr>
      </w:pPr>
      <w:r>
        <w:rPr>
          <w:rFonts w:ascii="Arial" w:cs="Arial" w:eastAsia="Arial" w:hAnsi="Arial"/>
          <w:sz w:val="19"/>
          <w:szCs w:val="19"/>
          <w:color w:val="auto"/>
        </w:rPr>
        <w:t>the Company of written notice from Indemnitee advising the Company of the final disposition of the applicable Indemnifiable Claim (the date of such receipt being the “</w:t>
      </w:r>
      <w:r>
        <w:rPr>
          <w:rFonts w:ascii="Arial" w:cs="Arial" w:eastAsia="Arial" w:hAnsi="Arial"/>
          <w:sz w:val="19"/>
          <w:szCs w:val="19"/>
          <w:b w:val="1"/>
          <w:bCs w:val="1"/>
          <w:i w:val="1"/>
          <w:iCs w:val="1"/>
          <w:color w:val="auto"/>
        </w:rPr>
        <w:t>Notification Date</w:t>
      </w:r>
      <w:r>
        <w:rPr>
          <w:rFonts w:ascii="Arial" w:cs="Arial" w:eastAsia="Arial" w:hAnsi="Arial"/>
          <w:sz w:val="19"/>
          <w:szCs w:val="19"/>
          <w:color w:val="auto"/>
        </w:rPr>
        <w:t>”) and (B) the final selection of an Independent Counsel, if the Indemnification Eligibility Requirement Determination is to be made by Independent Counsel, in accordance with Section 7(b), and (ii) Indemnitee shall have fulfilled his or her obligations set forth in the second sentence of Section 7(b), then Indemnitee shall be deemed to have satisfied the applicable Indemnification Eligibility Requirement; provided that such 30-day period may be extended for a reasonable time, not to exceed an additional 30 calendar days, if the Person making such determination in good faith requires such additional time for the obtaining or evaluation of documentation and/or information relating thereto.</w:t>
      </w:r>
    </w:p>
    <w:p>
      <w:pPr>
        <w:spacing w:after="0" w:line="192" w:lineRule="exact"/>
        <w:rPr>
          <w:sz w:val="20"/>
          <w:szCs w:val="20"/>
          <w:color w:val="auto"/>
        </w:rPr>
      </w:pPr>
    </w:p>
    <w:p>
      <w:pPr>
        <w:jc w:val="both"/>
        <w:ind w:firstLine="1305"/>
        <w:spacing w:after="0" w:line="258" w:lineRule="auto"/>
        <w:tabs>
          <w:tab w:leader="none" w:pos="2197" w:val="left"/>
        </w:tabs>
        <w:numPr>
          <w:ilvl w:val="0"/>
          <w:numId w:val="26"/>
        </w:numPr>
        <w:rPr>
          <w:rFonts w:ascii="Arial" w:cs="Arial" w:eastAsia="Arial" w:hAnsi="Arial"/>
          <w:sz w:val="21"/>
          <w:szCs w:val="21"/>
          <w:color w:val="auto"/>
        </w:rPr>
      </w:pPr>
      <w:r>
        <w:rPr>
          <w:rFonts w:ascii="Arial" w:cs="Arial" w:eastAsia="Arial" w:hAnsi="Arial"/>
          <w:sz w:val="21"/>
          <w:szCs w:val="21"/>
          <w:color w:val="auto"/>
        </w:rPr>
        <w:t>If (i) Indemnitee shall be entitled to indemnification hereunder against any Indemnifiable Losses pursuant to Section 7(a), (ii) no determination of whether Indemnitee has satisfied any applicable standard of conduct under Delaware law is a legally required condition precedent to indemnification of Indemnitee hereunder against any Indemnifiable Losses, or (iii) Indemnitee has been determined or deemed pursuant to Section 7(b) or (c) to have satisfied the applicable Indemnification Eligibility Requirement, then the Company shall pay to Indemnitee, within five business days after the later of (x) the Notification Date in respect of the Indemnifiable Claim or portion thereof to which such Indemnifiable Losses are related, out of which such Indemnifiable Losses arose or from which such Indemnifiable Losses resulted and (y) the earliest date on which the applicable criterion specified in clause (i), (ii) or (iii) above shall have been satisfied, an amount equal to the amount of such Indemnifiable Losses. Nothing herein is intended to mean or imply that the Company is intending to use Section 145(f) of the Delaware General Corporation Law to dispense with a requirement that Indemnitee meet the applicable standard of conduct where it is otherwise required by such statute.</w:t>
      </w:r>
    </w:p>
    <w:p>
      <w:pPr>
        <w:spacing w:after="0" w:line="223" w:lineRule="exact"/>
        <w:rPr>
          <w:rFonts w:ascii="Arial" w:cs="Arial" w:eastAsia="Arial" w:hAnsi="Arial"/>
          <w:sz w:val="21"/>
          <w:szCs w:val="21"/>
          <w:color w:val="auto"/>
        </w:rPr>
      </w:pPr>
    </w:p>
    <w:p>
      <w:pPr>
        <w:jc w:val="both"/>
        <w:ind w:firstLine="1305"/>
        <w:spacing w:after="0" w:line="284" w:lineRule="auto"/>
        <w:tabs>
          <w:tab w:leader="none" w:pos="2185" w:val="left"/>
        </w:tabs>
        <w:numPr>
          <w:ilvl w:val="0"/>
          <w:numId w:val="26"/>
        </w:numPr>
        <w:rPr>
          <w:rFonts w:ascii="Arial" w:cs="Arial" w:eastAsia="Arial" w:hAnsi="Arial"/>
          <w:sz w:val="19"/>
          <w:szCs w:val="19"/>
          <w:color w:val="auto"/>
        </w:rPr>
      </w:pPr>
      <w:r>
        <w:rPr>
          <w:rFonts w:ascii="Arial" w:cs="Arial" w:eastAsia="Arial" w:hAnsi="Arial"/>
          <w:sz w:val="19"/>
          <w:szCs w:val="19"/>
          <w:color w:val="auto"/>
        </w:rPr>
        <w:t>If an Indemnification Eligibility Requirement Determination is to be made by Independent Counsel pursuant to Section 7(b)(i), the Independent Counsel shall be selected in accordance with Section 7(b)(i), and the Company shall give written notice to Indemnitee advising him or her of the identity of the Independent Counsel so selected. If an Indemnification Eligibility Requirement Determination is to be made by Independent Counsel pursuant to Section 7(b)(ii), the Independent Counsel shall be selected in accordance with Section 7(b)(ii), and Indemnitee shall give written notice to the Company advising it of the identity of the Independent Counsel so selected. In either case, Indemnitee or the Company, as applicable, may, within five business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1(l), and the objection shall set forth with particularity the factual basis of such assertion. Absent a proper and timely objection, the Person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and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7(e) to make the Indemnification Eligibility Requirement Determination shall have been selected within 30 calendar days after the Company gives its initial notice pursuant to the first sentence of this Section 7(e) or Indemnitee gives its initial notice pursuant to the second sentence of this Section 7(e), as the case may be, either the Company or Indemnitee may petition the Court of Chancery of the State of Delaware for resolution of any objection which shall have been made by the Company or Indemnitee to the</w:t>
      </w:r>
    </w:p>
    <w:p>
      <w:pPr>
        <w:sectPr>
          <w:pgSz w:w="11900" w:h="16838" w:orient="portrait"/>
          <w:cols w:equalWidth="0" w:num="1">
            <w:col w:w="11420"/>
          </w:cols>
          <w:pgMar w:left="240" w:top="591" w:right="239" w:bottom="1440" w:gutter="0" w:footer="0" w:header="0"/>
        </w:sectPr>
      </w:pPr>
    </w:p>
    <w:bookmarkStart w:id="61" w:name="page62"/>
    <w:bookmarkEnd w:id="61"/>
    <w:p>
      <w:pPr>
        <w:jc w:val="both"/>
        <w:spacing w:after="0" w:line="248" w:lineRule="auto"/>
        <w:rPr>
          <w:sz w:val="20"/>
          <w:szCs w:val="20"/>
          <w:color w:val="auto"/>
        </w:rPr>
      </w:pPr>
      <w:r>
        <w:rPr>
          <w:rFonts w:ascii="Arial" w:cs="Arial" w:eastAsia="Arial" w:hAnsi="Arial"/>
          <w:sz w:val="22"/>
          <w:szCs w:val="22"/>
          <w:color w:val="auto"/>
        </w:rPr>
        <w:t>other’s selection of Independent Counsel and/or for the appointment as Independent Counsel of a person or firm selected by the Court or by such other person as the Court shall designate, and the person or firm with respect to whom all objections are so resolved or the person or firm so appointed will act as Independent Counsel. In all events, the Company shall pay all of the actual and reasonable fees and expenses of the Independent Counsel incurred in connection with the Independent Counsel’s determination pursuant to Section 7(b).</w:t>
      </w:r>
    </w:p>
    <w:p>
      <w:pPr>
        <w:spacing w:after="0" w:line="227" w:lineRule="exact"/>
        <w:rPr>
          <w:sz w:val="20"/>
          <w:szCs w:val="20"/>
          <w:color w:val="auto"/>
        </w:rPr>
      </w:pPr>
    </w:p>
    <w:p>
      <w:pPr>
        <w:jc w:val="both"/>
        <w:ind w:firstLine="656"/>
        <w:spacing w:after="0" w:line="259" w:lineRule="auto"/>
        <w:tabs>
          <w:tab w:leader="none" w:pos="1459"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 xml:space="preserve">Presumption of Entitlement. </w:t>
      </w:r>
      <w:r>
        <w:rPr>
          <w:rFonts w:ascii="Arial" w:cs="Arial" w:eastAsia="Arial" w:hAnsi="Arial"/>
          <w:sz w:val="21"/>
          <w:szCs w:val="21"/>
          <w:color w:val="auto"/>
        </w:rPr>
        <w:t>Notwithstanding any other provision hereof, in making any Indemnification</w:t>
      </w:r>
      <w:r>
        <w:rPr>
          <w:rFonts w:ascii="Arial" w:cs="Arial" w:eastAsia="Arial" w:hAnsi="Arial"/>
          <w:sz w:val="21"/>
          <w:szCs w:val="21"/>
          <w:b w:val="1"/>
          <w:bCs w:val="1"/>
          <w:color w:val="auto"/>
        </w:rPr>
        <w:t xml:space="preserve"> </w:t>
      </w:r>
      <w:r>
        <w:rPr>
          <w:rFonts w:ascii="Arial" w:cs="Arial" w:eastAsia="Arial" w:hAnsi="Arial"/>
          <w:sz w:val="21"/>
          <w:szCs w:val="21"/>
          <w:color w:val="auto"/>
        </w:rPr>
        <w:t>Eligibility Requirement Determination, the Person making such determination shall presume that Indemnitee has satisfied the applicable Indemnification Eligibility Requirement, and the Company may overcome such presumption only by its adducing clear and convincing evidence to the contrary. Any Indemnification Eligibility Requirement Determination that is adverse to Indemnitee may be challenged by the Indemnitee in the Court of Chancery of the State of Delaware. No determination by the Company (including by its Disinterested Directors, a committee thereof or any Independent Counsel) that Indemnitee has not satisfied any applicable Indemnification Eligibility Requirement shall be a defense to any Claim by Indemnitee for indemnification or reimbursement or advance payment of Expenses by the Company hereunder or create a presumption that Indemnitee has not met any applicable Indemnification Eligibility Requirement.</w:t>
      </w:r>
    </w:p>
    <w:p>
      <w:pPr>
        <w:spacing w:after="0" w:line="220" w:lineRule="exact"/>
        <w:rPr>
          <w:rFonts w:ascii="Arial" w:cs="Arial" w:eastAsia="Arial" w:hAnsi="Arial"/>
          <w:sz w:val="21"/>
          <w:szCs w:val="21"/>
          <w:color w:val="auto"/>
        </w:rPr>
      </w:pPr>
    </w:p>
    <w:p>
      <w:pPr>
        <w:jc w:val="both"/>
        <w:ind w:firstLine="656"/>
        <w:spacing w:after="0" w:line="252" w:lineRule="auto"/>
        <w:tabs>
          <w:tab w:leader="none" w:pos="1459"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 xml:space="preserve">No Other Presumption. </w:t>
      </w:r>
      <w:r>
        <w:rPr>
          <w:rFonts w:ascii="Arial" w:cs="Arial" w:eastAsia="Arial" w:hAnsi="Arial"/>
          <w:sz w:val="22"/>
          <w:szCs w:val="22"/>
          <w:color w:val="auto"/>
        </w:rPr>
        <w:t>For purposes of this Agreement, the termination of any Claim by judgment, order,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settlement (whether with or without court approval) or conviction, or upon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or its equivalent, will not create a presumption that Indemnitee did not meet any applicable Indemnification Eligibility Requirement or that indemnification hereunder is otherwise not permitted.</w:t>
      </w:r>
    </w:p>
    <w:p>
      <w:pPr>
        <w:spacing w:after="0" w:line="220" w:lineRule="exact"/>
        <w:rPr>
          <w:rFonts w:ascii="Arial" w:cs="Arial" w:eastAsia="Arial" w:hAnsi="Arial"/>
          <w:sz w:val="22"/>
          <w:szCs w:val="22"/>
          <w:color w:val="auto"/>
        </w:rPr>
      </w:pPr>
    </w:p>
    <w:p>
      <w:pPr>
        <w:jc w:val="both"/>
        <w:ind w:firstLine="656"/>
        <w:spacing w:after="0" w:line="289" w:lineRule="auto"/>
        <w:tabs>
          <w:tab w:leader="none" w:pos="1567"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 xml:space="preserve">Non-Exclusivity. </w:t>
      </w:r>
      <w:r>
        <w:rPr>
          <w:rFonts w:ascii="Arial" w:cs="Arial" w:eastAsia="Arial" w:hAnsi="Arial"/>
          <w:sz w:val="19"/>
          <w:szCs w:val="19"/>
          <w:color w:val="auto"/>
        </w:rPr>
        <w:t>The rights of Indemnitee hereunder will be in addition to, and shall not diminish or abrogate,</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rights Indemnitee may have under any Other Indemnity Provisions ; provided, however, that (a) to the extent that Indemnitee otherwise would have any greater right to indemnification under any Other Indemnity Provision, Indemnitee will without further action be deemed to have such greater right hereunder, and (b) to the extent that any change is made to any Other Indemnity Provision which permits any greater right to indemnification than that provided under this Agreement as of the date hereof, Indemnitee will be deemed to have such greater right hereunder. In the event that the Company adopts any amendment to any of the Constituent Documents the effect of which would be to deny, diminish or encumber Indemnitee’s right to indemnification under this Agreement or any Other Indemnity Provision, then notwithstanding such amendments, the Indemnitee will without further action be deemed to have the rights to indemnification that existed immediately prior to the adoption of such amendment and such amendments shall not be effective against Indemnitee.</w:t>
      </w:r>
    </w:p>
    <w:p>
      <w:pPr>
        <w:spacing w:after="0" w:line="191" w:lineRule="exact"/>
        <w:rPr>
          <w:rFonts w:ascii="Arial" w:cs="Arial" w:eastAsia="Arial" w:hAnsi="Arial"/>
          <w:sz w:val="19"/>
          <w:szCs w:val="19"/>
          <w:color w:val="auto"/>
        </w:rPr>
      </w:pPr>
    </w:p>
    <w:p>
      <w:pPr>
        <w:jc w:val="both"/>
        <w:ind w:firstLine="656"/>
        <w:spacing w:after="0" w:line="258" w:lineRule="auto"/>
        <w:tabs>
          <w:tab w:leader="none" w:pos="1559"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 xml:space="preserve">Liability Insurance and Funding. </w:t>
      </w:r>
      <w:r>
        <w:rPr>
          <w:rFonts w:ascii="Arial" w:cs="Arial" w:eastAsia="Arial" w:hAnsi="Arial"/>
          <w:sz w:val="21"/>
          <w:szCs w:val="21"/>
          <w:color w:val="auto"/>
        </w:rPr>
        <w:t>For the duration of Indemnitee’s service as a director and/or officer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and for not less than five years thereafter, the Company shall use commercially reasonable efforts (taking into account the scope and amount of coverage available relative to the cost thereof) to cause to be maintained in effect policies of directors’ and officers’ liability insurance providing coverage for Indemnitee that is at least as favorable in scope and amount to that provided by the Company’s current policies of directors’ and officers’ liability insurance. Upon request, the Company shall provide Indemnitee or his or her counsel with a copy of all directors’ and officers’ liability insurance applications, binders, policies, declarations, endorsements and other related materials. In all policies of directors’ and officers’ liability insurance obtained by the Company, Indemnitee shall be named as an insured in such a manner as to provide Indemnitee the same rights and benefits, subject to the same limitations, as are accorded to the Company’s directors and officers most favorably insured by such policy. Notwithstanding the foregoing, (i) the Company may, but shall not be required to, create a trust fund, grant a security interest or use other means, including</w:t>
      </w:r>
    </w:p>
    <w:p>
      <w:pPr>
        <w:sectPr>
          <w:pgSz w:w="11900" w:h="16838" w:orient="portrait"/>
          <w:cols w:equalWidth="0" w:num="1">
            <w:col w:w="11420"/>
          </w:cols>
          <w:pgMar w:left="240" w:top="591" w:right="239" w:bottom="1440" w:gutter="0" w:footer="0" w:header="0"/>
        </w:sectPr>
      </w:pPr>
    </w:p>
    <w:bookmarkStart w:id="62" w:name="page63"/>
    <w:bookmarkEnd w:id="62"/>
    <w:p>
      <w:pPr>
        <w:jc w:val="both"/>
        <w:spacing w:after="0" w:line="250" w:lineRule="auto"/>
        <w:rPr>
          <w:sz w:val="20"/>
          <w:szCs w:val="20"/>
          <w:color w:val="auto"/>
        </w:rPr>
      </w:pPr>
      <w:r>
        <w:rPr>
          <w:rFonts w:ascii="Arial" w:cs="Arial" w:eastAsia="Arial" w:hAnsi="Arial"/>
          <w:sz w:val="22"/>
          <w:szCs w:val="22"/>
          <w:color w:val="auto"/>
        </w:rPr>
        <w:t>without limitation a letter of credit, to ensure the payment of such amounts as may be necessary to satisfy its obligations to indemnify and advance expenses pursuant to this Agreement and (ii) in renewing or seeking to renew any insurance hereunder, the Company will not be required to expend more than 3.0 times the premium amount of the immediately preceding policy period (equitably adjusted if necessary to reflect differences in policy periods).</w:t>
      </w:r>
    </w:p>
    <w:p>
      <w:pPr>
        <w:spacing w:after="0" w:line="223" w:lineRule="exact"/>
        <w:rPr>
          <w:sz w:val="20"/>
          <w:szCs w:val="20"/>
          <w:color w:val="auto"/>
        </w:rPr>
      </w:pPr>
    </w:p>
    <w:p>
      <w:pPr>
        <w:jc w:val="both"/>
        <w:ind w:firstLine="656"/>
        <w:spacing w:after="0" w:line="298" w:lineRule="auto"/>
        <w:tabs>
          <w:tab w:leader="none" w:pos="1567"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 xml:space="preserve">Subrogation. </w:t>
      </w:r>
      <w:r>
        <w:rPr>
          <w:rFonts w:ascii="Arial" w:cs="Arial" w:eastAsia="Arial" w:hAnsi="Arial"/>
          <w:sz w:val="19"/>
          <w:szCs w:val="19"/>
          <w:color w:val="auto"/>
        </w:rPr>
        <w:t>In the event of payment under this Agreement, the Company shall be subrogated to the extent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payment to all of the related rights of recovery of Indemnitee against other Persons (other than Indemnitee’s successors), including any entity or enterprise referred to in clause (i) of the definition of “Indemnifiable Claim” in Section 1(i). Indemnitee shall execute all papers reasonably required to evidence such rights (all of Indemnitee’s reasonable Expenses, including attorneys’ fees and charges, related thereto to be reimbursed by or, at the option of Indemnitee, advanced by the Company).</w:t>
      </w:r>
    </w:p>
    <w:p>
      <w:pPr>
        <w:spacing w:after="0" w:line="183" w:lineRule="exact"/>
        <w:rPr>
          <w:rFonts w:ascii="Arial" w:cs="Arial" w:eastAsia="Arial" w:hAnsi="Arial"/>
          <w:sz w:val="19"/>
          <w:szCs w:val="19"/>
          <w:color w:val="auto"/>
        </w:rPr>
      </w:pPr>
    </w:p>
    <w:p>
      <w:pPr>
        <w:jc w:val="both"/>
        <w:ind w:left="80" w:firstLine="657"/>
        <w:spacing w:after="0" w:line="298" w:lineRule="auto"/>
        <w:tabs>
          <w:tab w:leader="none" w:pos="1566" w:val="left"/>
        </w:tabs>
        <w:numPr>
          <w:ilvl w:val="1"/>
          <w:numId w:val="28"/>
        </w:numPr>
        <w:rPr>
          <w:rFonts w:ascii="Arial" w:cs="Arial" w:eastAsia="Arial" w:hAnsi="Arial"/>
          <w:sz w:val="19"/>
          <w:szCs w:val="19"/>
          <w:color w:val="auto"/>
        </w:rPr>
      </w:pPr>
      <w:r>
        <w:rPr>
          <w:rFonts w:ascii="Arial" w:cs="Arial" w:eastAsia="Arial" w:hAnsi="Arial"/>
          <w:sz w:val="19"/>
          <w:szCs w:val="19"/>
          <w:b w:val="1"/>
          <w:bCs w:val="1"/>
          <w:color w:val="auto"/>
        </w:rPr>
        <w:t xml:space="preserve">No Duplication of Payments. </w:t>
      </w:r>
      <w:r>
        <w:rPr>
          <w:rFonts w:ascii="Arial" w:cs="Arial" w:eastAsia="Arial" w:hAnsi="Arial"/>
          <w:sz w:val="19"/>
          <w:szCs w:val="19"/>
          <w:color w:val="auto"/>
        </w:rPr>
        <w:t>The Company shall not be liable under this Agreement to make any payment to</w:t>
      </w:r>
      <w:r>
        <w:rPr>
          <w:rFonts w:ascii="Arial" w:cs="Arial" w:eastAsia="Arial" w:hAnsi="Arial"/>
          <w:sz w:val="19"/>
          <w:szCs w:val="19"/>
          <w:b w:val="1"/>
          <w:bCs w:val="1"/>
          <w:color w:val="auto"/>
        </w:rPr>
        <w:t xml:space="preserve"> </w:t>
      </w:r>
      <w:r>
        <w:rPr>
          <w:rFonts w:ascii="Arial" w:cs="Arial" w:eastAsia="Arial" w:hAnsi="Arial"/>
          <w:sz w:val="19"/>
          <w:szCs w:val="19"/>
          <w:color w:val="auto"/>
        </w:rPr>
        <w:t>Indemnitee in respect of any Indemnifiable Losses to the extent Indemnitee has otherwise already actually received payment (net of Expenses incurred in connection therewith) under any insurance policy, the Constituent Documents and Other Indemnity Provisions or otherwise (including from any entity or enterprise referred to in clause (i) of the definition of “Indemnifiable Claim” in Section 1(i)) in respect of such Indemnifiable Losses otherwise indemnifiable hereunder.</w:t>
      </w:r>
    </w:p>
    <w:p>
      <w:pPr>
        <w:spacing w:after="0" w:line="183" w:lineRule="exact"/>
        <w:rPr>
          <w:sz w:val="20"/>
          <w:szCs w:val="20"/>
          <w:color w:val="auto"/>
        </w:rPr>
      </w:pPr>
    </w:p>
    <w:p>
      <w:pPr>
        <w:jc w:val="both"/>
        <w:ind w:firstLine="656"/>
        <w:spacing w:after="0" w:line="285" w:lineRule="auto"/>
        <w:tabs>
          <w:tab w:leader="none" w:pos="1567"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 xml:space="preserve">Defense of Claims. </w:t>
      </w:r>
      <w:r>
        <w:rPr>
          <w:rFonts w:ascii="Arial" w:cs="Arial" w:eastAsia="Arial" w:hAnsi="Arial"/>
          <w:sz w:val="19"/>
          <w:szCs w:val="19"/>
          <w:color w:val="auto"/>
        </w:rPr>
        <w:t>Subject to the provisions of applicable policies of directors’ and officers’ liability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Company shall be entitled to participate in the defense of any Indemnifiable Claim or to assume or lead the defense thereof with counsel reasonably satisfactory to the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Indemnitee determines, after consultation with counsel selected by Indemnitee, that (a) the use of counsel chosen by the Company to represent Indemnitee would present such counsel with an actual or potential conflict, (b) the named parties in any such Indemnifiable Claim (including any impleaded parties) include both the Company and Indemnitee and Indemnitee shall conclude that there may be one or more legal defenses available to him or her that are different from or in addition to those available to the Company, (c) any such representation by such counsel would be precluded under the applicable standards of professional conduct then prevailing, or (d) Indemnitee has interests in the claim or underlying subject matter that are different from or in addition to those of other Persons against whom the Claim has been made or might reasonably be expected to be made, then Indemnitee shall be entitled to retain separate counsel (but not more than one law firm plus, if applicable, local counsel in respect of any particular Indemnifiable Claim for all indemnitees in Indemnitee’s circumstances) at the Company’s expense. The Company shall not be liable to Indemnitee under this Agreement for any amounts paid in settlement of any threatened or pending Indemnifiable Claim effected without the Company’s prior written consent. The Company shall not, without the prior written consent of the Indemnitee, effect any settlement of any threatened or pending Indemnifiable Claim which the Indemnitee is or could have been a party unless such settlement solely involves the payment of money and includes a complete and unconditional release of the Indemnitee from all liability on any claims that are the subject matter of such Indemnifiable Claim. Neither the Company nor Indemnitee shall unreasonably withhold its consent to any proposed settlement;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Indemnitee may withhold consent to any settlement that does not provide a complete and unconditional release of Indemnitee.</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firstLine="656"/>
        <w:spacing w:after="0" w:line="248" w:lineRule="auto"/>
        <w:tabs>
          <w:tab w:leader="none" w:pos="1567"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Contribution. </w:t>
      </w:r>
      <w:r>
        <w:rPr>
          <w:rFonts w:ascii="Arial" w:cs="Arial" w:eastAsia="Arial" w:hAnsi="Arial"/>
          <w:sz w:val="22"/>
          <w:szCs w:val="22"/>
          <w:color w:val="auto"/>
        </w:rPr>
        <w:t>To the fullest extent permitted by law, if the indemnification provided for in this Agreement is</w:t>
      </w:r>
      <w:r>
        <w:rPr>
          <w:rFonts w:ascii="Arial" w:cs="Arial" w:eastAsia="Arial" w:hAnsi="Arial"/>
          <w:sz w:val="22"/>
          <w:szCs w:val="22"/>
          <w:b w:val="1"/>
          <w:bCs w:val="1"/>
          <w:color w:val="auto"/>
        </w:rPr>
        <w:t xml:space="preserve"> </w:t>
      </w:r>
      <w:r>
        <w:rPr>
          <w:rFonts w:ascii="Arial" w:cs="Arial" w:eastAsia="Arial" w:hAnsi="Arial"/>
          <w:sz w:val="22"/>
          <w:szCs w:val="22"/>
          <w:color w:val="auto"/>
        </w:rPr>
        <w:t>unavailable to Indemnitee for any reason, subject to the proviso below, the Company, in lieu of indemnifying Indemnitee, shall contribute to the Indemnifiable Losses in such proportion as is deemed fair and reasonable in light of the circumstances of such Indemnifiable Claim in order to reflect (i) the relative benefits received by the Company and Indemnitee and/or loss suffered by the Indemnitee, as the case may be, as a result of the events or transactions giving rise to such action, suit or other proceeding; (ii) the relative</w:t>
      </w:r>
    </w:p>
    <w:p>
      <w:pPr>
        <w:sectPr>
          <w:pgSz w:w="11900" w:h="16838" w:orient="portrait"/>
          <w:cols w:equalWidth="0" w:num="1">
            <w:col w:w="11420"/>
          </w:cols>
          <w:pgMar w:left="240" w:top="591" w:right="239" w:bottom="1440" w:gutter="0" w:footer="0" w:header="0"/>
        </w:sectPr>
      </w:pPr>
    </w:p>
    <w:bookmarkStart w:id="63" w:name="page64"/>
    <w:bookmarkEnd w:id="63"/>
    <w:p>
      <w:pPr>
        <w:jc w:val="both"/>
        <w:spacing w:after="0" w:line="294" w:lineRule="auto"/>
        <w:rPr>
          <w:sz w:val="20"/>
          <w:szCs w:val="20"/>
          <w:color w:val="auto"/>
        </w:rPr>
      </w:pPr>
      <w:r>
        <w:rPr>
          <w:rFonts w:ascii="Arial" w:cs="Arial" w:eastAsia="Arial" w:hAnsi="Arial"/>
          <w:sz w:val="19"/>
          <w:szCs w:val="19"/>
          <w:color w:val="auto"/>
        </w:rPr>
        <w:t>fault of the Company (and its officers, directors, employees and agents) and Indemnitee in connection with such events or transactions; and (iii) any other relevant equitable considerations, including any losses of the Indemnitee, in connection with such events or transactions; provided, that, (x) Indemnitee has met the Indemnification Eligibility Requirement in accordance with Section 7 and (y) (i) except as provided in Sections 4 and 21 or in connection with such Indemnitee’s rights with respect to a Change in Control, the Indemnifiable Losses are not associated with a Claim initiated by Indemnitee against the Company or any director or officer of the Company unless the Company has joined in or authorized the proceeding in connection with such Claim.</w:t>
      </w:r>
    </w:p>
    <w:p>
      <w:pPr>
        <w:spacing w:after="0" w:line="184" w:lineRule="exact"/>
        <w:rPr>
          <w:sz w:val="20"/>
          <w:szCs w:val="20"/>
          <w:color w:val="auto"/>
        </w:rPr>
      </w:pPr>
    </w:p>
    <w:p>
      <w:pPr>
        <w:ind w:left="1580" w:hanging="924"/>
        <w:spacing w:after="0"/>
        <w:tabs>
          <w:tab w:leader="none" w:pos="158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Successors, Binding Agreement and Survival.</w:t>
      </w:r>
    </w:p>
    <w:p>
      <w:pPr>
        <w:spacing w:after="0" w:line="266" w:lineRule="exact"/>
        <w:rPr>
          <w:rFonts w:ascii="Arial" w:cs="Arial" w:eastAsia="Arial" w:hAnsi="Arial"/>
          <w:sz w:val="22"/>
          <w:szCs w:val="22"/>
          <w:color w:val="auto"/>
        </w:rPr>
      </w:pPr>
    </w:p>
    <w:p>
      <w:pPr>
        <w:jc w:val="both"/>
        <w:ind w:firstLine="1305"/>
        <w:spacing w:after="0" w:line="292" w:lineRule="auto"/>
        <w:tabs>
          <w:tab w:leader="none" w:pos="2185"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Company shall require any successor (whether direct or indirect, by purchase, merger, consolidation, reorganization or otherwise) to all or substantially all of the business or assets of the Company expressly to assume and agree to perform this Agreement in the same manner and to the same extent the Company would be required to perform if no such succession had taken place. This Agreement shall be binding upon and inure to the benefit of the Company and any successor to the Company, including without limitation any Person acquiring directly or indirectly all or substantially all of the business or assets of the Company whether by purchase, merger, consolidation, reorganization or otherwise (and such successor will thereafter be deemed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for purposes of this Agreement), but shall not otherwise be assignable or delegable by the Company.</w:t>
      </w:r>
    </w:p>
    <w:p>
      <w:pPr>
        <w:spacing w:after="0" w:line="192" w:lineRule="exact"/>
        <w:rPr>
          <w:rFonts w:ascii="Arial" w:cs="Arial" w:eastAsia="Arial" w:hAnsi="Arial"/>
          <w:sz w:val="19"/>
          <w:szCs w:val="19"/>
          <w:color w:val="auto"/>
        </w:rPr>
      </w:pPr>
    </w:p>
    <w:p>
      <w:pPr>
        <w:ind w:firstLine="1305"/>
        <w:spacing w:after="0" w:line="263" w:lineRule="auto"/>
        <w:tabs>
          <w:tab w:leader="none" w:pos="2197"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enforceable by the Indemnitee’s personal or legal representatives, executors, administrators, heirs, distributees, legatees and other successors.</w:t>
      </w:r>
    </w:p>
    <w:p>
      <w:pPr>
        <w:spacing w:after="0" w:line="215" w:lineRule="exact"/>
        <w:rPr>
          <w:rFonts w:ascii="Arial" w:cs="Arial" w:eastAsia="Arial" w:hAnsi="Arial"/>
          <w:sz w:val="22"/>
          <w:szCs w:val="22"/>
          <w:color w:val="auto"/>
        </w:rPr>
      </w:pPr>
    </w:p>
    <w:p>
      <w:pPr>
        <w:jc w:val="both"/>
        <w:ind w:firstLine="1305"/>
        <w:spacing w:after="0" w:line="294" w:lineRule="auto"/>
        <w:tabs>
          <w:tab w:leader="none" w:pos="2185"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This Agreement is personal in nature and neither of the parties hereto shall, without the consent of the other, assign or delegate this Agreement or any rights or obligations hereunder except as expressly provided in Sections 16(a) and 16(b). Without limiting the generality or effect of the foregoing, Indemnitee’s right to receive payments hereunder shall not be assignable, whether by pledge, creation of a security interest or otherwise, other than by a transfer by the Indemnitee’s will or by the laws of descent and distribution, and, in the event of any attempted assignment or transfer contrary to this Section 16(c), the Company shall have no liability to pay any amount so attempted to be assigned or transferred.</w:t>
      </w:r>
    </w:p>
    <w:p>
      <w:pPr>
        <w:spacing w:after="0" w:line="190" w:lineRule="exact"/>
        <w:rPr>
          <w:rFonts w:ascii="Arial" w:cs="Arial" w:eastAsia="Arial" w:hAnsi="Arial"/>
          <w:sz w:val="19"/>
          <w:szCs w:val="19"/>
          <w:color w:val="auto"/>
        </w:rPr>
      </w:pPr>
    </w:p>
    <w:p>
      <w:pPr>
        <w:jc w:val="both"/>
        <w:ind w:firstLine="1305"/>
        <w:spacing w:after="0" w:line="302" w:lineRule="auto"/>
        <w:tabs>
          <w:tab w:leader="none" w:pos="2197" w:val="left"/>
        </w:tabs>
        <w:numPr>
          <w:ilvl w:val="1"/>
          <w:numId w:val="30"/>
        </w:numPr>
        <w:rPr>
          <w:rFonts w:ascii="Arial" w:cs="Arial" w:eastAsia="Arial" w:hAnsi="Arial"/>
          <w:sz w:val="19"/>
          <w:szCs w:val="19"/>
          <w:color w:val="auto"/>
        </w:rPr>
      </w:pPr>
      <w:r>
        <w:rPr>
          <w:rFonts w:ascii="Arial" w:cs="Arial" w:eastAsia="Arial" w:hAnsi="Arial"/>
          <w:sz w:val="19"/>
          <w:szCs w:val="19"/>
          <w:color w:val="auto"/>
        </w:rPr>
        <w:t>For the avoidance of doubt, this Agreement shall survive and continue after any termination of Indemnitee’s service as a director, officer, employee or agent of the Company or as a director, officer, employee, member, manager, trustee or agent of any Subsidiary or other corporation, limited liability company, partnership, joint venture, trust or other entity or enterprise, whether or not for profit, as to which Indemnitee is or was serving at the request of the Company.</w:t>
      </w:r>
    </w:p>
    <w:p>
      <w:pPr>
        <w:spacing w:after="0" w:line="183" w:lineRule="exact"/>
        <w:rPr>
          <w:rFonts w:ascii="Arial" w:cs="Arial" w:eastAsia="Arial" w:hAnsi="Arial"/>
          <w:sz w:val="19"/>
          <w:szCs w:val="19"/>
          <w:color w:val="auto"/>
        </w:rPr>
      </w:pPr>
    </w:p>
    <w:p>
      <w:pPr>
        <w:jc w:val="both"/>
        <w:ind w:firstLine="1305"/>
        <w:spacing w:after="0" w:line="248" w:lineRule="auto"/>
        <w:tabs>
          <w:tab w:leader="none" w:pos="2185" w:val="left"/>
        </w:tabs>
        <w:numPr>
          <w:ilvl w:val="1"/>
          <w:numId w:val="30"/>
        </w:numPr>
        <w:rPr>
          <w:rFonts w:ascii="Arial" w:cs="Arial" w:eastAsia="Arial" w:hAnsi="Arial"/>
          <w:sz w:val="22"/>
          <w:szCs w:val="22"/>
          <w:color w:val="auto"/>
        </w:rPr>
      </w:pPr>
      <w:r>
        <w:rPr>
          <w:rFonts w:ascii="Arial" w:cs="Arial" w:eastAsia="Arial" w:hAnsi="Arial"/>
          <w:sz w:val="22"/>
          <w:szCs w:val="22"/>
          <w:color w:val="auto"/>
        </w:rPr>
        <w:t>[For employees: This Agreement is not, and shall not be deemed as, an employment agreement between the Company (or any of its Subsidiaries or affiliates) and Indemnitee. Indemnitee specifically acknowledges that any employment with the Company or any of its Subsidiaries is at will and the Indemnitee may be discharged at any time for any reason, with or without cause, except as may be otherwise provided in any written employment agreement between Indemnitee and the Company or its Subsidiary.]</w:t>
      </w:r>
    </w:p>
    <w:p>
      <w:pPr>
        <w:spacing w:after="0" w:line="226" w:lineRule="exact"/>
        <w:rPr>
          <w:rFonts w:ascii="Arial" w:cs="Arial" w:eastAsia="Arial" w:hAnsi="Arial"/>
          <w:sz w:val="22"/>
          <w:szCs w:val="22"/>
          <w:color w:val="auto"/>
        </w:rPr>
      </w:pPr>
    </w:p>
    <w:p>
      <w:pPr>
        <w:jc w:val="both"/>
        <w:ind w:firstLine="656"/>
        <w:spacing w:after="0" w:line="252" w:lineRule="auto"/>
        <w:tabs>
          <w:tab w:leader="none" w:pos="1567"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For all purposes of this Agreement, all communications, including without limitation notices, consents,</w:t>
      </w:r>
      <w:r>
        <w:rPr>
          <w:rFonts w:ascii="Arial" w:cs="Arial" w:eastAsia="Arial" w:hAnsi="Arial"/>
          <w:sz w:val="22"/>
          <w:szCs w:val="22"/>
          <w:b w:val="1"/>
          <w:bCs w:val="1"/>
          <w:color w:val="auto"/>
        </w:rPr>
        <w:t xml:space="preserve"> </w:t>
      </w:r>
      <w:r>
        <w:rPr>
          <w:rFonts w:ascii="Arial" w:cs="Arial" w:eastAsia="Arial" w:hAnsi="Arial"/>
          <w:sz w:val="22"/>
          <w:szCs w:val="22"/>
          <w:color w:val="auto"/>
        </w:rPr>
        <w:t>requests or approvals, required or permitted to be given hereunder must be in writing and shall be deemed to have been duly given when hand delivered or dispatched as a PDF by electronic transmission (with receipt confirmed), or one business day after having been sent for next-day delivery by</w:t>
      </w:r>
    </w:p>
    <w:p>
      <w:pPr>
        <w:sectPr>
          <w:pgSz w:w="11900" w:h="16838" w:orient="portrait"/>
          <w:cols w:equalWidth="0" w:num="1">
            <w:col w:w="11420"/>
          </w:cols>
          <w:pgMar w:left="240" w:top="591" w:right="239" w:bottom="1440" w:gutter="0" w:footer="0" w:header="0"/>
        </w:sectPr>
      </w:pPr>
    </w:p>
    <w:bookmarkStart w:id="64" w:name="page65"/>
    <w:bookmarkEnd w:id="64"/>
    <w:p>
      <w:pPr>
        <w:jc w:val="both"/>
        <w:spacing w:after="0" w:line="250" w:lineRule="auto"/>
        <w:rPr>
          <w:sz w:val="20"/>
          <w:szCs w:val="20"/>
          <w:color w:val="auto"/>
        </w:rPr>
      </w:pPr>
      <w:r>
        <w:rPr>
          <w:rFonts w:ascii="Arial" w:cs="Arial" w:eastAsia="Arial" w:hAnsi="Arial"/>
          <w:sz w:val="22"/>
          <w:szCs w:val="22"/>
          <w:color w:val="auto"/>
        </w:rPr>
        <w:t>a nationally recognized overnight courier service, addressed to the Company (to the attention of the Secretary of the Company) and to Indemnitee at the applicable address shown on the signature page hereto, or to such other address as any party may have furnished to the other in writing and in accordance herewith, except that notices of changes of address will be effective only upon receipt.</w:t>
      </w:r>
    </w:p>
    <w:p>
      <w:pPr>
        <w:spacing w:after="0" w:line="223" w:lineRule="exact"/>
        <w:rPr>
          <w:sz w:val="20"/>
          <w:szCs w:val="20"/>
          <w:color w:val="auto"/>
        </w:rPr>
      </w:pPr>
    </w:p>
    <w:p>
      <w:pPr>
        <w:jc w:val="both"/>
        <w:ind w:firstLine="656"/>
        <w:spacing w:after="0" w:line="293" w:lineRule="auto"/>
        <w:tabs>
          <w:tab w:leader="none" w:pos="1567"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validity, interpretation, construction and performance of this Agreement shall be governed</w:t>
      </w:r>
      <w:r>
        <w:rPr>
          <w:rFonts w:ascii="Arial" w:cs="Arial" w:eastAsia="Arial" w:hAnsi="Arial"/>
          <w:sz w:val="19"/>
          <w:szCs w:val="19"/>
          <w:b w:val="1"/>
          <w:bCs w:val="1"/>
          <w:color w:val="auto"/>
        </w:rPr>
        <w:t xml:space="preserve"> </w:t>
      </w:r>
      <w:r>
        <w:rPr>
          <w:rFonts w:ascii="Arial" w:cs="Arial" w:eastAsia="Arial" w:hAnsi="Arial"/>
          <w:sz w:val="19"/>
          <w:szCs w:val="19"/>
          <w:color w:val="auto"/>
        </w:rPr>
        <w:t>by and construed in accordance with the substantive laws of the State of Delaware, without giving effect to the principles of conflict of laws of such State. The Company and Indemnitee each hereby irrevocably consent to the jurisdiction of the Chancery Court of the State of Delaware for all purposes in connection with any action or proceeding which arises out of or relates to this Agreement, waive all procedural objections to suit in that jurisdiction, including without limitation objections as to venue or inconvenience, agree that service in any such action may be made by notice given in accordance with Section 16 and also agree that any action instituted under this Agreement shall be brought only in the Chancery Court of the State of Delaware.</w:t>
      </w:r>
    </w:p>
    <w:p>
      <w:pPr>
        <w:spacing w:after="0" w:line="185" w:lineRule="exact"/>
        <w:rPr>
          <w:rFonts w:ascii="Arial" w:cs="Arial" w:eastAsia="Arial" w:hAnsi="Arial"/>
          <w:sz w:val="19"/>
          <w:szCs w:val="19"/>
          <w:color w:val="auto"/>
        </w:rPr>
      </w:pPr>
    </w:p>
    <w:p>
      <w:pPr>
        <w:jc w:val="both"/>
        <w:ind w:left="80" w:firstLine="657"/>
        <w:spacing w:after="0" w:line="290" w:lineRule="auto"/>
        <w:tabs>
          <w:tab w:leader="none" w:pos="1566" w:val="left"/>
        </w:tabs>
        <w:numPr>
          <w:ilvl w:val="1"/>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Validity. </w:t>
      </w:r>
      <w:r>
        <w:rPr>
          <w:rFonts w:ascii="Arial" w:cs="Arial" w:eastAsia="Arial" w:hAnsi="Arial"/>
          <w:sz w:val="19"/>
          <w:szCs w:val="19"/>
          <w:color w:val="auto"/>
        </w:rPr>
        <w:t>If any provision of this Agreement or the application of any provision hereof to any Person or</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 is held invalid, unenforceable or otherwise illegal, the remainder of this Agreement and the application of such provision to any other Person or circumstance shall not be affected, and the provision so held to be invalid, unenforceable or otherwise illegal shall be reformed to the extent, and only to the extent, necessary to make it enforceable, valid or legal. In the event that any court or other adjudicative body shall decline to reform any provision of this Agreement held to be invalid, unenforceable or otherwise illegal as contemplated by the immediately preceding sentence, the parties thereto shall take all such action as may be necessary or appropriate to replace the provision so held to be invalid, unenforceable or otherwise illegal with one or more alternative provisions that effectuate the purpose and intent of the original provisions of this Agreement as fully as possible without being invalid, unenforceable or otherwise illegal.</w:t>
      </w:r>
    </w:p>
    <w:p>
      <w:pPr>
        <w:spacing w:after="0" w:line="190" w:lineRule="exact"/>
        <w:rPr>
          <w:sz w:val="20"/>
          <w:szCs w:val="20"/>
          <w:color w:val="auto"/>
        </w:rPr>
      </w:pPr>
    </w:p>
    <w:p>
      <w:pPr>
        <w:jc w:val="both"/>
        <w:ind w:firstLine="656"/>
        <w:spacing w:after="0" w:line="262" w:lineRule="auto"/>
        <w:tabs>
          <w:tab w:leader="none" w:pos="1567"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 xml:space="preserve">Miscellaneous. </w:t>
      </w:r>
      <w:r>
        <w:rPr>
          <w:rFonts w:ascii="Arial" w:cs="Arial" w:eastAsia="Arial" w:hAnsi="Arial"/>
          <w:sz w:val="21"/>
          <w:szCs w:val="21"/>
          <w:color w:val="auto"/>
        </w:rPr>
        <w:t>No provision of this Agreement may be waived, modified or discharged unless such waiver,</w:t>
      </w:r>
      <w:r>
        <w:rPr>
          <w:rFonts w:ascii="Arial" w:cs="Arial" w:eastAsia="Arial" w:hAnsi="Arial"/>
          <w:sz w:val="21"/>
          <w:szCs w:val="21"/>
          <w:b w:val="1"/>
          <w:bCs w:val="1"/>
          <w:color w:val="auto"/>
        </w:rPr>
        <w:t xml:space="preserve"> </w:t>
      </w:r>
      <w:r>
        <w:rPr>
          <w:rFonts w:ascii="Arial" w:cs="Arial" w:eastAsia="Arial" w:hAnsi="Arial"/>
          <w:sz w:val="21"/>
          <w:szCs w:val="21"/>
          <w:color w:val="auto"/>
        </w:rPr>
        <w:t>modification or discharge is agreed to in writing signed by Indemnitee and the Company. No waiver by either party hereto at any time of any breach by the other party hereto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w:t>
      </w:r>
    </w:p>
    <w:p>
      <w:pPr>
        <w:spacing w:after="0" w:line="214" w:lineRule="exact"/>
        <w:rPr>
          <w:rFonts w:ascii="Arial" w:cs="Arial" w:eastAsia="Arial" w:hAnsi="Arial"/>
          <w:sz w:val="21"/>
          <w:szCs w:val="21"/>
          <w:color w:val="auto"/>
        </w:rPr>
      </w:pPr>
    </w:p>
    <w:p>
      <w:pPr>
        <w:jc w:val="both"/>
        <w:ind w:firstLine="656"/>
        <w:spacing w:after="0" w:line="287" w:lineRule="auto"/>
        <w:tabs>
          <w:tab w:leader="none" w:pos="1567"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Legal Fees and Expenses. </w:t>
      </w:r>
      <w:r>
        <w:rPr>
          <w:rFonts w:ascii="Arial" w:cs="Arial" w:eastAsia="Arial" w:hAnsi="Arial"/>
          <w:sz w:val="19"/>
          <w:szCs w:val="19"/>
          <w:color w:val="auto"/>
        </w:rPr>
        <w:t>It is the intent of the Company that Indemnitee not be required to incur legal fees and</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Expenses associated with the interpretation, enforcement or defense of Indemnitee’s rights under this Agreement by litigation or otherwise because the cost and expense thereof would substantially detract from the benefits intended to be extended to Indemnitee hereunder. Accordingly, without limiting the generality or effect of any other provision hereof, if it should reasonably appear to Indemnitee that the Company has failed to comply with any of its obligations under this Agreement or in the event that the Company or any other Person takes or threatens to take any action to declare this Agreement void or unenforceable, or institutes any litigation or other action or proceeding designed to improperly deny, or to improperly recover from, Indemnitee the benefits provided or intended to be provided to Indemnitee hereunder, the Company irrevocably authorizes the Indemnitee from time to time to retain counsel of Indemnitee’s choice (so long as such counsel is not then serving as counsel to the Company or any of its Subsidiaries), at the expense of the Company as hereafter provided, to advise and represent Indemnitee in connection with any such interpretation, enforcement or defense, including without limitation the initiation or defense of any litigation or other legal action, whether by or against the Company or any director, officer, stockholder or other Person affiliated with the Company, in any jurisdiction. Without limiting the generality</w:t>
      </w:r>
    </w:p>
    <w:p>
      <w:pPr>
        <w:sectPr>
          <w:pgSz w:w="11900" w:h="16838" w:orient="portrait"/>
          <w:cols w:equalWidth="0" w:num="1">
            <w:col w:w="11420"/>
          </w:cols>
          <w:pgMar w:left="240" w:top="591" w:right="239" w:bottom="1440" w:gutter="0" w:footer="0" w:header="0"/>
        </w:sectPr>
      </w:pPr>
    </w:p>
    <w:bookmarkStart w:id="65" w:name="page66"/>
    <w:bookmarkEnd w:id="65"/>
    <w:p>
      <w:pPr>
        <w:jc w:val="both"/>
        <w:spacing w:after="0" w:line="253" w:lineRule="auto"/>
        <w:rPr>
          <w:sz w:val="20"/>
          <w:szCs w:val="20"/>
          <w:color w:val="auto"/>
        </w:rPr>
      </w:pPr>
      <w:r>
        <w:rPr>
          <w:rFonts w:ascii="Arial" w:cs="Arial" w:eastAsia="Arial" w:hAnsi="Arial"/>
          <w:sz w:val="22"/>
          <w:szCs w:val="22"/>
          <w:color w:val="auto"/>
        </w:rPr>
        <w:t>or effect of any other provision hereof or respect to whether Indemnitee prevails, in whole or in part, in connection with any of the foregoing, the Company will pay and be solely financially responsible for any and all attorneys’ and related fees and expenses actually and reasonably incurred by Indemnitee in connection with any of the foregoing.</w:t>
      </w:r>
    </w:p>
    <w:p>
      <w:pPr>
        <w:spacing w:after="0" w:line="220" w:lineRule="exact"/>
        <w:rPr>
          <w:sz w:val="20"/>
          <w:szCs w:val="20"/>
          <w:color w:val="auto"/>
        </w:rPr>
      </w:pPr>
    </w:p>
    <w:p>
      <w:pPr>
        <w:jc w:val="both"/>
        <w:ind w:firstLine="656"/>
        <w:spacing w:after="0" w:line="289" w:lineRule="auto"/>
        <w:tabs>
          <w:tab w:leader="none" w:pos="1567"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 xml:space="preserve">Certain Interpretive Matters. </w:t>
      </w:r>
      <w:r>
        <w:rPr>
          <w:rFonts w:ascii="Arial" w:cs="Arial" w:eastAsia="Arial" w:hAnsi="Arial"/>
          <w:sz w:val="19"/>
          <w:szCs w:val="19"/>
          <w:color w:val="auto"/>
        </w:rPr>
        <w:t>Unless the context of this Agreement otherwise requires, (1) “it” or “its” or</w:t>
      </w:r>
      <w:r>
        <w:rPr>
          <w:rFonts w:ascii="Arial" w:cs="Arial" w:eastAsia="Arial" w:hAnsi="Arial"/>
          <w:sz w:val="19"/>
          <w:szCs w:val="19"/>
          <w:b w:val="1"/>
          <w:bCs w:val="1"/>
          <w:color w:val="auto"/>
        </w:rPr>
        <w:t xml:space="preserve"> </w:t>
      </w:r>
      <w:r>
        <w:rPr>
          <w:rFonts w:ascii="Arial" w:cs="Arial" w:eastAsia="Arial" w:hAnsi="Arial"/>
          <w:sz w:val="19"/>
          <w:szCs w:val="19"/>
          <w:color w:val="auto"/>
        </w:rPr>
        <w:t>words of any gender include each other gender, (2) words using the singular or plural number also include the plural or singular number, respectively, (3) the terms “hereof,” “herein,” “hereby” and derivative or similar words refer to this entire Agreement, (4) the terms “Article,” “Section,” “Annex” or “Exhibit” refer to the specified Article, Section, Annex or Exhibit of or to this Agreement, (5) the terms “include,” “includes” and “including” will be deemed to be followed by the words “without limitation” (whether or not so expressed), and (6) the word “or” is disjunctive but not exclusive. Whenever this Agreement refers to a number of days, such number will refer to calendar days unless business days are specified and whenever action must be taken (including the giving of notice or the delivery of documents) under this Agreement during a certain period of time or by a particular date that ends or occurs on a non-business day, then such period or date will be extended until the immediately following business day. As used herein, “business day” means any day other than Saturday, Sunday or a United States federal holiday.</w:t>
      </w:r>
    </w:p>
    <w:p>
      <w:pPr>
        <w:spacing w:after="0" w:line="191" w:lineRule="exact"/>
        <w:rPr>
          <w:rFonts w:ascii="Arial" w:cs="Arial" w:eastAsia="Arial" w:hAnsi="Arial"/>
          <w:sz w:val="19"/>
          <w:szCs w:val="19"/>
          <w:color w:val="auto"/>
        </w:rPr>
      </w:pPr>
    </w:p>
    <w:p>
      <w:pPr>
        <w:jc w:val="both"/>
        <w:ind w:firstLine="656"/>
        <w:spacing w:after="0" w:line="252" w:lineRule="auto"/>
        <w:tabs>
          <w:tab w:leader="none" w:pos="1567"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Entire Agreement. </w:t>
      </w:r>
      <w:r>
        <w:rPr>
          <w:rFonts w:ascii="Arial" w:cs="Arial" w:eastAsia="Arial" w:hAnsi="Arial"/>
          <w:sz w:val="22"/>
          <w:szCs w:val="22"/>
          <w:color w:val="auto"/>
        </w:rPr>
        <w:t>This Agreement and the Constituent Documents constitute the entire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supersede all prior agreements and understandings, both written and oral, between the parties hereto with respect to the subject matter of this Agreement. Any prior agreements or understandings between the parties hereto with respect to indemnification are hereby terminated and of no further force or effect.</w:t>
      </w:r>
    </w:p>
    <w:p>
      <w:pPr>
        <w:spacing w:after="0" w:line="220" w:lineRule="exact"/>
        <w:rPr>
          <w:rFonts w:ascii="Arial" w:cs="Arial" w:eastAsia="Arial" w:hAnsi="Arial"/>
          <w:sz w:val="22"/>
          <w:szCs w:val="22"/>
          <w:color w:val="auto"/>
        </w:rPr>
      </w:pPr>
    </w:p>
    <w:p>
      <w:pPr>
        <w:ind w:right="20" w:firstLine="656"/>
        <w:spacing w:after="0" w:line="269" w:lineRule="auto"/>
        <w:tabs>
          <w:tab w:leader="none" w:pos="1567"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one or more counterparts, each of which will be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be an original but all of which together shall constitute one and the same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591" w:right="239" w:bottom="1440" w:gutter="0" w:footer="0" w:header="0"/>
        </w:sectPr>
      </w:pPr>
    </w:p>
    <w:bookmarkStart w:id="66" w:name="page67"/>
    <w:bookmarkEnd w:id="66"/>
    <w:p>
      <w:pPr>
        <w:ind w:firstLine="648"/>
        <w:spacing w:after="0" w:line="263" w:lineRule="auto"/>
        <w:rPr>
          <w:sz w:val="20"/>
          <w:szCs w:val="20"/>
          <w:color w:val="auto"/>
        </w:rPr>
      </w:pPr>
      <w:r>
        <w:rPr>
          <w:rFonts w:ascii="Arial" w:cs="Arial" w:eastAsia="Arial" w:hAnsi="Arial"/>
          <w:sz w:val="22"/>
          <w:szCs w:val="22"/>
          <w:color w:val="auto"/>
        </w:rPr>
        <w:t>IN WITNESS WHEREOF, Indemnitee has executed and the Company has caused its duly authorized representative to execute this Agreement as of the date first above written.</w:t>
      </w:r>
    </w:p>
    <w:p>
      <w:pPr>
        <w:spacing w:after="0" w:line="323"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GENERAL MOTORS COMPANY</w:t>
      </w:r>
    </w:p>
    <w:p>
      <w:pPr>
        <w:spacing w:after="0" w:line="44"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213360</wp:posOffset>
            </wp:positionV>
            <wp:extent cx="3353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35"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Name:</w:t>
      </w:r>
    </w:p>
    <w:p>
      <w:pPr>
        <w:spacing w:after="0" w:line="341"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179070</wp:posOffset>
            </wp:positionV>
            <wp:extent cx="3353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INDEMNITEE</w:t>
      </w:r>
    </w:p>
    <w:p>
      <w:pPr>
        <w:spacing w:after="0" w:line="200" w:lineRule="exact"/>
        <w:rPr>
          <w:sz w:val="20"/>
          <w:szCs w:val="20"/>
          <w:color w:val="auto"/>
        </w:rPr>
      </w:pPr>
    </w:p>
    <w:p>
      <w:pPr>
        <w:spacing w:after="0" w:line="276"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_____________________________________</w:t>
      </w:r>
    </w:p>
    <w:p>
      <w:pPr>
        <w:spacing w:after="0" w:line="44"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179070</wp:posOffset>
            </wp:positionV>
            <wp:extent cx="3353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ectPr>
          <w:pgSz w:w="11900" w:h="16838" w:orient="portrait"/>
          <w:cols w:equalWidth="0" w:num="1">
            <w:col w:w="11420"/>
          </w:cols>
          <w:pgMar w:left="240" w:top="1063"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&amp;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21, 2016</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21, 2016</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connection with the Quarterly Report of General Motors Company (the “Company”) on Form 10-Q for the period ended March 31, 2016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81" w:lineRule="exact"/>
        <w:rPr>
          <w:sz w:val="20"/>
          <w:szCs w:val="20"/>
          <w:color w:val="auto"/>
        </w:rPr>
      </w:pPr>
    </w:p>
    <w:p>
      <w:pPr>
        <w:ind w:left="720" w:hanging="17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&amp; 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21,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lvl w:ilvl="1">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Letter"/>
      <w:start w:val="4"/>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2"/>
    </w:lvl>
  </w:abstractNum>
  <w:abstractNum w:abstractNumId="13">
    <w:nsid w:val="79838CB2"/>
    <w:multiLevelType w:val="hybridMultilevel"/>
    <w:lvl w:ilvl="0">
      <w:lvlJc w:val="left"/>
      <w:lvlText w:val="%1)"/>
      <w:numFmt w:val="lowerLetter"/>
      <w:start w:val="12"/>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upperLetter"/>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1)"/>
      <w:numFmt w:val="lowerLetter"/>
      <w:start w:val="2"/>
    </w:lvl>
  </w:abstractNum>
  <w:abstractNum w:abstractNumId="20">
    <w:nsid w:val="836C40E"/>
    <w:multiLevelType w:val="hybridMultilevel"/>
    <w:lvl w:ilvl="0">
      <w:lvlJc w:val="left"/>
      <w:lvlText w:val="(%1)"/>
      <w:numFmt w:val="lowerLetter"/>
      <w:start w:val="9"/>
    </w:lvl>
  </w:abstractNum>
  <w:abstractNum w:abstractNumId="21">
    <w:nsid w:val="2901D82"/>
    <w:multiLevelType w:val="hybridMultilevel"/>
    <w:lvl w:ilvl="0">
      <w:lvlJc w:val="left"/>
      <w:lvlText w:val="%1"/>
      <w:numFmt w:val="decimal"/>
      <w:start w:val="1"/>
    </w:lvl>
    <w:lvl w:ilvl="1">
      <w:lvlJc w:val="left"/>
      <w:lvlText w:val="(%2)"/>
      <w:numFmt w:val="lowerLetter"/>
      <w:start w:val="12"/>
    </w:lvl>
  </w:abstractNum>
  <w:abstractNum w:abstractNumId="22">
    <w:nsid w:val="3A95F874"/>
    <w:multiLevelType w:val="hybridMultilevel"/>
    <w:lvl w:ilvl="0">
      <w:lvlJc w:val="left"/>
      <w:lvlText w:val="%1."/>
      <w:numFmt w:val="decimal"/>
      <w:start w:val="2"/>
    </w:lvl>
    <w:lvl w:ilvl="1">
      <w:lvlJc w:val="left"/>
      <w:lvlText w:val="%2"/>
      <w:numFmt w:val="lowerLetter"/>
      <w:start w:val="1"/>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1."/>
      <w:numFmt w:val="decimal"/>
      <w:start w:val="7"/>
    </w:lvl>
    <w:lvl w:ilvl="1">
      <w:lvlJc w:val="left"/>
      <w:lvlText w:val="(%2)"/>
      <w:numFmt w:val="lowerLetter"/>
      <w:start w:val="1"/>
    </w:lvl>
  </w:abstractNum>
  <w:abstractNum w:abstractNumId="25">
    <w:nsid w:val="7C3DBD3D"/>
    <w:multiLevelType w:val="hybridMultilevel"/>
    <w:lvl w:ilvl="0">
      <w:lvlJc w:val="left"/>
      <w:lvlText w:val="(%1)"/>
      <w:numFmt w:val="lowerLetter"/>
      <w:start w:val="4"/>
    </w:lvl>
  </w:abstractNum>
  <w:abstractNum w:abstractNumId="26">
    <w:nsid w:val="737B8DDC"/>
    <w:multiLevelType w:val="hybridMultilevel"/>
    <w:lvl w:ilvl="0">
      <w:lvlJc w:val="left"/>
      <w:lvlText w:val="%1."/>
      <w:numFmt w:val="decimal"/>
      <w:start w:val="8"/>
    </w:lvl>
  </w:abstractNum>
  <w:abstractNum w:abstractNumId="27">
    <w:nsid w:val="6CEAF087"/>
    <w:multiLevelType w:val="hybridMultilevel"/>
    <w:lvl w:ilvl="0">
      <w:lvlJc w:val="left"/>
      <w:lvlText w:val="%1."/>
      <w:numFmt w:val="decimal"/>
      <w:start w:val="12"/>
    </w:lvl>
    <w:lvl w:ilvl="1">
      <w:lvlJc w:val="left"/>
      <w:lvlText w:val="%2."/>
      <w:numFmt w:val="decimal"/>
      <w:start w:val="13"/>
    </w:lvl>
  </w:abstractNum>
  <w:abstractNum w:abstractNumId="28">
    <w:nsid w:val="22221A70"/>
    <w:multiLevelType w:val="hybridMultilevel"/>
    <w:lvl w:ilvl="0">
      <w:lvlJc w:val="left"/>
      <w:lvlText w:val="%1."/>
      <w:numFmt w:val="decimal"/>
      <w:start w:val="14"/>
    </w:lvl>
  </w:abstractNum>
  <w:abstractNum w:abstractNumId="29">
    <w:nsid w:val="4516DDE9"/>
    <w:multiLevelType w:val="hybridMultilevel"/>
    <w:lvl w:ilvl="0">
      <w:lvlJc w:val="left"/>
      <w:lvlText w:val="%1."/>
      <w:numFmt w:val="decimal"/>
      <w:start w:val="16"/>
    </w:lvl>
    <w:lvl w:ilvl="1">
      <w:lvlJc w:val="left"/>
      <w:lvlText w:val="(%2)"/>
      <w:numFmt w:val="lowerLetter"/>
      <w:start w:val="1"/>
    </w:lvl>
  </w:abstractNum>
  <w:abstractNum w:abstractNumId="30">
    <w:nsid w:val="3006C83E"/>
    <w:multiLevelType w:val="hybridMultilevel"/>
    <w:lvl w:ilvl="0">
      <w:lvlJc w:val="left"/>
      <w:lvlText w:val="%1."/>
      <w:numFmt w:val="decimal"/>
      <w:start w:val="18"/>
    </w:lvl>
    <w:lvl w:ilvl="1">
      <w:lvlJc w:val="left"/>
      <w:lvlText w:val="%2."/>
      <w:numFmt w:val="decimal"/>
      <w:start w:val="19"/>
    </w:lvl>
  </w:abstractNum>
  <w:abstractNum w:abstractNumId="31">
    <w:nsid w:val="614FD4A1"/>
    <w:multiLevelType w:val="hybridMultilevel"/>
    <w:lvl w:ilvl="0">
      <w:lvlJc w:val="left"/>
      <w:lvlText w:val="%1."/>
      <w:numFmt w:val="decimal"/>
      <w:start w:val="20"/>
    </w:lvl>
  </w:abstractNum>
  <w:abstractNum w:abstractNumId="32">
    <w:nsid w:val="419AC241"/>
    <w:multiLevelType w:val="hybridMultilevel"/>
    <w:lvl w:ilvl="0">
      <w:lvlJc w:val="left"/>
      <w:lvlText w:val="%1."/>
      <w:numFmt w:val="decimal"/>
      <w:start w:val="22"/>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2019-12-29T12:08:44Z</dcterms:created>
  <dcterms:modified xsi:type="dcterms:W3CDTF">2019-12-29T12:08:44Z</dcterms:modified>
</cp:coreProperties>
</file>