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-598170</wp:posOffset>
            </wp:positionV>
            <wp:extent cx="8255" cy="59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-606425</wp:posOffset>
            </wp:positionV>
            <wp:extent cx="825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06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-582295</wp:posOffset>
            </wp:positionV>
            <wp:extent cx="1270635" cy="558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588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72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402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Blissett Julian G.</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940"/>
        <w:spacing w:after="0" w:line="321" w:lineRule="auto"/>
        <w:rPr>
          <w:sz w:val="20"/>
          <w:szCs w:val="20"/>
          <w:color w:val="auto"/>
        </w:rPr>
      </w:pPr>
      <w:r>
        <w:rPr>
          <w:rFonts w:ascii="Arial" w:cs="Arial" w:eastAsia="Arial" w:hAnsi="Arial"/>
          <w:sz w:val="16"/>
          <w:szCs w:val="16"/>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03/18/2021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3"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53"/>
        <w:spacing w:after="0"/>
        <w:rPr>
          <w:sz w:val="20"/>
          <w:szCs w:val="20"/>
          <w:color w:val="auto"/>
        </w:rPr>
      </w:pPr>
      <w:r>
        <w:rPr>
          <w:rFonts w:ascii="Arial" w:cs="Arial" w:eastAsia="Arial" w:hAnsi="Arial"/>
          <w:sz w:val="17"/>
          <w:szCs w:val="17"/>
          <w:color w:val="0000FF"/>
        </w:rPr>
        <w:t>Executive Vice President</w:t>
      </w:r>
    </w:p>
    <w:p>
      <w:pPr>
        <w:spacing w:after="0" w:line="425" w:lineRule="exact"/>
        <w:rPr>
          <w:sz w:val="24"/>
          <w:szCs w:val="24"/>
          <w:color w:val="auto"/>
        </w:rPr>
      </w:pPr>
    </w:p>
    <w:p>
      <w:pPr>
        <w:sectPr>
          <w:pgSz w:w="11900" w:h="16838" w:orient="portrait"/>
          <w:cols w:equalWidth="0" w:num="3">
            <w:col w:w="3180" w:space="720"/>
            <w:col w:w="3107" w:space="720"/>
            <w:col w:w="3353"/>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40" w:type="dxa"/>
            <w:vAlign w:val="bottom"/>
            <w:gridSpan w:val="5"/>
          </w:tcPr>
          <w:p>
            <w:pPr>
              <w:jc w:val="center"/>
              <w:ind w:right="117"/>
              <w:spacing w:after="0" w:line="96" w:lineRule="exact"/>
              <w:rPr>
                <w:sz w:val="20"/>
                <w:szCs w:val="20"/>
                <w:color w:val="auto"/>
              </w:rPr>
            </w:pPr>
            <w:r>
              <w:rPr>
                <w:rFonts w:ascii="Arial" w:cs="Arial" w:eastAsia="Arial" w:hAnsi="Arial"/>
                <w:sz w:val="11"/>
                <w:szCs w:val="11"/>
                <w:color w:val="auto"/>
              </w:rPr>
              <w:t>4. If Amendment, Date of Original Filed (Month/Day/Year)</w:t>
            </w:r>
          </w:p>
        </w:tc>
        <w:tc>
          <w:tcPr>
            <w:tcW w:w="3600" w:type="dxa"/>
            <w:vAlign w:val="bottom"/>
            <w:gridSpan w:val="11"/>
          </w:tcPr>
          <w:p>
            <w:pPr>
              <w:ind w:left="240"/>
              <w:spacing w:after="0" w:line="96"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0" w:type="dxa"/>
            <w:vAlign w:val="bottom"/>
            <w:gridSpan w:val="11"/>
            <w:vMerge w:val="restart"/>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48265</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3"/>
          </w:tcPr>
          <w:p>
            <w:pPr>
              <w:ind w:left="7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03/18/2021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15,533</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34.34</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49,926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03/18/2021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15,533</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0"/>
              </w:rPr>
              <w:t>$</w:t>
            </w:r>
            <w:r>
              <w:rPr>
                <w:rFonts w:ascii="Arial" w:cs="Arial" w:eastAsia="Arial" w:hAnsi="Arial"/>
                <w:sz w:val="17"/>
                <w:szCs w:val="17"/>
                <w:color w:val="0000FF"/>
                <w:w w:val="80"/>
              </w:rPr>
              <w:t>62.03</w:t>
            </w:r>
            <w:r>
              <w:rPr>
                <w:rFonts w:ascii="Arial" w:cs="Arial" w:eastAsia="Arial" w:hAnsi="Arial"/>
                <w:sz w:val="21"/>
                <w:szCs w:val="21"/>
                <w:color w:val="008000"/>
                <w:w w:val="80"/>
                <w:vertAlign w:val="superscript"/>
              </w:rPr>
              <w:t>(2)</w:t>
            </w:r>
          </w:p>
        </w:tc>
        <w:tc>
          <w:tcPr>
            <w:tcW w:w="126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34,393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72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   Derivative</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vMerge w:val="restart"/>
          </w:tcPr>
          <w:p>
            <w:pPr>
              <w:ind w:left="480"/>
              <w:spacing w:after="0"/>
              <w:rPr>
                <w:sz w:val="20"/>
                <w:szCs w:val="20"/>
                <w:color w:val="auto"/>
              </w:rPr>
            </w:pPr>
            <w:r>
              <w:rPr>
                <w:rFonts w:ascii="Arial" w:cs="Arial" w:eastAsia="Arial" w:hAnsi="Arial"/>
                <w:sz w:val="13"/>
                <w:szCs w:val="13"/>
                <w:color w:val="0000FF"/>
                <w:w w:val="91"/>
              </w:rPr>
              <w:t>15,533</w:t>
            </w:r>
            <w:r>
              <w:rPr>
                <w:rFonts w:ascii="Arial" w:cs="Arial" w:eastAsia="Arial" w:hAnsi="Arial"/>
                <w:sz w:val="21"/>
                <w:szCs w:val="21"/>
                <w:color w:val="008000"/>
                <w:w w:val="91"/>
                <w:vertAlign w:val="superscript"/>
              </w:rPr>
              <w:t>(1)</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15,533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Option</w:t>
            </w:r>
          </w:p>
        </w:tc>
        <w:tc>
          <w:tcPr>
            <w:tcW w:w="620" w:type="dxa"/>
            <w:vAlign w:val="bottom"/>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34.34</w:t>
            </w:r>
          </w:p>
        </w:tc>
        <w:tc>
          <w:tcPr>
            <w:tcW w:w="140" w:type="dxa"/>
            <w:vAlign w:val="bottom"/>
          </w:tcPr>
          <w:p>
            <w:pPr>
              <w:spacing w:after="0"/>
              <w:rPr>
                <w:sz w:val="11"/>
                <w:szCs w:val="11"/>
                <w:color w:val="auto"/>
              </w:rPr>
            </w:pPr>
          </w:p>
        </w:tc>
        <w:tc>
          <w:tcPr>
            <w:tcW w:w="1060" w:type="dxa"/>
            <w:vAlign w:val="bottom"/>
          </w:tcPr>
          <w:p>
            <w:pPr>
              <w:ind w:left="260"/>
              <w:spacing w:after="0" w:line="136" w:lineRule="exact"/>
              <w:rPr>
                <w:sz w:val="20"/>
                <w:szCs w:val="20"/>
                <w:color w:val="auto"/>
              </w:rPr>
            </w:pPr>
            <w:r>
              <w:rPr>
                <w:rFonts w:ascii="Arial" w:cs="Arial" w:eastAsia="Arial" w:hAnsi="Arial"/>
                <w:sz w:val="13"/>
                <w:szCs w:val="13"/>
                <w:color w:val="0000FF"/>
              </w:rPr>
              <w:t>03/18/2021</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3"/>
                <w:szCs w:val="13"/>
                <w:color w:val="0000FF"/>
              </w:rPr>
              <w:t>M</w:t>
            </w:r>
          </w:p>
        </w:tc>
        <w:tc>
          <w:tcPr>
            <w:tcW w:w="10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ind w:left="80"/>
              <w:spacing w:after="0" w:line="136" w:lineRule="exact"/>
              <w:rPr>
                <w:sz w:val="20"/>
                <w:szCs w:val="20"/>
                <w:color w:val="auto"/>
              </w:rPr>
            </w:pPr>
            <w:r>
              <w:rPr>
                <w:rFonts w:ascii="Arial" w:cs="Arial" w:eastAsia="Arial" w:hAnsi="Arial"/>
                <w:sz w:val="13"/>
                <w:szCs w:val="13"/>
                <w:color w:val="0000FF"/>
              </w:rPr>
              <w:t>06/07/2027</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tcPr>
          <w:p>
            <w:pPr>
              <w:ind w:left="360"/>
              <w:spacing w:after="0" w:line="13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-3148965</wp:posOffset>
            </wp:positionV>
            <wp:extent cx="7034530" cy="3286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32867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w:t>
      </w:r>
    </w:p>
    <w:p>
      <w:pPr>
        <w:spacing w:after="0" w:line="41" w:lineRule="exact"/>
        <w:rPr>
          <w:rFonts w:ascii="Arial" w:cs="Arial" w:eastAsia="Arial" w:hAnsi="Arial"/>
          <w:sz w:val="13"/>
          <w:szCs w:val="13"/>
          <w:color w:val="008000"/>
        </w:rPr>
      </w:pPr>
    </w:p>
    <w:p>
      <w:pPr>
        <w:ind w:left="40" w:right="220"/>
        <w:spacing w:after="0" w:line="28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$62.00 to $62.12, inclusive. The Reporting Person undertakes to provide to the SEC, GM and any security holder, upon request, full information regarding the number of shares sold at each price point within the ranges set forth in this footnote.</w:t>
      </w:r>
    </w:p>
    <w:p>
      <w:pPr>
        <w:spacing w:after="0" w:line="4" w:lineRule="exact"/>
        <w:rPr>
          <w:rFonts w:ascii="Arial" w:cs="Arial" w:eastAsia="Arial" w:hAnsi="Arial"/>
          <w:sz w:val="12"/>
          <w:szCs w:val="12"/>
          <w:color w:val="008000"/>
        </w:rPr>
      </w:pPr>
    </w:p>
    <w:p>
      <w:pPr>
        <w:ind w:left="40" w:right="32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were granted on June 7, 2017, under the Company's 2017 Long-Term Incentive Plan. The options became exercisable in three equal installments on February 14, 2018, February 14, 2019, and February 14, 2020.</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Arial" w:cs="Arial" w:eastAsia="Arial" w:hAnsi="Arial"/>
          <w:sz w:val="17"/>
          <w:szCs w:val="17"/>
          <w:color w:val="0000FF"/>
        </w:rPr>
        <w:t xml:space="preserve">/s/ Tia Y. Turk, Attorney-in-Fact </w:t>
      </w:r>
      <w:r>
        <w:rPr>
          <w:rFonts w:ascii="Arial" w:cs="Arial" w:eastAsia="Arial" w:hAnsi="Arial"/>
          <w:sz w:val="33"/>
          <w:szCs w:val="33"/>
          <w:color w:val="0000FF"/>
          <w:vertAlign w:val="subscript"/>
        </w:rPr>
        <w:t>03/22/2021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3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for Mr. Blissett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640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400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0440"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2021-03-22T16:24:35Z</dcterms:created>
  <dcterms:modified xsi:type="dcterms:W3CDTF">2021-03-22T16:24:35Z</dcterms:modified>
</cp:coreProperties>
</file>