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5493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49338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Barra Mary 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960"/>
        <w:spacing w:after="0" w:line="320" w:lineRule="auto"/>
        <w:rPr>
          <w:sz w:val="20"/>
          <w:szCs w:val="20"/>
          <w:color w:val="auto"/>
        </w:rPr>
      </w:pPr>
      <w:r>
        <w:rPr>
          <w:rFonts w:ascii="Times New Roman" w:cs="Times New Roman" w:eastAsia="Times New Roman" w:hAnsi="Times New Roman"/>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General Motors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GM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10/23/2024</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Chair &amp; CEO</w:t>
      </w:r>
    </w:p>
    <w:p>
      <w:pPr>
        <w:spacing w:after="0" w:line="403"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DETROIT</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MI</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48265-3000</w:t>
            </w:r>
          </w:p>
        </w:tc>
      </w:tr>
      <w:tr>
        <w:trPr>
          <w:trHeight w:val="146"/>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ind w:left="74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10/23/2024</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300,000</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53.16</w:t>
            </w:r>
            <w:r>
              <w:rPr>
                <w:rFonts w:ascii="Times New Roman" w:cs="Times New Roman" w:eastAsia="Times New Roman" w:hAnsi="Times New Roman"/>
                <w:sz w:val="21"/>
                <w:szCs w:val="21"/>
                <w:color w:val="008000"/>
                <w:vertAlign w:val="superscript"/>
              </w:rPr>
              <w:t>(1)</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694,548</w:t>
            </w:r>
            <w:r>
              <w:rPr>
                <w:rFonts w:ascii="Times New Roman" w:cs="Times New Roman" w:eastAsia="Times New Roman" w:hAnsi="Times New Roman"/>
                <w:sz w:val="21"/>
                <w:szCs w:val="21"/>
                <w:color w:val="008000"/>
                <w:w w:val="92"/>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0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0000FF"/>
              </w:rPr>
              <w:t>10/23/2024</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206,824</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41.4</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901,372</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10/23/2024</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206,824</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53.58</w:t>
            </w:r>
            <w:r>
              <w:rPr>
                <w:rFonts w:ascii="Times New Roman" w:cs="Times New Roman" w:eastAsia="Times New Roman" w:hAnsi="Times New Roman"/>
                <w:sz w:val="21"/>
                <w:szCs w:val="21"/>
                <w:color w:val="008000"/>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694,548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169,128</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gridSpan w:val="4"/>
          </w:tcPr>
          <w:p>
            <w:pPr>
              <w:spacing w:after="0"/>
              <w:rPr>
                <w:sz w:val="8"/>
                <w:szCs w:val="8"/>
                <w:color w:val="auto"/>
              </w:rPr>
            </w:pPr>
          </w:p>
        </w:tc>
        <w:tc>
          <w:tcPr>
            <w:tcW w:w="268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jc w:val="center"/>
              <w:ind w:right="14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jc w:val="center"/>
              <w:ind w:left="41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11"/>
              <w:spacing w:after="0"/>
              <w:rPr>
                <w:sz w:val="20"/>
                <w:szCs w:val="20"/>
                <w:color w:val="auto"/>
              </w:rPr>
            </w:pPr>
            <w:r>
              <w:rPr>
                <w:rFonts w:ascii="Times New Roman" w:cs="Times New Roman" w:eastAsia="Times New Roman" w:hAnsi="Times New Roman"/>
                <w:sz w:val="17"/>
                <w:szCs w:val="17"/>
                <w:color w:val="0000FF"/>
                <w:w w:val="94"/>
              </w:rPr>
              <w:t>206,824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41.4</w:t>
            </w:r>
          </w:p>
        </w:tc>
        <w:tc>
          <w:tcPr>
            <w:tcW w:w="106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10/23/2024</w:t>
            </w:r>
          </w:p>
        </w:tc>
        <w:tc>
          <w:tcPr>
            <w:tcW w:w="1080" w:type="dxa"/>
            <w:vAlign w:val="bottom"/>
          </w:tcPr>
          <w:p>
            <w:pPr>
              <w:spacing w:after="0"/>
              <w:rPr>
                <w:sz w:val="11"/>
                <w:szCs w:val="11"/>
                <w:color w:val="auto"/>
              </w:rPr>
            </w:pPr>
          </w:p>
        </w:tc>
        <w:tc>
          <w:tcPr>
            <w:tcW w:w="72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40"/>
              <w:spacing w:after="0" w:line="128" w:lineRule="exact"/>
              <w:rPr>
                <w:sz w:val="20"/>
                <w:szCs w:val="20"/>
                <w:color w:val="auto"/>
              </w:rPr>
            </w:pPr>
            <w:r>
              <w:rPr>
                <w:rFonts w:ascii="Times New Roman" w:cs="Times New Roman" w:eastAsia="Times New Roman" w:hAnsi="Times New Roman"/>
                <w:sz w:val="13"/>
                <w:szCs w:val="13"/>
                <w:color w:val="0000FF"/>
              </w:rPr>
              <w:t>206,824</w:t>
            </w:r>
          </w:p>
        </w:tc>
        <w:tc>
          <w:tcPr>
            <w:tcW w:w="780" w:type="dxa"/>
            <w:vAlign w:val="bottom"/>
            <w:gridSpan w:val="2"/>
            <w:vMerge w:val="continue"/>
          </w:tcPr>
          <w:p>
            <w:pPr>
              <w:spacing w:after="0"/>
              <w:rPr>
                <w:sz w:val="11"/>
                <w:szCs w:val="11"/>
                <w:color w:val="auto"/>
              </w:rPr>
            </w:pPr>
          </w:p>
        </w:tc>
        <w:tc>
          <w:tcPr>
            <w:tcW w:w="7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0000FF"/>
              </w:rPr>
              <w:t>02/13/2028</w:t>
            </w:r>
          </w:p>
        </w:tc>
        <w:tc>
          <w:tcPr>
            <w:tcW w:w="6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2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28" w:lineRule="exact"/>
              <w:rPr>
                <w:sz w:val="20"/>
                <w:szCs w:val="20"/>
                <w:color w:val="auto"/>
              </w:rPr>
            </w:pPr>
            <w:r>
              <w:rPr>
                <w:rFonts w:ascii="Times New Roman" w:cs="Times New Roman" w:eastAsia="Times New Roman" w:hAnsi="Times New Roman"/>
                <w:sz w:val="13"/>
                <w:szCs w:val="13"/>
                <w:color w:val="0000FF"/>
              </w:rPr>
              <w:t>206,824</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$52.53 to $54.05, inclusive. The Reporting Person undertakes to provide to the SEC, GM and any security holder, upon request, full information regarding the number of shares sold at each price point within the ranges set forth in this footnote.</w:t>
      </w:r>
    </w:p>
    <w:p>
      <w:pPr>
        <w:spacing w:after="0" w:line="19" w:lineRule="exact"/>
        <w:rPr>
          <w:rFonts w:ascii="Times New Roman" w:cs="Times New Roman" w:eastAsia="Times New Roman" w:hAnsi="Times New Roman"/>
          <w:sz w:val="13"/>
          <w:szCs w:val="13"/>
          <w:color w:val="008000"/>
        </w:rPr>
      </w:pPr>
    </w:p>
    <w:p>
      <w:pPr>
        <w:ind w:left="40" w:right="4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95,900 shares that were previously reported as indirectly beneficially owned by a GRAT, which were distributed as an annuity payment to the reporting person and became directly owned by her on August 30, 2024, pursuant to the terms of the GRAT which provide for annual annuity distributions from the GRAT to the reporting person.</w:t>
      </w:r>
    </w:p>
    <w:p>
      <w:pPr>
        <w:spacing w:after="0" w:line="19" w:lineRule="exact"/>
        <w:rPr>
          <w:rFonts w:ascii="Times New Roman" w:cs="Times New Roman" w:eastAsia="Times New Roman" w:hAnsi="Times New Roman"/>
          <w:sz w:val="13"/>
          <w:szCs w:val="13"/>
          <w:color w:val="008000"/>
        </w:rPr>
      </w:pPr>
    </w:p>
    <w:p>
      <w:pPr>
        <w:ind w:left="40" w:right="2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$53.15 to $54.08, inclusive. The Reporting Person undertakes to provide to the SEC, GM and any security holder, upon request, full information regarding the number of shares sold at each price point within the ranges set forth in this footnote.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granted on February 13, 2018, and are fully vested.</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4"/>
              </w:rPr>
              <w:t>/s/ Tia Y. Turk, Attorney-In-</w:t>
            </w:r>
          </w:p>
        </w:tc>
        <w:tc>
          <w:tcPr>
            <w:tcW w:w="34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10/24/2024</w:t>
            </w:r>
          </w:p>
        </w:tc>
        <w:tc>
          <w:tcPr>
            <w:tcW w:w="0" w:type="dxa"/>
            <w:vAlign w:val="bottom"/>
          </w:tcPr>
          <w:p>
            <w:pPr>
              <w:spacing w:after="0"/>
              <w:rPr>
                <w:sz w:val="1"/>
                <w:szCs w:val="1"/>
                <w:color w:val="auto"/>
              </w:rPr>
            </w:pPr>
          </w:p>
        </w:tc>
      </w:tr>
      <w:tr>
        <w:trPr>
          <w:trHeight w:val="87"/>
        </w:trPr>
        <w:tc>
          <w:tcPr>
            <w:tcW w:w="122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5"/>
              </w:rPr>
              <w:t>Fact for Ms. Barra</w:t>
            </w:r>
          </w:p>
        </w:tc>
        <w:tc>
          <w:tcPr>
            <w:tcW w:w="98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220" w:type="dxa"/>
            <w:vAlign w:val="bottom"/>
            <w:tcBorders>
              <w:bottom w:val="single" w:sz="8" w:color="auto"/>
            </w:tcBorders>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92154"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2024-10-24T15:49:45Z</dcterms:created>
  <dcterms:modified xsi:type="dcterms:W3CDTF">2024-10-24T15:49:45Z</dcterms:modified>
</cp:coreProperties>
</file>