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5036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03618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Carlisle Stephen K.</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940"/>
        <w:spacing w:after="0" w:line="321" w:lineRule="auto"/>
        <w:rPr>
          <w:sz w:val="20"/>
          <w:szCs w:val="20"/>
          <w:color w:val="auto"/>
        </w:rPr>
      </w:pPr>
      <w:r>
        <w:rPr>
          <w:rFonts w:ascii="Arial" w:cs="Arial" w:eastAsia="Arial" w:hAnsi="Arial"/>
          <w:sz w:val="16"/>
          <w:szCs w:val="16"/>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GM</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03/22/2021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7" w:right="660" w:firstLine="7"/>
        <w:spacing w:after="0" w:line="23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3"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53"/>
        <w:spacing w:after="0"/>
        <w:rPr>
          <w:sz w:val="20"/>
          <w:szCs w:val="20"/>
          <w:color w:val="auto"/>
        </w:rPr>
      </w:pPr>
      <w:r>
        <w:rPr>
          <w:rFonts w:ascii="Arial" w:cs="Arial" w:eastAsia="Arial" w:hAnsi="Arial"/>
          <w:sz w:val="17"/>
          <w:szCs w:val="17"/>
          <w:color w:val="0000FF"/>
        </w:rPr>
        <w:t>Executive Vice President</w:t>
      </w:r>
    </w:p>
    <w:p>
      <w:pPr>
        <w:spacing w:after="0" w:line="425" w:lineRule="exact"/>
        <w:rPr>
          <w:sz w:val="24"/>
          <w:szCs w:val="24"/>
          <w:color w:val="auto"/>
        </w:rPr>
      </w:pPr>
    </w:p>
    <w:p>
      <w:pPr>
        <w:sectPr>
          <w:pgSz w:w="11900" w:h="16838" w:orient="portrait"/>
          <w:cols w:equalWidth="0" w:num="3">
            <w:col w:w="3180" w:space="720"/>
            <w:col w:w="3107" w:space="720"/>
            <w:col w:w="3353"/>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740" w:type="dxa"/>
            <w:vAlign w:val="bottom"/>
            <w:gridSpan w:val="5"/>
          </w:tcPr>
          <w:p>
            <w:pPr>
              <w:jc w:val="center"/>
              <w:ind w:right="117"/>
              <w:spacing w:after="0" w:line="96" w:lineRule="exact"/>
              <w:rPr>
                <w:sz w:val="20"/>
                <w:szCs w:val="20"/>
                <w:color w:val="auto"/>
              </w:rPr>
            </w:pPr>
            <w:r>
              <w:rPr>
                <w:rFonts w:ascii="Arial" w:cs="Arial" w:eastAsia="Arial" w:hAnsi="Arial"/>
                <w:sz w:val="11"/>
                <w:szCs w:val="11"/>
                <w:color w:val="auto"/>
              </w:rPr>
              <w:t>4. If Amendment, Date of Original Filed (Month/Day/Year)</w:t>
            </w:r>
          </w:p>
        </w:tc>
        <w:tc>
          <w:tcPr>
            <w:tcW w:w="3600" w:type="dxa"/>
            <w:vAlign w:val="bottom"/>
            <w:gridSpan w:val="10"/>
          </w:tcPr>
          <w:p>
            <w:pPr>
              <w:ind w:left="240"/>
              <w:spacing w:after="0" w:line="96"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0" w:type="dxa"/>
            <w:vAlign w:val="bottom"/>
            <w:gridSpan w:val="10"/>
            <w:vMerge w:val="restart"/>
          </w:tcPr>
          <w:p>
            <w:pPr>
              <w:ind w:left="4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48265</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2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80" w:type="dxa"/>
            <w:vAlign w:val="bottom"/>
            <w:gridSpan w:val="3"/>
          </w:tcPr>
          <w:p>
            <w:pPr>
              <w:ind w:left="7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03/22/2021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6"/>
              </w:rPr>
              <w:t>16,525</w:t>
            </w:r>
            <w:r>
              <w:rPr>
                <w:rFonts w:ascii="Arial" w:cs="Arial" w:eastAsia="Arial" w:hAnsi="Arial"/>
                <w:sz w:val="21"/>
                <w:szCs w:val="21"/>
                <w:color w:val="008000"/>
                <w:w w:val="86"/>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30.38</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02"/>
              <w:spacing w:after="0"/>
              <w:rPr>
                <w:sz w:val="20"/>
                <w:szCs w:val="20"/>
                <w:color w:val="auto"/>
              </w:rPr>
            </w:pPr>
            <w:r>
              <w:rPr>
                <w:rFonts w:ascii="Arial" w:cs="Arial" w:eastAsia="Arial" w:hAnsi="Arial"/>
                <w:sz w:val="17"/>
                <w:szCs w:val="17"/>
                <w:color w:val="0000FF"/>
              </w:rPr>
              <w:t>101,920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03/22/2021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6"/>
              </w:rPr>
              <w:t>16,525</w:t>
            </w:r>
            <w:r>
              <w:rPr>
                <w:rFonts w:ascii="Arial" w:cs="Arial" w:eastAsia="Arial" w:hAnsi="Arial"/>
                <w:sz w:val="21"/>
                <w:szCs w:val="21"/>
                <w:color w:val="008000"/>
                <w:w w:val="86"/>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0"/>
              </w:rPr>
              <w:t>$</w:t>
            </w:r>
            <w:r>
              <w:rPr>
                <w:rFonts w:ascii="Arial" w:cs="Arial" w:eastAsia="Arial" w:hAnsi="Arial"/>
                <w:sz w:val="17"/>
                <w:szCs w:val="17"/>
                <w:color w:val="0000FF"/>
                <w:w w:val="80"/>
              </w:rPr>
              <w:t>58.59</w:t>
            </w:r>
            <w:r>
              <w:rPr>
                <w:rFonts w:ascii="Arial" w:cs="Arial" w:eastAsia="Arial" w:hAnsi="Arial"/>
                <w:sz w:val="21"/>
                <w:szCs w:val="21"/>
                <w:color w:val="008000"/>
                <w:w w:val="80"/>
                <w:vertAlign w:val="superscript"/>
              </w:rPr>
              <w:t>(2)</w:t>
            </w:r>
          </w:p>
        </w:tc>
        <w:tc>
          <w:tcPr>
            <w:tcW w:w="1280" w:type="dxa"/>
            <w:vAlign w:val="bottom"/>
            <w:tcBorders>
              <w:bottom w:val="single" w:sz="8" w:color="2C2C2C"/>
            </w:tcBorders>
            <w:gridSpan w:val="3"/>
          </w:tcPr>
          <w:p>
            <w:pPr>
              <w:jc w:val="right"/>
              <w:ind w:right="342"/>
              <w:spacing w:after="0"/>
              <w:rPr>
                <w:sz w:val="20"/>
                <w:szCs w:val="20"/>
                <w:color w:val="auto"/>
              </w:rPr>
            </w:pPr>
            <w:r>
              <w:rPr>
                <w:rFonts w:ascii="Arial" w:cs="Arial" w:eastAsia="Arial" w:hAnsi="Arial"/>
                <w:sz w:val="17"/>
                <w:szCs w:val="17"/>
                <w:color w:val="0000FF"/>
              </w:rPr>
              <w:t>85,395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172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   Derivative</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vMerge w:val="restart"/>
          </w:tcPr>
          <w:p>
            <w:pPr>
              <w:ind w:left="480"/>
              <w:spacing w:after="0"/>
              <w:rPr>
                <w:sz w:val="20"/>
                <w:szCs w:val="20"/>
                <w:color w:val="auto"/>
              </w:rPr>
            </w:pPr>
            <w:r>
              <w:rPr>
                <w:rFonts w:ascii="Arial" w:cs="Arial" w:eastAsia="Arial" w:hAnsi="Arial"/>
                <w:sz w:val="13"/>
                <w:szCs w:val="13"/>
                <w:color w:val="0000FF"/>
                <w:w w:val="91"/>
              </w:rPr>
              <w:t>16,525</w:t>
            </w:r>
            <w:r>
              <w:rPr>
                <w:rFonts w:ascii="Arial" w:cs="Arial" w:eastAsia="Arial" w:hAnsi="Arial"/>
                <w:sz w:val="21"/>
                <w:szCs w:val="21"/>
                <w:color w:val="008000"/>
                <w:w w:val="91"/>
                <w:vertAlign w:val="superscript"/>
              </w:rPr>
              <w:t>(1)</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16,525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3"/>
                <w:szCs w:val="13"/>
                <w:color w:val="0000FF"/>
              </w:rPr>
              <w:t>Option</w:t>
            </w:r>
          </w:p>
        </w:tc>
        <w:tc>
          <w:tcPr>
            <w:tcW w:w="620" w:type="dxa"/>
            <w:vAlign w:val="bottom"/>
          </w:tcPr>
          <w:p>
            <w:pPr>
              <w:ind w:left="22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30.38</w:t>
            </w:r>
          </w:p>
        </w:tc>
        <w:tc>
          <w:tcPr>
            <w:tcW w:w="140" w:type="dxa"/>
            <w:vAlign w:val="bottom"/>
          </w:tcPr>
          <w:p>
            <w:pPr>
              <w:spacing w:after="0"/>
              <w:rPr>
                <w:sz w:val="11"/>
                <w:szCs w:val="11"/>
                <w:color w:val="auto"/>
              </w:rPr>
            </w:pPr>
          </w:p>
        </w:tc>
        <w:tc>
          <w:tcPr>
            <w:tcW w:w="1060" w:type="dxa"/>
            <w:vAlign w:val="bottom"/>
          </w:tcPr>
          <w:p>
            <w:pPr>
              <w:ind w:left="260"/>
              <w:spacing w:after="0" w:line="136" w:lineRule="exact"/>
              <w:rPr>
                <w:sz w:val="20"/>
                <w:szCs w:val="20"/>
                <w:color w:val="auto"/>
              </w:rPr>
            </w:pPr>
            <w:r>
              <w:rPr>
                <w:rFonts w:ascii="Arial" w:cs="Arial" w:eastAsia="Arial" w:hAnsi="Arial"/>
                <w:sz w:val="13"/>
                <w:szCs w:val="13"/>
                <w:color w:val="0000FF"/>
              </w:rPr>
              <w:t>03/22/2021</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3"/>
                <w:szCs w:val="13"/>
                <w:color w:val="0000FF"/>
              </w:rPr>
              <w:t>M</w:t>
            </w:r>
          </w:p>
        </w:tc>
        <w:tc>
          <w:tcPr>
            <w:tcW w:w="10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tcPr>
          <w:p>
            <w:pPr>
              <w:ind w:left="80"/>
              <w:spacing w:after="0" w:line="136" w:lineRule="exact"/>
              <w:rPr>
                <w:sz w:val="20"/>
                <w:szCs w:val="20"/>
                <w:color w:val="auto"/>
              </w:rPr>
            </w:pPr>
            <w:r>
              <w:rPr>
                <w:rFonts w:ascii="Arial" w:cs="Arial" w:eastAsia="Arial" w:hAnsi="Arial"/>
                <w:sz w:val="13"/>
                <w:szCs w:val="13"/>
                <w:color w:val="0000FF"/>
              </w:rPr>
              <w:t>02/12/2030</w:t>
            </w: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tcPr>
          <w:p>
            <w:pPr>
              <w:ind w:left="220"/>
              <w:spacing w:after="0" w:line="136" w:lineRule="exact"/>
              <w:rPr>
                <w:sz w:val="20"/>
                <w:szCs w:val="20"/>
                <w:color w:val="auto"/>
              </w:rPr>
            </w:pPr>
            <w:r>
              <w:rPr>
                <w:rFonts w:ascii="Arial" w:cs="Arial" w:eastAsia="Arial" w:hAnsi="Arial"/>
                <w:sz w:val="13"/>
                <w:szCs w:val="13"/>
                <w:color w:val="0000FF"/>
                <w:w w:val="85"/>
              </w:rPr>
              <w:t>33,049</w:t>
            </w:r>
          </w:p>
        </w:tc>
        <w:tc>
          <w:tcPr>
            <w:tcW w:w="260" w:type="dxa"/>
            <w:vAlign w:val="bottom"/>
          </w:tcPr>
          <w:p>
            <w:pPr>
              <w:spacing w:after="0"/>
              <w:rPr>
                <w:sz w:val="11"/>
                <w:szCs w:val="11"/>
                <w:color w:val="auto"/>
              </w:rPr>
            </w:pPr>
          </w:p>
        </w:tc>
        <w:tc>
          <w:tcPr>
            <w:tcW w:w="66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140"/>
              <w:spacing w:after="0" w:line="128"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w:t>
      </w:r>
    </w:p>
    <w:p>
      <w:pPr>
        <w:spacing w:after="0" w:line="41" w:lineRule="exact"/>
        <w:rPr>
          <w:rFonts w:ascii="Arial" w:cs="Arial" w:eastAsia="Arial" w:hAnsi="Arial"/>
          <w:sz w:val="13"/>
          <w:szCs w:val="13"/>
          <w:color w:val="008000"/>
        </w:rPr>
      </w:pPr>
    </w:p>
    <w:p>
      <w:pPr>
        <w:ind w:left="40" w:right="220"/>
        <w:spacing w:after="0" w:line="28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$58.40 to $58.75, inclusive. The Reporting Person undertakes to provide to the SEC, GM and any security holder, upon request, full information regarding the number of shares sold at each price point within the ranges set forth in this footnote.</w:t>
      </w:r>
    </w:p>
    <w:p>
      <w:pPr>
        <w:spacing w:after="0" w:line="4" w:lineRule="exact"/>
        <w:rPr>
          <w:rFonts w:ascii="Arial" w:cs="Arial" w:eastAsia="Arial" w:hAnsi="Arial"/>
          <w:sz w:val="12"/>
          <w:szCs w:val="12"/>
          <w:color w:val="008000"/>
        </w:rPr>
      </w:pPr>
    </w:p>
    <w:p>
      <w:pPr>
        <w:ind w:left="40" w:right="22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Stock Options were granted on October 1, 2020, under the Company's 2020 Long-Term Incentive Plan. One-third has vested; one-third will vest on February 12, 2022; and one-third will vest on February 12, 2023.</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Arial" w:cs="Arial" w:eastAsia="Arial" w:hAnsi="Arial"/>
          <w:sz w:val="17"/>
          <w:szCs w:val="17"/>
          <w:color w:val="0000FF"/>
        </w:rPr>
        <w:t xml:space="preserve">/s/ Tia Y. Turk, Attorney-in-Fact </w:t>
      </w:r>
      <w:r>
        <w:rPr>
          <w:rFonts w:ascii="Arial" w:cs="Arial" w:eastAsia="Arial" w:hAnsi="Arial"/>
          <w:sz w:val="33"/>
          <w:szCs w:val="33"/>
          <w:color w:val="0000FF"/>
          <w:vertAlign w:val="subscript"/>
        </w:rPr>
        <w:t>03/24/2021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639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for Mr. Carlisle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-21590</wp:posOffset>
            </wp:positionV>
            <wp:extent cx="6515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79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1779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2021-03-25T19:54:52Z</dcterms:created>
  <dcterms:modified xsi:type="dcterms:W3CDTF">2021-03-25T19:54:52Z</dcterms:modified>
</cp:coreProperties>
</file>