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the Registrant: General Motors Company</w:t>
      </w:r>
    </w:p>
    <w:p>
      <w:pPr>
        <w:spacing w:after="0" w:line="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ind w:left="180"/>
        <w:spacing w:after="0"/>
        <w:rPr>
          <w:sz w:val="20"/>
          <w:szCs w:val="20"/>
          <w:color w:val="auto"/>
        </w:rPr>
      </w:pPr>
      <w:r>
        <w:rPr>
          <w:rFonts w:ascii="Times New Roman" w:cs="Times New Roman" w:eastAsia="Times New Roman" w:hAnsi="Times New Roman"/>
          <w:sz w:val="21"/>
          <w:szCs w:val="21"/>
          <w:color w:val="auto"/>
        </w:rPr>
        <w:t>Address of persons relying on exemption: 107 Park Washington Court, Falls Church, VA 22046</w:t>
      </w:r>
    </w:p>
    <w:p>
      <w:pPr>
        <w:spacing w:after="0" w:line="217" w:lineRule="exact"/>
        <w:rPr>
          <w:sz w:val="24"/>
          <w:szCs w:val="24"/>
          <w:color w:val="auto"/>
        </w:rPr>
      </w:pPr>
    </w:p>
    <w:p>
      <w:pPr>
        <w:ind w:left="180" w:right="47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Written materials are submitted pursuant to Rule 14a-6(g) (1) promulgated under the Securities Exchange Act of 1934. Submission is not required of this filer under the terms of the Rule but is made </w:t>
      </w:r>
      <w:r>
        <w:rPr>
          <w:rFonts w:ascii="Times New Roman" w:cs="Times New Roman" w:eastAsia="Times New Roman" w:hAnsi="Times New Roman"/>
          <w:sz w:val="21"/>
          <w:szCs w:val="21"/>
          <w:b w:val="1"/>
          <w:bCs w:val="1"/>
          <w:i w:val="1"/>
          <w:iCs w:val="1"/>
          <w:color w:val="auto"/>
        </w:rPr>
        <w:t>voluntarily</w:t>
      </w:r>
      <w:r>
        <w:rPr>
          <w:rFonts w:ascii="Times New Roman" w:cs="Times New Roman" w:eastAsia="Times New Roman" w:hAnsi="Times New Roman"/>
          <w:sz w:val="21"/>
          <w:szCs w:val="21"/>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130810</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18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Picture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General Motors Company</w:t>
      </w:r>
    </w:p>
    <w:p>
      <w:pPr>
        <w:spacing w:after="0" w:line="18" w:lineRule="exact"/>
        <w:rPr>
          <w:sz w:val="24"/>
          <w:szCs w:val="24"/>
          <w:color w:val="auto"/>
        </w:rPr>
      </w:pPr>
    </w:p>
    <w:p>
      <w:pPr>
        <w:ind w:left="180" w:right="8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to vote</w:t>
      </w:r>
      <w:r>
        <w:rPr>
          <w:rFonts w:ascii="Times New Roman" w:cs="Times New Roman" w:eastAsia="Times New Roman" w:hAnsi="Times New Roman"/>
          <w:sz w:val="22"/>
          <w:szCs w:val="22"/>
          <w:b w:val="1"/>
          <w:bCs w:val="1"/>
          <w:color w:val="auto"/>
        </w:rPr>
        <w:t xml:space="preserve"> FOR </w:t>
      </w:r>
      <w:r>
        <w:rPr>
          <w:rFonts w:ascii="Times New Roman" w:cs="Times New Roman" w:eastAsia="Times New Roman" w:hAnsi="Times New Roman"/>
          <w:sz w:val="22"/>
          <w:szCs w:val="22"/>
          <w:color w:val="auto"/>
        </w:rPr>
        <w:t>Item No. 5 on the 2024 Proxy Ballot (“Revisit Pay Incentives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GHG Emission Reductions”).</w:t>
      </w:r>
    </w:p>
    <w:p>
      <w:pPr>
        <w:spacing w:after="0" w:line="201" w:lineRule="exact"/>
        <w:rPr>
          <w:sz w:val="24"/>
          <w:szCs w:val="24"/>
          <w:color w:val="auto"/>
        </w:rPr>
      </w:pPr>
    </w:p>
    <w:p>
      <w:pPr>
        <w:ind w:left="180" w:right="859"/>
        <w:spacing w:after="0" w:line="241" w:lineRule="auto"/>
        <w:rPr>
          <w:sz w:val="20"/>
          <w:szCs w:val="20"/>
          <w:color w:val="auto"/>
        </w:rPr>
      </w:pPr>
      <w:r>
        <w:rPr>
          <w:rFonts w:ascii="Times New Roman" w:cs="Times New Roman" w:eastAsia="Times New Roman" w:hAnsi="Times New Roman"/>
          <w:sz w:val="22"/>
          <w:szCs w:val="22"/>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for Item No. 5 following the instructions provided on management's proxy mailing.</w:t>
      </w:r>
    </w:p>
    <w:p>
      <w:pPr>
        <w:spacing w:after="0" w:line="19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 follow at the end of the report.</w:t>
      </w:r>
    </w:p>
    <w:p>
      <w:pPr>
        <w:spacing w:after="0" w:line="233" w:lineRule="exact"/>
        <w:rPr>
          <w:sz w:val="24"/>
          <w:szCs w:val="24"/>
          <w:color w:val="auto"/>
        </w:rPr>
      </w:pPr>
    </w:p>
    <w:p>
      <w:pPr>
        <w:ind w:left="180" w:right="619"/>
        <w:spacing w:after="0" w:line="246" w:lineRule="auto"/>
        <w:rPr>
          <w:sz w:val="20"/>
          <w:szCs w:val="20"/>
          <w:color w:val="auto"/>
        </w:rPr>
      </w:pPr>
      <w:r>
        <w:rPr>
          <w:rFonts w:ascii="Times New Roman" w:cs="Times New Roman" w:eastAsia="Times New Roman" w:hAnsi="Times New Roman"/>
          <w:sz w:val="22"/>
          <w:szCs w:val="22"/>
          <w:color w:val="auto"/>
        </w:rPr>
        <w:t xml:space="preserve">National Legal and Policy Center (“NLPC”) urges shareholders to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Item No. 5 on the 2024 proxy ballot of the General Motors Company (“GM” or the “Company”). The Resolved clause states:</w:t>
      </w:r>
    </w:p>
    <w:p>
      <w:pPr>
        <w:spacing w:after="0" w:line="198" w:lineRule="exact"/>
        <w:rPr>
          <w:sz w:val="24"/>
          <w:szCs w:val="24"/>
          <w:color w:val="auto"/>
        </w:rPr>
      </w:pPr>
    </w:p>
    <w:p>
      <w:pPr>
        <w:ind w:left="500" w:right="659"/>
        <w:spacing w:after="0" w:line="239" w:lineRule="auto"/>
        <w:rPr>
          <w:sz w:val="20"/>
          <w:szCs w:val="20"/>
          <w:color w:val="auto"/>
        </w:rPr>
      </w:pPr>
      <w:r>
        <w:rPr>
          <w:rFonts w:ascii="Times New Roman" w:cs="Times New Roman" w:eastAsia="Times New Roman" w:hAnsi="Times New Roman"/>
          <w:sz w:val="22"/>
          <w:szCs w:val="22"/>
          <w:color w:val="auto"/>
        </w:rPr>
        <w:t>Shareholders of the General Motors Company request the Compensation Committee of the Board of Directors to revisit its incentive guidelines for executive pay, to emphasize legitimate fiduciary goals and consider eliminating strategic goals regarding EVs from compensation inducements.</w:t>
      </w:r>
    </w:p>
    <w:p>
      <w:pPr>
        <w:spacing w:after="0" w:line="23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left="200" w:right="4979"/>
        <w:spacing w:after="0" w:line="247" w:lineRule="auto"/>
        <w:rPr>
          <w:sz w:val="20"/>
          <w:szCs w:val="20"/>
          <w:color w:val="auto"/>
        </w:rPr>
      </w:pPr>
      <w:r>
        <w:rPr>
          <w:rFonts w:ascii="Times New Roman" w:cs="Times New Roman" w:eastAsia="Times New Roman" w:hAnsi="Times New Roman"/>
          <w:sz w:val="21"/>
          <w:szCs w:val="21"/>
          <w:color w:val="0E101A"/>
        </w:rPr>
        <w:t xml:space="preserve">National Legal and Policy Center (“NLPC”) urges shareholders to vote </w:t>
      </w:r>
      <w:r>
        <w:rPr>
          <w:rFonts w:ascii="Times New Roman" w:cs="Times New Roman" w:eastAsia="Times New Roman" w:hAnsi="Times New Roman"/>
          <w:sz w:val="21"/>
          <w:szCs w:val="21"/>
          <w:b w:val="1"/>
          <w:bCs w:val="1"/>
          <w:color w:val="0E101A"/>
        </w:rPr>
        <w:t>FOR</w:t>
      </w:r>
      <w:r>
        <w:rPr>
          <w:rFonts w:ascii="Times New Roman" w:cs="Times New Roman" w:eastAsia="Times New Roman" w:hAnsi="Times New Roman"/>
          <w:sz w:val="21"/>
          <w:szCs w:val="21"/>
          <w:color w:val="0E101A"/>
        </w:rPr>
        <w:t xml:space="preserve"> Item No. 5 (“</w:t>
      </w:r>
      <w:r>
        <w:rPr>
          <w:rFonts w:ascii="Times New Roman" w:cs="Times New Roman" w:eastAsia="Times New Roman" w:hAnsi="Times New Roman"/>
          <w:sz w:val="21"/>
          <w:szCs w:val="21"/>
          <w:color w:val="000000"/>
        </w:rPr>
        <w:t>Shareholder Proposal to Eliminate EV</w:t>
      </w:r>
      <w:r>
        <w:rPr>
          <w:rFonts w:ascii="Times New Roman" w:cs="Times New Roman" w:eastAsia="Times New Roman" w:hAnsi="Times New Roman"/>
          <w:sz w:val="21"/>
          <w:szCs w:val="21"/>
          <w:color w:val="0E101A"/>
        </w:rPr>
        <w:t xml:space="preserve"> </w:t>
      </w:r>
      <w:r>
        <w:rPr>
          <w:rFonts w:ascii="Times New Roman" w:cs="Times New Roman" w:eastAsia="Times New Roman" w:hAnsi="Times New Roman"/>
          <w:sz w:val="21"/>
          <w:szCs w:val="21"/>
          <w:color w:val="000000"/>
        </w:rPr>
        <w:t>Targets from Incentive Compensation Programs</w:t>
      </w:r>
      <w:r>
        <w:rPr>
          <w:rFonts w:ascii="Times New Roman" w:cs="Times New Roman" w:eastAsia="Times New Roman" w:hAnsi="Times New Roman"/>
          <w:sz w:val="21"/>
          <w:szCs w:val="21"/>
          <w:color w:val="0E101A"/>
        </w:rPr>
        <w:t>”) on the Company’s 2024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-772795</wp:posOffset>
            </wp:positionV>
            <wp:extent cx="2515870" cy="1675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5870" cy="1675765"/>
                    </a:xfrm>
                    <a:prstGeom prst="rect">
                      <a:avLst/>
                    </a:prstGeom>
                    <a:noFill/>
                  </pic:spPr>
                </pic:pic>
              </a:graphicData>
            </a:graphic>
          </wp:anchor>
        </w:drawing>
      </w:r>
    </w:p>
    <w:p>
      <w:pPr>
        <w:ind w:left="740"/>
        <w:spacing w:after="0" w:line="189" w:lineRule="auto"/>
        <w:rPr>
          <w:sz w:val="20"/>
          <w:szCs w:val="20"/>
          <w:color w:val="auto"/>
        </w:rPr>
      </w:pPr>
      <w:r>
        <w:rPr>
          <w:rFonts w:ascii="Times New Roman" w:cs="Times New Roman" w:eastAsia="Times New Roman" w:hAnsi="Times New Roman"/>
          <w:sz w:val="10"/>
          <w:szCs w:val="10"/>
          <w:u w:val="single" w:color="auto"/>
          <w:color w:val="0000EE"/>
          <w:vertAlign w:val="superscript"/>
        </w:rPr>
        <w:t>1</w:t>
      </w:r>
    </w:p>
    <w:p>
      <w:pPr>
        <w:ind w:left="200"/>
        <w:spacing w:after="0" w:line="230" w:lineRule="auto"/>
        <w:rPr>
          <w:sz w:val="20"/>
          <w:szCs w:val="20"/>
          <w:color w:val="auto"/>
        </w:rPr>
      </w:pPr>
      <w:r>
        <w:rPr>
          <w:rFonts w:ascii="Times New Roman" w:cs="Times New Roman" w:eastAsia="Times New Roman" w:hAnsi="Times New Roman"/>
          <w:sz w:val="22"/>
          <w:szCs w:val="22"/>
          <w:color w:val="0E101A"/>
        </w:rPr>
        <w:t>ballot, which requests GM to revisit electric</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0E101A"/>
        </w:rPr>
        <w:t>vehicle rollout targets from executive</w:t>
      </w: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GM, like many in energy-intensive sectors, has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increasingly aligned its corporate strategies</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a poorly substantiated, government-subsidized, and corporate media-amplified “scientific</w:t>
      </w:r>
    </w:p>
    <w:p>
      <w:pPr>
        <w:spacing w:after="0" w:line="6" w:lineRule="exact"/>
        <w:rPr>
          <w:sz w:val="20"/>
          <w:szCs w:val="20"/>
          <w:color w:val="auto"/>
        </w:rPr>
      </w:pPr>
    </w:p>
    <w:p>
      <w:pPr>
        <w:ind w:left="200" w:right="699"/>
        <w:spacing w:after="0" w:line="236" w:lineRule="auto"/>
        <w:rPr>
          <w:sz w:val="20"/>
          <w:szCs w:val="20"/>
          <w:color w:val="auto"/>
        </w:rPr>
      </w:pPr>
      <w:r>
        <w:rPr>
          <w:rFonts w:ascii="Times New Roman" w:cs="Times New Roman" w:eastAsia="Times New Roman" w:hAnsi="Times New Roman"/>
          <w:sz w:val="22"/>
          <w:szCs w:val="22"/>
          <w:color w:val="auto"/>
        </w:rPr>
        <w:t>consensus,”</w:t>
      </w:r>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22"/>
          <w:szCs w:val="22"/>
          <w:color w:val="auto"/>
        </w:rPr>
        <w:t xml:space="preserve"> which states that anthropogenically-driven climate change will result in catastrophic impacts to the environment, to the planet, and to humans. However, the discourse surrounding climate change – regarding its causes, its impacts, and the efficacy of proposed solutions – is far more complex and nuanced than usually explained.</w:t>
      </w:r>
    </w:p>
    <w:p>
      <w:pPr>
        <w:spacing w:after="0" w:line="220" w:lineRule="exact"/>
        <w:rPr>
          <w:sz w:val="20"/>
          <w:szCs w:val="20"/>
          <w:color w:val="auto"/>
        </w:rPr>
      </w:pPr>
    </w:p>
    <w:p>
      <w:pPr>
        <w:ind w:left="180" w:right="619"/>
        <w:spacing w:after="0" w:line="235" w:lineRule="auto"/>
        <w:rPr>
          <w:sz w:val="20"/>
          <w:szCs w:val="20"/>
          <w:color w:val="auto"/>
        </w:rPr>
      </w:pPr>
      <w:r>
        <w:rPr>
          <w:rFonts w:ascii="Times New Roman" w:cs="Times New Roman" w:eastAsia="Times New Roman" w:hAnsi="Times New Roman"/>
          <w:sz w:val="22"/>
          <w:szCs w:val="22"/>
          <w:color w:val="auto"/>
        </w:rPr>
        <w:t>The Company’s embrace of this popular narrative is reflected partially in its executive compensation, with financial incentives tied to the success of its electric vehicles, which are viewed by some as a “greener” alternative to internal combustion engines (ICE). However, this has proven not to be the case. In reality, the danger of carbon emissions is exaggerated, and hydrocarbon energy will not be phased out in the near future. Instead EVs are a net negative environmentally. Consumers largely do not want EVs, and they would be unprofitable without government subsidies, which may ultimately be repealed.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GM’s compensation inducements encourage management to prioritize its unprofitable electric</w:t>
      </w:r>
    </w:p>
    <w:p>
      <w:pPr>
        <w:spacing w:after="0" w:line="19" w:lineRule="exact"/>
        <w:rPr>
          <w:sz w:val="20"/>
          <w:szCs w:val="20"/>
          <w:color w:val="auto"/>
        </w:rPr>
      </w:pPr>
    </w:p>
    <w:p>
      <w:pPr>
        <w:ind w:left="180" w:right="459"/>
        <w:spacing w:after="0" w:line="217" w:lineRule="auto"/>
        <w:rPr>
          <w:sz w:val="20"/>
          <w:szCs w:val="20"/>
          <w:color w:val="auto"/>
        </w:rPr>
      </w:pPr>
      <w:r>
        <w:rPr>
          <w:rFonts w:ascii="Times New Roman" w:cs="Times New Roman" w:eastAsia="Times New Roman" w:hAnsi="Times New Roman"/>
          <w:sz w:val="21"/>
          <w:szCs w:val="21"/>
          <w:color w:val="auto"/>
        </w:rPr>
        <w:t>vehicle program over its legacy vehicles, which still provide the vast majority of its revenue.</w:t>
      </w:r>
      <w:r>
        <w:rPr>
          <w:rFonts w:ascii="Times New Roman" w:cs="Times New Roman" w:eastAsia="Times New Roman" w:hAnsi="Times New Roman"/>
          <w:sz w:val="34"/>
          <w:szCs w:val="34"/>
          <w:u w:val="single" w:color="auto"/>
          <w:color w:val="0000EE"/>
          <w:vertAlign w:val="superscript"/>
        </w:rPr>
        <w:t>3</w:t>
      </w:r>
      <w:r>
        <w:rPr>
          <w:rFonts w:ascii="Times New Roman" w:cs="Times New Roman" w:eastAsia="Times New Roman" w:hAnsi="Times New Roman"/>
          <w:sz w:val="21"/>
          <w:szCs w:val="21"/>
          <w:color w:val="auto"/>
        </w:rPr>
        <w:t xml:space="preserve"> This is a distortion of true supply and demand, and therefore a destruction of shareholder wealth. These targets should be removed from the Company’s executive compensation considerations.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Climate Change</w:t>
      </w:r>
    </w:p>
    <w:p>
      <w:pPr>
        <w:spacing w:after="0" w:line="237" w:lineRule="exact"/>
        <w:rPr>
          <w:sz w:val="20"/>
          <w:szCs w:val="20"/>
          <w:color w:val="auto"/>
        </w:rPr>
      </w:pPr>
    </w:p>
    <w:p>
      <w:pPr>
        <w:ind w:left="180" w:right="1099"/>
        <w:spacing w:after="0" w:line="283" w:lineRule="auto"/>
        <w:rPr>
          <w:sz w:val="20"/>
          <w:szCs w:val="20"/>
          <w:color w:val="auto"/>
        </w:rPr>
      </w:pPr>
      <w:r>
        <w:rPr>
          <w:rFonts w:ascii="Times New Roman" w:cs="Times New Roman" w:eastAsia="Times New Roman" w:hAnsi="Times New Roman"/>
          <w:sz w:val="21"/>
          <w:szCs w:val="21"/>
          <w:color w:val="auto"/>
        </w:rPr>
        <w:t>The conversation surrounding climate change is complex. The planet has historically experienced temperature fluctuations, from ice ages</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21"/>
          <w:szCs w:val="21"/>
          <w:color w:val="auto"/>
        </w:rPr>
        <w:t xml:space="preserve"> to periods far hotter than the current climate.</w:t>
      </w:r>
      <w:r>
        <w:rPr>
          <w:rFonts w:ascii="Times New Roman" w:cs="Times New Roman" w:eastAsia="Times New Roman" w:hAnsi="Times New Roman"/>
          <w:sz w:val="28"/>
          <w:szCs w:val="28"/>
          <w:u w:val="single" w:color="auto"/>
          <w:color w:val="0000EE"/>
          <w:vertAlign w:val="superscript"/>
        </w:rPr>
        <w:t>5</w:t>
      </w:r>
      <w:r>
        <w:rPr>
          <w:rFonts w:ascii="Times New Roman" w:cs="Times New Roman" w:eastAsia="Times New Roman" w:hAnsi="Times New Roman"/>
          <w:sz w:val="21"/>
          <w:szCs w:val="21"/>
          <w:color w:val="auto"/>
        </w:rPr>
        <w:t xml:space="preserve"> These changes unfolded without human intervention and aside from the modern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-6350</wp:posOffset>
            </wp:positionV>
            <wp:extent cx="13798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74" w:lineRule="exact"/>
        <w:rPr>
          <w:sz w:val="20"/>
          <w:szCs w:val="20"/>
          <w:color w:val="auto"/>
        </w:rPr>
      </w:pPr>
    </w:p>
    <w:p>
      <w:pPr>
        <w:ind w:left="180" w:right="459" w:firstLine="4"/>
        <w:spacing w:after="0" w:line="216" w:lineRule="auto"/>
        <w:tabs>
          <w:tab w:leader="none" w:pos="287" w:val="left"/>
        </w:tabs>
        <w:numPr>
          <w:ilvl w:val="0"/>
          <w:numId w:val="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General Motors Company. “2024 Proxy Statement.” See https://investor.gm.com/static-files/7586678b-b420-43bc-8f27-eecbee4c89f5</w:t>
      </w:r>
    </w:p>
    <w:p>
      <w:pPr>
        <w:ind w:left="300" w:hanging="116"/>
        <w:spacing w:after="0" w:line="238" w:lineRule="auto"/>
        <w:tabs>
          <w:tab w:leader="none" w:pos="300" w:val="left"/>
        </w:tabs>
        <w:numPr>
          <w:ilvl w:val="0"/>
          <w:numId w:val="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NASA. “Scientific Consensus.” See https://science.nasa.gov/climate-change/scientific-consensus/</w:t>
      </w:r>
    </w:p>
    <w:p>
      <w:pPr>
        <w:spacing w:after="0" w:line="51" w:lineRule="exact"/>
        <w:rPr>
          <w:sz w:val="20"/>
          <w:szCs w:val="20"/>
          <w:color w:val="auto"/>
        </w:rPr>
      </w:pPr>
    </w:p>
    <w:p>
      <w:pPr>
        <w:ind w:left="180" w:right="679" w:firstLine="4"/>
        <w:spacing w:after="0" w:line="217" w:lineRule="auto"/>
        <w:tabs>
          <w:tab w:leader="none" w:pos="287" w:val="left"/>
        </w:tabs>
        <w:numPr>
          <w:ilvl w:val="0"/>
          <w:numId w:val="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Solan, Dylan. “GM is on the rise—but for now, EVs are holding it back, not leading the charge,”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April 24, 2024. See https://fortune.com/2024/04/24/gm-earnings-beat-gas-ev-electric-trucks-profitable/</w:t>
      </w:r>
    </w:p>
    <w:p>
      <w:pPr>
        <w:spacing w:after="0" w:line="54" w:lineRule="exact"/>
        <w:rPr>
          <w:sz w:val="20"/>
          <w:szCs w:val="20"/>
          <w:color w:val="auto"/>
        </w:rPr>
      </w:pPr>
    </w:p>
    <w:p>
      <w:pPr>
        <w:ind w:left="180" w:right="1839" w:firstLine="4"/>
        <w:spacing w:after="0" w:line="216" w:lineRule="auto"/>
        <w:tabs>
          <w:tab w:leader="none" w:pos="287" w:val="left"/>
        </w:tabs>
        <w:numPr>
          <w:ilvl w:val="0"/>
          <w:numId w:val="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Scott, Michon. “What's the coldest the Earth's ever been?” Climate.gov, February 18, 2021. See https://www.climate.gov/news-features/climate-qa/whats-coldest-earths-ever-been</w:t>
      </w:r>
    </w:p>
    <w:p>
      <w:pPr>
        <w:spacing w:after="0" w:line="54" w:lineRule="exact"/>
        <w:rPr>
          <w:sz w:val="20"/>
          <w:szCs w:val="20"/>
          <w:color w:val="auto"/>
        </w:rPr>
      </w:pPr>
    </w:p>
    <w:p>
      <w:pPr>
        <w:ind w:left="180" w:right="659" w:firstLine="4"/>
        <w:spacing w:after="0" w:line="218" w:lineRule="auto"/>
        <w:tabs>
          <w:tab w:leader="none" w:pos="287"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Lindsay, Rebecca; Scott, Michon. “What's the hottest Earth's ever been?” Climate.gov, November 22, 2023. See https://www.climate.gov/news-features/climate-qa/whats-hottest-earths-ever-been</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22"/>
          <w:szCs w:val="22"/>
          <w:color w:val="auto"/>
        </w:rPr>
        <w:t>industrial age. They instead were driven by the intricate interplay of volcanic activity, solar</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radiation fluctuations, the Earth’s own orbital dynamics, and other natural phenomena.</w:t>
      </w:r>
      <w:r>
        <w:rPr>
          <w:rFonts w:ascii="Times New Roman" w:cs="Times New Roman" w:eastAsia="Times New Roman" w:hAnsi="Times New Roman"/>
          <w:sz w:val="29"/>
          <w:szCs w:val="29"/>
          <w:u w:val="single" w:color="auto"/>
          <w:color w:val="0000EE"/>
          <w:vertAlign w:val="superscript"/>
        </w:rPr>
        <w:t>6 7 8</w:t>
      </w:r>
    </w:p>
    <w:p>
      <w:pPr>
        <w:spacing w:after="0" w:line="218" w:lineRule="exact"/>
        <w:rPr>
          <w:sz w:val="20"/>
          <w:szCs w:val="20"/>
          <w:color w:val="auto"/>
        </w:rPr>
      </w:pPr>
    </w:p>
    <w:p>
      <w:pPr>
        <w:ind w:left="180" w:right="439"/>
        <w:spacing w:after="0" w:line="247" w:lineRule="auto"/>
        <w:rPr>
          <w:sz w:val="20"/>
          <w:szCs w:val="20"/>
          <w:color w:val="auto"/>
        </w:rPr>
      </w:pPr>
      <w:r>
        <w:rPr>
          <w:rFonts w:ascii="Times New Roman" w:cs="Times New Roman" w:eastAsia="Times New Roman" w:hAnsi="Times New Roman"/>
          <w:sz w:val="21"/>
          <w:szCs w:val="21"/>
          <w:color w:val="auto"/>
        </w:rPr>
        <w:t>The present discourse focuses excessively on the degree that human actions can be blamed for recent warming trends. Greenhouse gas emissions that result from the combustion of fossil fuels are often blamed as the primary anthropogenic driver of climate change. However, other human factors, such as agriculture, construction, and deforestation, may create their own greenhouse gas emissions or create other feedback loops that indirectly raise the surface temperature of the Earth</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over time.</w:t>
      </w:r>
      <w:r>
        <w:rPr>
          <w:rFonts w:ascii="Times New Roman" w:cs="Times New Roman" w:eastAsia="Times New Roman" w:hAnsi="Times New Roman"/>
          <w:sz w:val="29"/>
          <w:szCs w:val="29"/>
          <w:u w:val="single" w:color="auto"/>
          <w:color w:val="0000EE"/>
          <w:vertAlign w:val="superscript"/>
        </w:rPr>
        <w:t>9</w:t>
      </w: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The Intergovernmental Panel on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-144780</wp:posOffset>
            </wp:positionV>
            <wp:extent cx="2506980" cy="1666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6980" cy="1666875"/>
                    </a:xfrm>
                    <a:prstGeom prst="rect">
                      <a:avLst/>
                    </a:prstGeom>
                    <a:noFill/>
                  </pic:spPr>
                </pic:pic>
              </a:graphicData>
            </a:graphic>
          </wp:anchor>
        </w:drawing>
      </w:r>
    </w:p>
    <w:p>
      <w:pPr>
        <w:ind w:left="5900"/>
        <w:spacing w:after="0" w:line="199" w:lineRule="auto"/>
        <w:rPr>
          <w:sz w:val="20"/>
          <w:szCs w:val="20"/>
          <w:color w:val="auto"/>
        </w:rPr>
      </w:pPr>
      <w:r>
        <w:rPr>
          <w:rFonts w:ascii="Times New Roman" w:cs="Times New Roman" w:eastAsia="Times New Roman" w:hAnsi="Times New Roman"/>
          <w:sz w:val="30"/>
          <w:szCs w:val="30"/>
          <w:u w:val="single" w:color="auto"/>
          <w:color w:val="0000EE"/>
          <w:vertAlign w:val="superscript"/>
        </w:rPr>
        <w:t>10</w:t>
      </w:r>
    </w:p>
    <w:p>
      <w:pPr>
        <w:ind w:left="5240"/>
        <w:spacing w:after="0" w:line="185" w:lineRule="auto"/>
        <w:rPr>
          <w:sz w:val="20"/>
          <w:szCs w:val="20"/>
          <w:color w:val="auto"/>
        </w:rPr>
      </w:pPr>
      <w:r>
        <w:rPr>
          <w:rFonts w:ascii="Times New Roman" w:cs="Times New Roman" w:eastAsia="Times New Roman" w:hAnsi="Times New Roman"/>
          <w:sz w:val="18"/>
          <w:szCs w:val="18"/>
          <w:u w:val="single" w:color="auto"/>
          <w:color w:val="0000EE"/>
          <w:vertAlign w:val="superscript"/>
        </w:rPr>
        <w:t>11</w:t>
      </w:r>
    </w:p>
    <w:p>
      <w:pPr>
        <w:ind w:left="4520"/>
        <w:spacing w:after="0"/>
        <w:tabs>
          <w:tab w:leader="none" w:pos="5420" w:val="left"/>
        </w:tabs>
        <w:rPr>
          <w:sz w:val="20"/>
          <w:szCs w:val="20"/>
          <w:color w:val="auto"/>
        </w:rPr>
      </w:pPr>
      <w:r>
        <w:rPr>
          <w:rFonts w:ascii="Times New Roman" w:cs="Times New Roman" w:eastAsia="Times New Roman" w:hAnsi="Times New Roman"/>
          <w:sz w:val="22"/>
          <w:szCs w:val="22"/>
          <w:color w:val="auto"/>
        </w:rPr>
        <w:t>Nations,</w:t>
      </w:r>
      <w:r>
        <w:rPr>
          <w:sz w:val="20"/>
          <w:szCs w:val="20"/>
          <w:color w:val="auto"/>
        </w:rPr>
        <w:tab/>
      </w:r>
      <w:r>
        <w:rPr>
          <w:rFonts w:ascii="Times New Roman" w:cs="Times New Roman" w:eastAsia="Times New Roman" w:hAnsi="Times New Roman"/>
          <w:sz w:val="21"/>
          <w:szCs w:val="21"/>
          <w:color w:val="auto"/>
        </w:rPr>
        <w:t>posits that the significant uptick in</w:t>
      </w:r>
    </w:p>
    <w:p>
      <w:pPr>
        <w:ind w:left="6640"/>
        <w:spacing w:after="0" w:line="227" w:lineRule="auto"/>
        <w:rPr>
          <w:sz w:val="20"/>
          <w:szCs w:val="20"/>
          <w:color w:val="auto"/>
        </w:rPr>
      </w:pPr>
      <w:r>
        <w:rPr>
          <w:rFonts w:ascii="Times New Roman" w:cs="Times New Roman" w:eastAsia="Times New Roman" w:hAnsi="Times New Roman"/>
          <w:sz w:val="30"/>
          <w:szCs w:val="30"/>
          <w:u w:val="single" w:color="auto"/>
          <w:color w:val="0000EE"/>
          <w:vertAlign w:val="superscript"/>
        </w:rPr>
        <w:t>12</w:t>
      </w:r>
    </w:p>
    <w:p>
      <w:pPr>
        <w:ind w:left="4520"/>
        <w:spacing w:after="0"/>
        <w:tabs>
          <w:tab w:leader="none" w:pos="6840" w:val="left"/>
        </w:tabs>
        <w:rPr>
          <w:sz w:val="20"/>
          <w:szCs w:val="20"/>
          <w:color w:val="auto"/>
        </w:rPr>
      </w:pPr>
      <w:r>
        <w:rPr>
          <w:rFonts w:ascii="Times New Roman" w:cs="Times New Roman" w:eastAsia="Times New Roman" w:hAnsi="Times New Roman"/>
          <w:sz w:val="22"/>
          <w:szCs w:val="22"/>
          <w:color w:val="auto"/>
        </w:rPr>
        <w:t>modern global warming.</w:t>
      </w:r>
      <w:r>
        <w:rPr>
          <w:sz w:val="20"/>
          <w:szCs w:val="20"/>
          <w:color w:val="auto"/>
        </w:rPr>
        <w:tab/>
      </w:r>
      <w:r>
        <w:rPr>
          <w:rFonts w:ascii="Times New Roman" w:cs="Times New Roman" w:eastAsia="Times New Roman" w:hAnsi="Times New Roman"/>
          <w:sz w:val="21"/>
          <w:szCs w:val="21"/>
          <w:color w:val="auto"/>
        </w:rPr>
        <w:t>This narrative has</w:t>
      </w:r>
    </w:p>
    <w:p>
      <w:pPr>
        <w:ind w:left="4520"/>
        <w:spacing w:after="0" w:line="231" w:lineRule="auto"/>
        <w:rPr>
          <w:sz w:val="20"/>
          <w:szCs w:val="20"/>
          <w:color w:val="auto"/>
        </w:rPr>
      </w:pPr>
      <w:r>
        <w:rPr>
          <w:rFonts w:ascii="Times New Roman" w:cs="Times New Roman" w:eastAsia="Times New Roman" w:hAnsi="Times New Roman"/>
          <w:sz w:val="22"/>
          <w:szCs w:val="22"/>
          <w:color w:val="auto"/>
        </w:rPr>
        <w:t>gained substantial traction, underpinning</w:t>
      </w:r>
    </w:p>
    <w:p>
      <w:pPr>
        <w:ind w:left="4520"/>
        <w:spacing w:after="0"/>
        <w:rPr>
          <w:sz w:val="20"/>
          <w:szCs w:val="20"/>
          <w:color w:val="auto"/>
        </w:rPr>
      </w:pPr>
      <w:r>
        <w:rPr>
          <w:rFonts w:ascii="Times New Roman" w:cs="Times New Roman" w:eastAsia="Times New Roman" w:hAnsi="Times New Roman"/>
          <w:sz w:val="22"/>
          <w:szCs w:val="22"/>
          <w:color w:val="auto"/>
        </w:rPr>
        <w:t>urgent calls for drastic reductions in</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However, a growing segment of the scientific</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community advocates for a more nuanced</w:t>
      </w:r>
    </w:p>
    <w:p>
      <w:pPr>
        <w:spacing w:after="0" w:line="5" w:lineRule="exact"/>
        <w:rPr>
          <w:sz w:val="20"/>
          <w:szCs w:val="20"/>
          <w:color w:val="auto"/>
        </w:rPr>
      </w:pPr>
    </w:p>
    <w:p>
      <w:pPr>
        <w:ind w:left="200" w:right="599"/>
        <w:spacing w:after="0" w:line="234" w:lineRule="auto"/>
        <w:rPr>
          <w:sz w:val="20"/>
          <w:szCs w:val="20"/>
          <w:color w:val="auto"/>
        </w:rPr>
      </w:pPr>
      <w:r>
        <w:rPr>
          <w:rFonts w:ascii="Times New Roman" w:cs="Times New Roman" w:eastAsia="Times New Roman" w:hAnsi="Times New Roman"/>
          <w:sz w:val="22"/>
          <w:szCs w:val="22"/>
          <w:color w:val="auto"/>
        </w:rPr>
        <w:t>exploration of Earth’s climate system. Viewpoints among credentialed researchers vary. Some argue that climate alarmism is exaggerated and that increased greenhouse gases will be far less damaging than often claimed. Others assert that the data evidencing a changing climate is erroneous or misleading, and that the Earth may not be warming at all. Ultimately, both camps agree that numerous influences, both naturally-occurring and human-initiated, contribute to the present climate, and that the current debate is often distorted and simplistic.</w:t>
      </w:r>
    </w:p>
    <w:p>
      <w:pPr>
        <w:spacing w:after="0" w:line="222" w:lineRule="exact"/>
        <w:rPr>
          <w:sz w:val="20"/>
          <w:szCs w:val="20"/>
          <w:color w:val="auto"/>
        </w:rPr>
      </w:pPr>
    </w:p>
    <w:p>
      <w:pPr>
        <w:ind w:left="180" w:right="619"/>
        <w:spacing w:after="0" w:line="255" w:lineRule="auto"/>
        <w:rPr>
          <w:sz w:val="20"/>
          <w:szCs w:val="20"/>
          <w:color w:val="auto"/>
        </w:rPr>
      </w:pPr>
      <w:r>
        <w:rPr>
          <w:rFonts w:ascii="Times New Roman" w:cs="Times New Roman" w:eastAsia="Times New Roman" w:hAnsi="Times New Roman"/>
          <w:sz w:val="21"/>
          <w:szCs w:val="21"/>
          <w:color w:val="auto"/>
        </w:rPr>
        <w:t>Dissenting voices from the prevailing corporate media narrative point to the influence of phenomena such as ocean currents, which act as global heat conveyors, and aerosol particles in</w:t>
      </w:r>
    </w:p>
    <w:p>
      <w:pPr>
        <w:spacing w:after="0" w:line="2" w:lineRule="exact"/>
        <w:rPr>
          <w:sz w:val="20"/>
          <w:szCs w:val="20"/>
          <w:color w:val="auto"/>
        </w:rPr>
      </w:pPr>
    </w:p>
    <w:p>
      <w:pPr>
        <w:ind w:left="180" w:right="439"/>
        <w:spacing w:after="0" w:line="222" w:lineRule="auto"/>
        <w:rPr>
          <w:sz w:val="20"/>
          <w:szCs w:val="20"/>
          <w:color w:val="auto"/>
        </w:rPr>
      </w:pPr>
      <w:r>
        <w:rPr>
          <w:rFonts w:ascii="Times New Roman" w:cs="Times New Roman" w:eastAsia="Times New Roman" w:hAnsi="Times New Roman"/>
          <w:sz w:val="22"/>
          <w:szCs w:val="22"/>
          <w:color w:val="auto"/>
        </w:rPr>
        <w:t>the atmosphere, which can reflect or absorb the sun’s energy.</w:t>
      </w:r>
      <w:r>
        <w:rPr>
          <w:rFonts w:ascii="Times New Roman" w:cs="Times New Roman" w:eastAsia="Times New Roman" w:hAnsi="Times New Roman"/>
          <w:sz w:val="35"/>
          <w:szCs w:val="35"/>
          <w:u w:val="single" w:color="auto"/>
          <w:color w:val="0000EE"/>
          <w:vertAlign w:val="superscript"/>
        </w:rPr>
        <w:t>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9"/>
          <w:szCs w:val="29"/>
          <w:u w:val="single" w:color="auto"/>
          <w:color w:val="0000EE"/>
          <w:vertAlign w:val="superscript"/>
        </w:rPr>
        <w:t>14</w:t>
      </w:r>
      <w:r>
        <w:rPr>
          <w:rFonts w:ascii="Times New Roman" w:cs="Times New Roman" w:eastAsia="Times New Roman" w:hAnsi="Times New Roman"/>
          <w:sz w:val="22"/>
          <w:szCs w:val="22"/>
          <w:color w:val="auto"/>
        </w:rPr>
        <w:t xml:space="preserve"> They argue that these natural processes – complex and not fully understood – might diminish, or even eclipse the impact of anthropogenic CO2 emissions. Thus, the challenge is to disentangle the human contribution from the Earth’s interrelated atmospheric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50165</wp:posOffset>
            </wp:positionV>
            <wp:extent cx="13798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63" w:lineRule="exact"/>
        <w:rPr>
          <w:sz w:val="20"/>
          <w:szCs w:val="20"/>
          <w:color w:val="auto"/>
        </w:rPr>
      </w:pPr>
    </w:p>
    <w:p>
      <w:pPr>
        <w:ind w:left="180" w:right="819" w:firstLine="4"/>
        <w:spacing w:after="0" w:line="216" w:lineRule="auto"/>
        <w:tabs>
          <w:tab w:leader="none" w:pos="287"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Royal Society. “The Basics of Climate Change.” See https://royalsociety.org/news-resources/projects/climate-change-evidence-causes/basics-of-climate-change/</w:t>
      </w:r>
    </w:p>
    <w:p>
      <w:pPr>
        <w:spacing w:after="0" w:line="54" w:lineRule="exact"/>
        <w:rPr>
          <w:sz w:val="20"/>
          <w:szCs w:val="20"/>
          <w:color w:val="auto"/>
        </w:rPr>
      </w:pPr>
    </w:p>
    <w:p>
      <w:pPr>
        <w:ind w:left="180" w:right="759" w:firstLine="4"/>
        <w:spacing w:after="0" w:line="216" w:lineRule="auto"/>
        <w:tabs>
          <w:tab w:leader="none" w:pos="287"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Met Office. “Causes of climate change.” See https://www.metoffice.gov.uk/weather/climate-change/causes-of-climate-change</w:t>
      </w:r>
    </w:p>
    <w:p>
      <w:pPr>
        <w:spacing w:after="0" w:line="54" w:lineRule="exact"/>
        <w:rPr>
          <w:sz w:val="20"/>
          <w:szCs w:val="20"/>
          <w:color w:val="auto"/>
        </w:rPr>
      </w:pPr>
    </w:p>
    <w:p>
      <w:pPr>
        <w:ind w:left="180" w:right="819" w:firstLine="4"/>
        <w:spacing w:after="0" w:line="216" w:lineRule="auto"/>
        <w:tabs>
          <w:tab w:leader="none" w:pos="287"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US Environmental Protection Agency. “Causes of Climate Change.” See https://www.epa.gov/climatechange-science/causes-climate-change</w:t>
      </w:r>
    </w:p>
    <w:p>
      <w:pPr>
        <w:spacing w:after="0" w:line="54" w:lineRule="exact"/>
        <w:rPr>
          <w:sz w:val="20"/>
          <w:szCs w:val="20"/>
          <w:color w:val="auto"/>
        </w:rPr>
      </w:pPr>
    </w:p>
    <w:p>
      <w:pPr>
        <w:ind w:left="180" w:right="719" w:firstLine="4"/>
        <w:spacing w:after="0" w:line="233" w:lineRule="auto"/>
        <w:tabs>
          <w:tab w:leader="none" w:pos="287"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US EPA. “Causes of Climate Change.” See https://www.epa.gov/climatechange-science/causes-climate-change </w:t>
      </w:r>
      <w:r>
        <w:rPr>
          <w:rFonts w:ascii="Times New Roman" w:cs="Times New Roman" w:eastAsia="Times New Roman" w:hAnsi="Times New Roman"/>
          <w:sz w:val="24"/>
          <w:szCs w:val="24"/>
          <w:u w:val="single" w:color="auto"/>
          <w:color w:val="0000EE"/>
          <w:vertAlign w:val="superscript"/>
        </w:rPr>
        <w:t>10</w:t>
      </w:r>
      <w:r>
        <w:rPr>
          <w:rFonts w:ascii="Times New Roman" w:cs="Times New Roman" w:eastAsia="Times New Roman" w:hAnsi="Times New Roman"/>
          <w:sz w:val="18"/>
          <w:szCs w:val="18"/>
          <w:color w:val="auto"/>
        </w:rPr>
        <w:t xml:space="preserve"> IPCC. “FAQ Chapter 1,” See https://www.ipcc.ch/sr15/faq/faq-chapter-1/</w:t>
      </w:r>
    </w:p>
    <w:p>
      <w:pPr>
        <w:ind w:left="180"/>
        <w:spacing w:after="0" w:line="218" w:lineRule="auto"/>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4"/>
          <w:szCs w:val="24"/>
          <w:u w:val="single" w:color="auto"/>
          <w:color w:val="0000EE"/>
          <w:vertAlign w:val="superscript"/>
        </w:rPr>
        <w:t>11</w:t>
      </w:r>
      <w:r>
        <w:rPr>
          <w:rFonts w:ascii="Times New Roman" w:cs="Times New Roman" w:eastAsia="Times New Roman" w:hAnsi="Times New Roman"/>
          <w:sz w:val="18"/>
          <w:szCs w:val="18"/>
          <w:color w:val="auto"/>
        </w:rPr>
        <w:t xml:space="preserve"> IPCC. See https://www.ipcc.ch/about/</w:t>
      </w:r>
    </w:p>
    <w:p>
      <w:pPr>
        <w:spacing w:after="0" w:line="53" w:lineRule="exact"/>
        <w:rPr>
          <w:sz w:val="20"/>
          <w:szCs w:val="20"/>
          <w:color w:val="auto"/>
        </w:rPr>
      </w:pPr>
    </w:p>
    <w:p>
      <w:pPr>
        <w:ind w:left="180" w:right="217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IPCC. “Climate change widespread, rapid, and intensifying – IPCC,” August 9, 2021. See https://www.ipcc.ch/2021/08/09/ar6-wg1-20210809-pr/</w:t>
      </w:r>
    </w:p>
    <w:p>
      <w:pPr>
        <w:ind w:left="360" w:hanging="176"/>
        <w:spacing w:after="0" w:line="236" w:lineRule="auto"/>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US EPA. “Causes of Climate Change.” See https://www.epa.gov/climatechange-science/causes-climate-change</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51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British Geological Survey. “What causes the Earth’s climate to change?” See https://www.bgs.ac.uk/discovering-geology/climate-change/what-causes-the-earths-climate-to-change/</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ind w:left="180" w:right="459"/>
        <w:spacing w:after="0" w:line="235" w:lineRule="auto"/>
        <w:rPr>
          <w:sz w:val="20"/>
          <w:szCs w:val="20"/>
          <w:color w:val="auto"/>
        </w:rPr>
      </w:pPr>
      <w:r>
        <w:rPr>
          <w:rFonts w:ascii="Times New Roman" w:cs="Times New Roman" w:eastAsia="Times New Roman" w:hAnsi="Times New Roman"/>
          <w:sz w:val="22"/>
          <w:szCs w:val="22"/>
          <w:color w:val="auto"/>
        </w:rPr>
        <w:t>This nuanced understanding of the climate acknowledges the intricate dance between human activities and the Earth’s natural climatic processes. It champions continued exploration into the dynamics of past and present climate changes and their interconnections. This approach advocates for a balanced perspective that recognizes the contributions of both human and natural factors to climate change. It calls for informed, holistic environmental policies that do not compromise economic vitality and development, ensuring a future where energy security and environmental stewardship go hand in hand.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Discourse Has Become Politicized</w:t>
      </w:r>
    </w:p>
    <w:p>
      <w:pPr>
        <w:spacing w:after="0" w:line="237" w:lineRule="exact"/>
        <w:rPr>
          <w:sz w:val="20"/>
          <w:szCs w:val="20"/>
          <w:color w:val="auto"/>
        </w:rPr>
      </w:pPr>
    </w:p>
    <w:p>
      <w:pPr>
        <w:ind w:left="180" w:right="439"/>
        <w:spacing w:after="0" w:line="236" w:lineRule="auto"/>
        <w:rPr>
          <w:sz w:val="20"/>
          <w:szCs w:val="20"/>
          <w:color w:val="auto"/>
        </w:rPr>
      </w:pPr>
      <w:r>
        <w:rPr>
          <w:rFonts w:ascii="Times New Roman" w:cs="Times New Roman" w:eastAsia="Times New Roman" w:hAnsi="Times New Roman"/>
          <w:sz w:val="22"/>
          <w:szCs w:val="22"/>
          <w:color w:val="auto"/>
        </w:rPr>
        <w:t>By comparison, the current climate change discourse – which also dominates corporate America, including among energy and finance industries – often exhibits a marked bias against CO2 emissions, portraying them as the sole villain in the global warming narrative. This oversimplification neglects the complexity of the Earth’s climate system, drives the storytelling towards alarmism, and forecasts catastrophic outcomes based on models and assumptions that often don’t fully capture the inherent uncertainty in climate science.</w:t>
      </w:r>
    </w:p>
    <w:p>
      <w:pPr>
        <w:spacing w:after="0" w:line="208" w:lineRule="exact"/>
        <w:rPr>
          <w:sz w:val="20"/>
          <w:szCs w:val="20"/>
          <w:color w:val="auto"/>
        </w:rPr>
      </w:pPr>
    </w:p>
    <w:p>
      <w:pPr>
        <w:ind w:left="180" w:right="459"/>
        <w:spacing w:after="0" w:line="251" w:lineRule="auto"/>
        <w:rPr>
          <w:sz w:val="20"/>
          <w:szCs w:val="20"/>
          <w:color w:val="auto"/>
        </w:rPr>
      </w:pPr>
      <w:r>
        <w:rPr>
          <w:rFonts w:ascii="Times New Roman" w:cs="Times New Roman" w:eastAsia="Times New Roman" w:hAnsi="Times New Roman"/>
          <w:sz w:val="21"/>
          <w:szCs w:val="21"/>
          <w:color w:val="auto"/>
        </w:rPr>
        <w:t xml:space="preserve">The alarmist perspective is favored by the IPCC, </w:t>
      </w:r>
      <w:r>
        <w:rPr>
          <w:rFonts w:ascii="Times New Roman" w:cs="Times New Roman" w:eastAsia="Times New Roman" w:hAnsi="Times New Roman"/>
          <w:sz w:val="21"/>
          <w:szCs w:val="21"/>
          <w:color w:val="0E101A"/>
        </w:rPr>
        <w:t>which was the primary consultant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E101A"/>
        </w:rPr>
        <w:t>creation of the landmark Paris Agreement – signed by one hundred ninety-four states and the EU at the twenty-first session of the Conference of Parties (COP21), the supreme rulemaking body</w:t>
      </w:r>
    </w:p>
    <w:p>
      <w:pPr>
        <w:ind w:left="180" w:right="459"/>
        <w:spacing w:after="0" w:line="244" w:lineRule="auto"/>
        <w:rPr>
          <w:sz w:val="20"/>
          <w:szCs w:val="20"/>
          <w:color w:val="auto"/>
        </w:rPr>
      </w:pPr>
      <w:r>
        <w:rPr>
          <w:rFonts w:ascii="Times New Roman" w:cs="Times New Roman" w:eastAsia="Times New Roman" w:hAnsi="Times New Roman"/>
          <w:sz w:val="21"/>
          <w:szCs w:val="21"/>
          <w:color w:val="0E101A"/>
        </w:rPr>
        <w:t>of the United Nations Framework Convention on Climate Change (UNFCCC).</w:t>
      </w:r>
      <w:r>
        <w:rPr>
          <w:rFonts w:ascii="Times New Roman" w:cs="Times New Roman" w:eastAsia="Times New Roman" w:hAnsi="Times New Roman"/>
          <w:sz w:val="28"/>
          <w:szCs w:val="28"/>
          <w:u w:val="single" w:color="auto"/>
          <w:color w:val="0000EE"/>
          <w:vertAlign w:val="superscript"/>
        </w:rPr>
        <w:t>15</w:t>
      </w:r>
      <w:r>
        <w:rPr>
          <w:rFonts w:ascii="Times New Roman" w:cs="Times New Roman" w:eastAsia="Times New Roman" w:hAnsi="Times New Roman"/>
          <w:sz w:val="21"/>
          <w:szCs w:val="21"/>
          <w:color w:val="0E101A"/>
        </w:rPr>
        <w:t xml:space="preserve"> Since the Paris Agreement was signed, the IPCC’s primary purpose is to provide periodic “Assessment Reports” (abbreviated by number, such as “AR6” for the </w:t>
      </w:r>
      <w:r>
        <w:rPr>
          <w:rFonts w:ascii="Times New Roman" w:cs="Times New Roman" w:eastAsia="Times New Roman" w:hAnsi="Times New Roman"/>
          <w:sz w:val="21"/>
          <w:szCs w:val="21"/>
          <w:i w:val="1"/>
          <w:iCs w:val="1"/>
          <w:color w:val="0E101A"/>
        </w:rPr>
        <w:t>Sixth Assessment Report</w:t>
      </w:r>
      <w:r>
        <w:rPr>
          <w:rFonts w:ascii="Times New Roman" w:cs="Times New Roman" w:eastAsia="Times New Roman" w:hAnsi="Times New Roman"/>
          <w:sz w:val="21"/>
          <w:szCs w:val="21"/>
          <w:color w:val="0E101A"/>
        </w:rPr>
        <w:t>) comprised of up-to-date climate research and mitigation policy proposals for both governments and the private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0E101A"/>
        </w:rPr>
        <w:t>sector.</w:t>
      </w:r>
      <w:r>
        <w:rPr>
          <w:rFonts w:ascii="Times New Roman" w:cs="Times New Roman" w:eastAsia="Times New Roman" w:hAnsi="Times New Roman"/>
          <w:sz w:val="29"/>
          <w:szCs w:val="29"/>
          <w:u w:val="single" w:color="auto"/>
          <w:color w:val="0000EE"/>
          <w:vertAlign w:val="superscript"/>
        </w:rPr>
        <w:t>16</w:t>
      </w:r>
    </w:p>
    <w:p>
      <w:pPr>
        <w:spacing w:after="0" w:line="218" w:lineRule="exact"/>
        <w:rPr>
          <w:sz w:val="20"/>
          <w:szCs w:val="20"/>
          <w:color w:val="auto"/>
        </w:rPr>
      </w:pPr>
    </w:p>
    <w:p>
      <w:pPr>
        <w:ind w:left="180" w:right="519"/>
        <w:spacing w:after="0" w:line="235" w:lineRule="auto"/>
        <w:rPr>
          <w:sz w:val="20"/>
          <w:szCs w:val="20"/>
          <w:color w:val="auto"/>
        </w:rPr>
      </w:pPr>
      <w:r>
        <w:rPr>
          <w:rFonts w:ascii="Times New Roman" w:cs="Times New Roman" w:eastAsia="Times New Roman" w:hAnsi="Times New Roman"/>
          <w:sz w:val="22"/>
          <w:szCs w:val="22"/>
          <w:color w:val="0E101A"/>
        </w:rPr>
        <w:t>During the creation of AR5 (published in 2015), the IPCC developed four scenarios called Representative Concentration Pathways (RCP). The RCPs represent alternative climate futures based on different greenhouse gas emission scenarios. The IPCC labeled each RCP according to its projected level of radiative forcing by 2100. The RCPs range from RCP2.6, which represents a scenario where greenhouse gas emissions peak around 2020 and decline thereafter, to RCP8.5, which represents a scenario where greenhouse gas emissions continue to rise throughout the century, resulting in a temperature increase of 4.5°C or more by 2100.</w:t>
      </w:r>
    </w:p>
    <w:p>
      <w:pPr>
        <w:spacing w:after="0" w:line="210" w:lineRule="exact"/>
        <w:rPr>
          <w:sz w:val="20"/>
          <w:szCs w:val="20"/>
          <w:color w:val="auto"/>
        </w:rPr>
      </w:pPr>
    </w:p>
    <w:p>
      <w:pPr>
        <w:ind w:left="180" w:right="539"/>
        <w:spacing w:after="0" w:line="239" w:lineRule="auto"/>
        <w:rPr>
          <w:sz w:val="20"/>
          <w:szCs w:val="20"/>
          <w:color w:val="auto"/>
        </w:rPr>
      </w:pPr>
      <w:r>
        <w:rPr>
          <w:rFonts w:ascii="Times New Roman" w:cs="Times New Roman" w:eastAsia="Times New Roman" w:hAnsi="Times New Roman"/>
          <w:sz w:val="22"/>
          <w:szCs w:val="22"/>
          <w:color w:val="0E101A"/>
        </w:rPr>
        <w:t>The RCPs represent potential outcomes, not predictions. The IPCC did not assign likelihoods to the pathways because there is a high degree of uncertainty associated with future emissions and their impacts on the climate system. Instead, the RCPs are tools for exploring the range of possible outcomes, however improbable they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50800</wp:posOffset>
            </wp:positionV>
            <wp:extent cx="13798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62" w:lineRule="exact"/>
        <w:rPr>
          <w:sz w:val="20"/>
          <w:szCs w:val="20"/>
          <w:color w:val="auto"/>
        </w:rPr>
      </w:pPr>
    </w:p>
    <w:p>
      <w:pPr>
        <w:ind w:left="180" w:right="999" w:firstLine="4"/>
        <w:spacing w:after="0" w:line="230"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Denchak, M. “Paris Climate Agreement: Everything You Need To Know,” NRDC</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2021, February 19. See https://www.nrdc.org/stories/paris-climate-agreement-everything-you-need-know#sec-whatis</w:t>
      </w:r>
    </w:p>
    <w:p>
      <w:pPr>
        <w:ind w:left="360" w:hanging="176"/>
        <w:spacing w:after="0" w:line="236" w:lineRule="auto"/>
        <w:tabs>
          <w:tab w:leader="none" w:pos="360" w:val="left"/>
        </w:tabs>
        <w:numPr>
          <w:ilvl w:val="0"/>
          <w:numId w:val="1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IPCC. “Preparing Reports.” See https://www.ipcc.ch/about/preparingreports/</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 w:name="page5"/>
    <w:bookmarkEnd w:id="4"/>
    <w:p>
      <w:pPr>
        <w:ind w:left="180" w:right="599"/>
        <w:spacing w:after="0" w:line="251" w:lineRule="auto"/>
        <w:rPr>
          <w:sz w:val="20"/>
          <w:szCs w:val="20"/>
          <w:color w:val="auto"/>
        </w:rPr>
      </w:pPr>
      <w:r>
        <w:rPr>
          <w:rFonts w:ascii="Times New Roman" w:cs="Times New Roman" w:eastAsia="Times New Roman" w:hAnsi="Times New Roman"/>
          <w:sz w:val="21"/>
          <w:szCs w:val="21"/>
          <w:color w:val="0E101A"/>
        </w:rPr>
        <w:t>While RCP8.5 is the worst-case scenario, it is highly unlikely. Yet media organizations, activist groups, and even scientific bodies like the IPCC have routinely portrayed the extreme consequences of RCP8.5 as the default outcome. According to a 2020 article by Zeke Hausfather, director of climate and energy at the Breakthrough Institute in Oakland, and Glen Peters, research director at the CICERO Center for International Climate Research in Oslo:</w:t>
      </w:r>
    </w:p>
    <w:p>
      <w:pPr>
        <w:spacing w:after="0" w:line="195" w:lineRule="exact"/>
        <w:rPr>
          <w:sz w:val="20"/>
          <w:szCs w:val="20"/>
          <w:color w:val="auto"/>
        </w:rPr>
      </w:pPr>
    </w:p>
    <w:p>
      <w:pPr>
        <w:ind w:left="580" w:right="439"/>
        <w:spacing w:after="0" w:line="248" w:lineRule="auto"/>
        <w:rPr>
          <w:sz w:val="20"/>
          <w:szCs w:val="20"/>
          <w:color w:val="auto"/>
        </w:rPr>
      </w:pPr>
      <w:r>
        <w:rPr>
          <w:rFonts w:ascii="Times New Roman" w:cs="Times New Roman" w:eastAsia="Times New Roman" w:hAnsi="Times New Roman"/>
          <w:sz w:val="21"/>
          <w:szCs w:val="21"/>
          <w:color w:val="0E101A"/>
        </w:rPr>
        <w:t>A sizeable portion of the literature on climate impacts refers to RCP8.5 as business as usual, implying that it is probable in the absence of stringent climate mitigation. The media then often amplifies this message, sometimes without communicating the nuances. This results in further confusion regarding probable emissions outcomes, because many climate researchers</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0E101A"/>
        </w:rPr>
        <w:t>are not familiar with the details of these scenarios in the energy-modeling literature.</w:t>
      </w:r>
      <w:r>
        <w:rPr>
          <w:rFonts w:ascii="Times New Roman" w:cs="Times New Roman" w:eastAsia="Times New Roman" w:hAnsi="Times New Roman"/>
          <w:sz w:val="29"/>
          <w:szCs w:val="29"/>
          <w:u w:val="single" w:color="auto"/>
          <w:color w:val="0000EE"/>
          <w:vertAlign w:val="superscript"/>
        </w:rPr>
        <w:t>17</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0E101A"/>
        </w:rPr>
        <w:t>The Proposal Realigns Executive Incentives with Shareholder Interests</w:t>
      </w:r>
    </w:p>
    <w:p>
      <w:pPr>
        <w:spacing w:after="0" w:line="237" w:lineRule="exact"/>
        <w:rPr>
          <w:sz w:val="20"/>
          <w:szCs w:val="20"/>
          <w:color w:val="auto"/>
        </w:rPr>
      </w:pPr>
    </w:p>
    <w:p>
      <w:pPr>
        <w:ind w:left="180" w:right="579"/>
        <w:spacing w:after="0" w:line="251" w:lineRule="auto"/>
        <w:rPr>
          <w:sz w:val="20"/>
          <w:szCs w:val="20"/>
          <w:color w:val="auto"/>
        </w:rPr>
      </w:pPr>
      <w:r>
        <w:rPr>
          <w:rFonts w:ascii="Times New Roman" w:cs="Times New Roman" w:eastAsia="Times New Roman" w:hAnsi="Times New Roman"/>
          <w:sz w:val="21"/>
          <w:szCs w:val="21"/>
          <w:color w:val="auto"/>
        </w:rPr>
        <w:t>Considering the popular narrative about climate change exaggerates the negative effects of carbon emissions and ignores the positive effects of hydrocarbon energy, it is unwise for GM to hinge its future on a false assumption of catastrophic climate change. Rapid decarbonization, as</w:t>
      </w:r>
    </w:p>
    <w:p>
      <w:pPr>
        <w:ind w:left="180" w:right="639"/>
        <w:spacing w:after="0" w:line="235" w:lineRule="auto"/>
        <w:rPr>
          <w:sz w:val="20"/>
          <w:szCs w:val="20"/>
          <w:color w:val="auto"/>
        </w:rPr>
      </w:pPr>
      <w:r>
        <w:rPr>
          <w:rFonts w:ascii="Times New Roman" w:cs="Times New Roman" w:eastAsia="Times New Roman" w:hAnsi="Times New Roman"/>
          <w:sz w:val="22"/>
          <w:szCs w:val="22"/>
          <w:color w:val="auto"/>
        </w:rPr>
        <w:t>outlined in the Paris Agreement and supported by the Company,</w:t>
      </w:r>
      <w:r>
        <w:rPr>
          <w:rFonts w:ascii="Times New Roman" w:cs="Times New Roman" w:eastAsia="Times New Roman" w:hAnsi="Times New Roman"/>
          <w:sz w:val="29"/>
          <w:szCs w:val="29"/>
          <w:u w:val="single" w:color="auto"/>
          <w:color w:val="0000EE"/>
          <w:vertAlign w:val="superscript"/>
        </w:rPr>
        <w:t>18</w:t>
      </w:r>
      <w:r>
        <w:rPr>
          <w:rFonts w:ascii="Times New Roman" w:cs="Times New Roman" w:eastAsia="Times New Roman" w:hAnsi="Times New Roman"/>
          <w:sz w:val="22"/>
          <w:szCs w:val="22"/>
          <w:color w:val="auto"/>
        </w:rPr>
        <w:t xml:space="preserve"> is not a logical or feasible option. What use is electrification if the electrical grid is still powered by hydrocarbon energy? Electric vehicles accomplish little to protect the environment. If anything, they are a net negative, given their excessive demands for rare earth elements, which are mined at a steep environmental cost. Additionally, as noted in the Proposal:</w:t>
      </w:r>
    </w:p>
    <w:p>
      <w:pPr>
        <w:spacing w:after="0" w:line="206" w:lineRule="exact"/>
        <w:rPr>
          <w:sz w:val="20"/>
          <w:szCs w:val="20"/>
          <w:color w:val="auto"/>
        </w:rPr>
      </w:pPr>
    </w:p>
    <w:p>
      <w:pPr>
        <w:ind w:left="840" w:right="559" w:hanging="332"/>
        <w:spacing w:after="0" w:line="246" w:lineRule="auto"/>
        <w:tabs>
          <w:tab w:leader="none" w:pos="8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 vehicle batteries require large quantities of rare-earth elements, which are almost exclusively owned, mined, and processed by China.</w:t>
      </w:r>
      <w:r>
        <w:rPr>
          <w:rFonts w:ascii="Times New Roman" w:cs="Times New Roman" w:eastAsia="Times New Roman" w:hAnsi="Times New Roman"/>
          <w:sz w:val="29"/>
          <w:szCs w:val="29"/>
          <w:u w:val="single" w:color="auto"/>
          <w:color w:val="0000EE"/>
          <w:vertAlign w:val="superscript"/>
        </w:rPr>
        <w:t>19</w:t>
      </w:r>
      <w:r>
        <w:rPr>
          <w:rFonts w:ascii="Times New Roman" w:cs="Times New Roman" w:eastAsia="Times New Roman" w:hAnsi="Times New Roman"/>
          <w:sz w:val="22"/>
          <w:szCs w:val="22"/>
          <w:color w:val="auto"/>
        </w:rPr>
        <w:t xml:space="preserve"> This presents a risk for US companies that may become political targets of the Chinese Communist Party.”</w:t>
      </w:r>
    </w:p>
    <w:p>
      <w:pPr>
        <w:spacing w:after="0" w:line="2" w:lineRule="exact"/>
        <w:rPr>
          <w:rFonts w:ascii="Times New Roman" w:cs="Times New Roman" w:eastAsia="Times New Roman" w:hAnsi="Times New Roman"/>
          <w:sz w:val="22"/>
          <w:szCs w:val="22"/>
          <w:color w:val="auto"/>
        </w:rPr>
      </w:pPr>
    </w:p>
    <w:p>
      <w:pPr>
        <w:ind w:left="840" w:hanging="332"/>
        <w:spacing w:after="0" w:line="182" w:lineRule="auto"/>
        <w:tabs>
          <w:tab w:leader="none" w:pos="840" w:val="left"/>
        </w:tabs>
        <w:numPr>
          <w:ilvl w:val="0"/>
          <w:numId w:val="12"/>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 xml:space="preserve">“Battery supply chains are significantly tainted by forced labor. </w:t>
      </w:r>
      <w:r>
        <w:rPr>
          <w:rFonts w:ascii="Times New Roman" w:cs="Times New Roman" w:eastAsia="Times New Roman" w:hAnsi="Times New Roman"/>
          <w:sz w:val="28"/>
          <w:szCs w:val="28"/>
          <w:u w:val="single" w:color="auto"/>
          <w:color w:val="0000EE"/>
          <w:vertAlign w:val="superscript"/>
        </w:rPr>
        <w:t>20 21</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80" w:right="919"/>
        <w:spacing w:after="0" w:line="255" w:lineRule="auto"/>
        <w:rPr>
          <w:sz w:val="20"/>
          <w:szCs w:val="20"/>
          <w:color w:val="auto"/>
        </w:rPr>
      </w:pPr>
      <w:r>
        <w:rPr>
          <w:rFonts w:ascii="Times New Roman" w:cs="Times New Roman" w:eastAsia="Times New Roman" w:hAnsi="Times New Roman"/>
          <w:sz w:val="21"/>
          <w:szCs w:val="21"/>
          <w:color w:val="auto"/>
        </w:rPr>
        <w:t>Instead of selling its efforts to promote electric vehicles as a bold and noble step to save the planet, GM should admit that its electric vehicle program is nothing more than a federally</w:t>
      </w:r>
    </w:p>
    <w:p>
      <w:pPr>
        <w:spacing w:after="0" w:line="2" w:lineRule="exact"/>
        <w:rPr>
          <w:sz w:val="20"/>
          <w:szCs w:val="20"/>
          <w:color w:val="auto"/>
        </w:rPr>
      </w:pPr>
    </w:p>
    <w:p>
      <w:pPr>
        <w:ind w:left="180" w:right="659"/>
        <w:spacing w:after="0" w:line="236" w:lineRule="auto"/>
        <w:rPr>
          <w:sz w:val="20"/>
          <w:szCs w:val="20"/>
          <w:color w:val="auto"/>
        </w:rPr>
      </w:pPr>
      <w:r>
        <w:rPr>
          <w:rFonts w:ascii="Times New Roman" w:cs="Times New Roman" w:eastAsia="Times New Roman" w:hAnsi="Times New Roman"/>
          <w:sz w:val="22"/>
          <w:szCs w:val="22"/>
          <w:color w:val="auto"/>
        </w:rPr>
        <w:t>subsidized bridge to nowhere that few consumers want.</w:t>
      </w:r>
      <w:r>
        <w:rPr>
          <w:rFonts w:ascii="Times New Roman" w:cs="Times New Roman" w:eastAsia="Times New Roman" w:hAnsi="Times New Roman"/>
          <w:sz w:val="29"/>
          <w:szCs w:val="29"/>
          <w:u w:val="single" w:color="auto"/>
          <w:color w:val="0000EE"/>
          <w:vertAlign w:val="superscript"/>
        </w:rPr>
        <w:t>22</w:t>
      </w:r>
      <w:r>
        <w:rPr>
          <w:rFonts w:ascii="Times New Roman" w:cs="Times New Roman" w:eastAsia="Times New Roman" w:hAnsi="Times New Roman"/>
          <w:sz w:val="22"/>
          <w:szCs w:val="22"/>
          <w:color w:val="auto"/>
        </w:rPr>
        <w:t xml:space="preserve"> Instead of encouraging executives to chase the mirage of EV success at the expense of its legacy vehicles, management should have the strategic flexibility to pursue whatever investments offer the greatest potential to increase shareholder 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50165</wp:posOffset>
            </wp:positionV>
            <wp:extent cx="13798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63" w:lineRule="exact"/>
        <w:rPr>
          <w:sz w:val="20"/>
          <w:szCs w:val="20"/>
          <w:color w:val="auto"/>
        </w:rPr>
      </w:pPr>
    </w:p>
    <w:p>
      <w:pPr>
        <w:ind w:left="180" w:right="959" w:firstLine="4"/>
        <w:spacing w:after="0" w:line="22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Hausfather, Z., &amp; Peters, G. P. “Emissions – the ‘business as usual’ story is misleading,” Nature Publishing Group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January 29, 2020. See https://www.nature.com/articles/d41586-020-00177-3</w:t>
      </w:r>
    </w:p>
    <w:p>
      <w:pPr>
        <w:ind w:left="360" w:hanging="176"/>
        <w:spacing w:after="0" w:line="236" w:lineRule="auto"/>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GM. “2024 Proxy Statement.” See https://static.conocophillips.com/files/resources/2024-proxy.pdf</w:t>
      </w:r>
    </w:p>
    <w:p>
      <w:pPr>
        <w:spacing w:after="0" w:line="47" w:lineRule="exact"/>
        <w:rPr>
          <w:rFonts w:ascii="Times New Roman" w:cs="Times New Roman" w:eastAsia="Times New Roman" w:hAnsi="Times New Roman"/>
          <w:sz w:val="25"/>
          <w:szCs w:val="25"/>
          <w:u w:val="single" w:color="auto"/>
          <w:color w:val="0000EE"/>
          <w:vertAlign w:val="superscript"/>
        </w:rPr>
      </w:pPr>
    </w:p>
    <w:p>
      <w:pPr>
        <w:ind w:left="180" w:right="539" w:firstLine="4"/>
        <w:spacing w:after="0" w:line="230"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Zhai, Keith. “China Set to Create New State-Owned Rare-Earths Giant,”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December 3, 2021. See https://www.wsj.com/articles/china-set-to-create-new-state-owned-rare-earths-giant-11638545586</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Ng, Abigail. “China’s electric vehicle battery supply chain shows signs of forced labor, report says,” CNBC, June 21, 2022. See https://www.cnbc.com/2022/06/22/signs-of-forced-labor-found-in-chinas-ev-battery-supply-chain-report.html</w:t>
      </w:r>
    </w:p>
    <w:p>
      <w:pPr>
        <w:spacing w:after="0" w:line="244" w:lineRule="exact"/>
        <w:rPr>
          <w:rFonts w:ascii="Times New Roman" w:cs="Times New Roman" w:eastAsia="Times New Roman" w:hAnsi="Times New Roman"/>
          <w:sz w:val="24"/>
          <w:szCs w:val="24"/>
          <w:u w:val="single" w:color="auto"/>
          <w:color w:val="0000EE"/>
          <w:vertAlign w:val="superscript"/>
        </w:rPr>
      </w:pPr>
    </w:p>
    <w:p>
      <w:pPr>
        <w:ind w:left="180" w:right="599" w:firstLine="4"/>
        <w:spacing w:after="0"/>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Hudson, Clara. “EV, Phone Makers Warned on Forced Labor in Cobalt Supply Chain,” Bloomberg Law, November 14, 2023. See https://news.bloomberglaw.com/esg/ev-phone-makers-warned-on-forced-labor-in-cobalt-supply-chain</w:t>
      </w:r>
    </w:p>
    <w:p>
      <w:pPr>
        <w:spacing w:after="0" w:line="242" w:lineRule="exact"/>
        <w:rPr>
          <w:rFonts w:ascii="Times New Roman" w:cs="Times New Roman" w:eastAsia="Times New Roman" w:hAnsi="Times New Roman"/>
          <w:sz w:val="24"/>
          <w:szCs w:val="24"/>
          <w:u w:val="single" w:color="auto"/>
          <w:color w:val="0000EE"/>
          <w:vertAlign w:val="superscript"/>
        </w:rPr>
      </w:pPr>
    </w:p>
    <w:p>
      <w:pPr>
        <w:ind w:left="180" w:right="559" w:firstLine="4"/>
        <w:spacing w:after="0" w:line="230"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Grieve, Pete. “EV Sales Are in a Slump — Why Aren’t More Car Buyers Going Electric?” </w:t>
      </w:r>
      <w:r>
        <w:rPr>
          <w:rFonts w:ascii="Times New Roman" w:cs="Times New Roman" w:eastAsia="Times New Roman" w:hAnsi="Times New Roman"/>
          <w:sz w:val="17"/>
          <w:szCs w:val="17"/>
          <w:i w:val="1"/>
          <w:iCs w:val="1"/>
          <w:color w:val="auto"/>
        </w:rPr>
        <w:t>Money</w:t>
      </w:r>
      <w:r>
        <w:rPr>
          <w:rFonts w:ascii="Times New Roman" w:cs="Times New Roman" w:eastAsia="Times New Roman" w:hAnsi="Times New Roman"/>
          <w:sz w:val="17"/>
          <w:szCs w:val="17"/>
          <w:color w:val="auto"/>
        </w:rPr>
        <w:t>, November 1, 2023. See https://money.com/why-americans-not-buying-electric-cars/</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 w:name="page6"/>
    <w:bookmarkEnd w:id="5"/>
    <w:p>
      <w:pPr>
        <w:ind w:left="200" w:right="5099"/>
        <w:spacing w:after="0" w:line="234" w:lineRule="auto"/>
        <w:rPr>
          <w:sz w:val="20"/>
          <w:szCs w:val="20"/>
          <w:color w:val="auto"/>
        </w:rPr>
      </w:pPr>
      <w:r>
        <w:rPr>
          <w:rFonts w:ascii="Times New Roman" w:cs="Times New Roman" w:eastAsia="Times New Roman" w:hAnsi="Times New Roman"/>
          <w:sz w:val="22"/>
          <w:szCs w:val="22"/>
          <w:color w:val="auto"/>
        </w:rPr>
        <w:t>For these reasons, the Proposal urges the Executive Compensation Committee of the Board of Directors to critically reassess the company’s executive pay incentives for expanding its EV program. The aim is to realign these incentives with legitimate fiduciary goals, removing or reevaluating economically dubious objectives that may pose risks to the company's long-term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-1550035</wp:posOffset>
            </wp:positionV>
            <wp:extent cx="2712720" cy="1821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2720" cy="1821180"/>
                    </a:xfrm>
                    <a:prstGeom prst="rect">
                      <a:avLst/>
                    </a:prstGeom>
                    <a:noFill/>
                  </pic:spPr>
                </pic:pic>
              </a:graphicData>
            </a:graphic>
          </wp:anchor>
        </w:drawing>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GM is not an EV company. GM’s expertise</w:t>
      </w:r>
    </w:p>
    <w:p>
      <w:pPr>
        <w:spacing w:after="0" w:line="29" w:lineRule="exact"/>
        <w:rPr>
          <w:sz w:val="20"/>
          <w:szCs w:val="20"/>
          <w:color w:val="auto"/>
        </w:rPr>
      </w:pPr>
    </w:p>
    <w:p>
      <w:pPr>
        <w:ind w:left="200" w:right="619"/>
        <w:spacing w:after="0" w:line="239" w:lineRule="auto"/>
        <w:rPr>
          <w:sz w:val="20"/>
          <w:szCs w:val="20"/>
          <w:color w:val="auto"/>
        </w:rPr>
      </w:pPr>
      <w:r>
        <w:rPr>
          <w:rFonts w:ascii="Times New Roman" w:cs="Times New Roman" w:eastAsia="Times New Roman" w:hAnsi="Times New Roman"/>
          <w:sz w:val="22"/>
          <w:szCs w:val="22"/>
          <w:color w:val="auto"/>
        </w:rPr>
        <w:t>and core business has always been the production and sale of internal combustion engine vehicles. Yet management is determined to chase the lofty valuations thrown at electric vehicle unicorns like Tesla, BYD, and Rivian.</w:t>
      </w:r>
    </w:p>
    <w:p>
      <w:pPr>
        <w:spacing w:after="0" w:line="217" w:lineRule="exact"/>
        <w:rPr>
          <w:sz w:val="20"/>
          <w:szCs w:val="20"/>
          <w:color w:val="auto"/>
        </w:rPr>
      </w:pPr>
    </w:p>
    <w:p>
      <w:pPr>
        <w:ind w:left="180" w:right="719"/>
        <w:spacing w:after="0" w:line="248" w:lineRule="auto"/>
        <w:rPr>
          <w:sz w:val="20"/>
          <w:szCs w:val="20"/>
          <w:color w:val="auto"/>
        </w:rPr>
      </w:pPr>
      <w:r>
        <w:rPr>
          <w:rFonts w:ascii="Times New Roman" w:cs="Times New Roman" w:eastAsia="Times New Roman" w:hAnsi="Times New Roman"/>
          <w:sz w:val="21"/>
          <w:szCs w:val="21"/>
          <w:color w:val="auto"/>
        </w:rPr>
        <w:t>These are all poor comparisons. Tesla holds the early mover advantage, and its name is nearly synonymous with EVs. The company has built a favorable brand reputation around its unique vehicle profile and extensive integration with technology. Further, the company is led by superstar CEO Elon Musk, who has channeled the company’s resources into other initiatives</w:t>
      </w:r>
    </w:p>
    <w:p>
      <w:pPr>
        <w:spacing w:after="0" w:line="3" w:lineRule="exact"/>
        <w:rPr>
          <w:sz w:val="20"/>
          <w:szCs w:val="20"/>
          <w:color w:val="auto"/>
        </w:rPr>
      </w:pPr>
    </w:p>
    <w:p>
      <w:pPr>
        <w:ind w:left="180" w:right="459"/>
        <w:spacing w:after="0" w:line="250" w:lineRule="auto"/>
        <w:rPr>
          <w:sz w:val="20"/>
          <w:szCs w:val="20"/>
          <w:color w:val="auto"/>
        </w:rPr>
      </w:pPr>
      <w:r>
        <w:rPr>
          <w:rFonts w:ascii="Times New Roman" w:cs="Times New Roman" w:eastAsia="Times New Roman" w:hAnsi="Times New Roman"/>
          <w:sz w:val="22"/>
          <w:szCs w:val="22"/>
          <w:color w:val="auto"/>
        </w:rPr>
        <w:t>such as building out the majority of EV charging infrastructure in the U.S.</w:t>
      </w:r>
      <w:r>
        <w:rPr>
          <w:rFonts w:ascii="Times New Roman" w:cs="Times New Roman" w:eastAsia="Times New Roman" w:hAnsi="Times New Roman"/>
          <w:sz w:val="29"/>
          <w:szCs w:val="29"/>
          <w:u w:val="single" w:color="auto"/>
          <w:color w:val="0000EE"/>
          <w:vertAlign w:val="superscript"/>
        </w:rPr>
        <w:t>23</w:t>
      </w:r>
      <w:r>
        <w:rPr>
          <w:rFonts w:ascii="Times New Roman" w:cs="Times New Roman" w:eastAsia="Times New Roman" w:hAnsi="Times New Roman"/>
          <w:sz w:val="22"/>
          <w:szCs w:val="22"/>
          <w:color w:val="auto"/>
        </w:rPr>
        <w:t xml:space="preserve"> and investing in autonomous vehicle development.</w:t>
      </w:r>
      <w:r>
        <w:rPr>
          <w:rFonts w:ascii="Times New Roman" w:cs="Times New Roman" w:eastAsia="Times New Roman" w:hAnsi="Times New Roman"/>
          <w:sz w:val="29"/>
          <w:szCs w:val="29"/>
          <w:u w:val="single" w:color="auto"/>
          <w:color w:val="0000EE"/>
          <w:vertAlign w:val="superscript"/>
        </w:rPr>
        <w:t>24</w:t>
      </w:r>
      <w:r>
        <w:rPr>
          <w:rFonts w:ascii="Times New Roman" w:cs="Times New Roman" w:eastAsia="Times New Roman" w:hAnsi="Times New Roman"/>
          <w:sz w:val="22"/>
          <w:szCs w:val="22"/>
          <w:color w:val="auto"/>
        </w:rPr>
        <w:t xml:space="preserve"> Tesla’s investment thesis is that the company is a transcendent player that will transform the transportation industry.</w:t>
      </w:r>
      <w:r>
        <w:rPr>
          <w:rFonts w:ascii="Times New Roman" w:cs="Times New Roman" w:eastAsia="Times New Roman" w:hAnsi="Times New Roman"/>
          <w:sz w:val="29"/>
          <w:szCs w:val="29"/>
          <w:u w:val="single" w:color="auto"/>
          <w:color w:val="0000EE"/>
          <w:vertAlign w:val="superscript"/>
        </w:rPr>
        <w:t>25</w:t>
      </w:r>
      <w:r>
        <w:rPr>
          <w:rFonts w:ascii="Times New Roman" w:cs="Times New Roman" w:eastAsia="Times New Roman" w:hAnsi="Times New Roman"/>
          <w:sz w:val="22"/>
          <w:szCs w:val="22"/>
          <w:color w:val="auto"/>
        </w:rPr>
        <w:t xml:space="preserve"> Even then, many investors question whether Tesla can sustain its sky-high valuation,</w:t>
      </w:r>
      <w:r>
        <w:rPr>
          <w:rFonts w:ascii="Times New Roman" w:cs="Times New Roman" w:eastAsia="Times New Roman" w:hAnsi="Times New Roman"/>
          <w:sz w:val="29"/>
          <w:szCs w:val="29"/>
          <w:u w:val="single" w:color="auto"/>
          <w:color w:val="0000EE"/>
          <w:vertAlign w:val="superscript"/>
        </w:rPr>
        <w:t>26</w:t>
      </w:r>
      <w:r>
        <w:rPr>
          <w:rFonts w:ascii="Times New Roman" w:cs="Times New Roman" w:eastAsia="Times New Roman" w:hAnsi="Times New Roman"/>
          <w:sz w:val="22"/>
          <w:szCs w:val="22"/>
          <w:color w:val="auto"/>
        </w:rPr>
        <w:t xml:space="preserve"> particularly as profits fell in the most recent quarter.</w:t>
      </w:r>
      <w:r>
        <w:rPr>
          <w:rFonts w:ascii="Times New Roman" w:cs="Times New Roman" w:eastAsia="Times New Roman" w:hAnsi="Times New Roman"/>
          <w:sz w:val="29"/>
          <w:szCs w:val="29"/>
          <w:u w:val="single" w:color="auto"/>
          <w:color w:val="0000EE"/>
          <w:vertAlign w:val="superscript"/>
        </w:rPr>
        <w:t>27</w:t>
      </w:r>
    </w:p>
    <w:p>
      <w:pPr>
        <w:spacing w:after="0" w:line="165" w:lineRule="exact"/>
        <w:rPr>
          <w:sz w:val="20"/>
          <w:szCs w:val="20"/>
          <w:color w:val="auto"/>
        </w:rPr>
      </w:pPr>
    </w:p>
    <w:p>
      <w:pPr>
        <w:ind w:left="180" w:right="1019"/>
        <w:spacing w:after="0" w:line="285" w:lineRule="auto"/>
        <w:rPr>
          <w:sz w:val="20"/>
          <w:szCs w:val="20"/>
          <w:color w:val="auto"/>
        </w:rPr>
      </w:pPr>
      <w:r>
        <w:rPr>
          <w:rFonts w:ascii="Times New Roman" w:cs="Times New Roman" w:eastAsia="Times New Roman" w:hAnsi="Times New Roman"/>
          <w:sz w:val="22"/>
          <w:szCs w:val="22"/>
          <w:color w:val="auto"/>
        </w:rPr>
        <w:t>As for Tesla’s numerous lesser-known American competitors, including Rivian and Lucid, American electric vehicles are highly unprofitable, as Quartz recently reported:</w:t>
      </w:r>
      <w:r>
        <w:rPr>
          <w:rFonts w:ascii="Times New Roman" w:cs="Times New Roman" w:eastAsia="Times New Roman" w:hAnsi="Times New Roman"/>
          <w:sz w:val="29"/>
          <w:szCs w:val="29"/>
          <w:u w:val="single" w:color="auto"/>
          <w:color w:val="0000EE"/>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0</wp:posOffset>
            </wp:positionV>
            <wp:extent cx="13798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82" w:lineRule="exact"/>
        <w:rPr>
          <w:sz w:val="20"/>
          <w:szCs w:val="20"/>
          <w:color w:val="auto"/>
        </w:rPr>
      </w:pPr>
    </w:p>
    <w:p>
      <w:pPr>
        <w:ind w:left="180" w:right="47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Kao, Kimberlye. “Musk Says Tesla Will Spend $500 Million on Charging Network, Following Layoffs,” </w:t>
      </w:r>
      <w:r>
        <w:rPr>
          <w:rFonts w:ascii="Times New Roman" w:cs="Times New Roman" w:eastAsia="Times New Roman" w:hAnsi="Times New Roman"/>
          <w:sz w:val="17"/>
          <w:szCs w:val="17"/>
          <w:i w:val="1"/>
          <w:iCs w:val="1"/>
          <w:color w:val="auto"/>
        </w:rPr>
        <w:t>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Street Journal</w:t>
      </w:r>
      <w:r>
        <w:rPr>
          <w:rFonts w:ascii="Times New Roman" w:cs="Times New Roman" w:eastAsia="Times New Roman" w:hAnsi="Times New Roman"/>
          <w:sz w:val="17"/>
          <w:szCs w:val="17"/>
          <w:color w:val="auto"/>
        </w:rPr>
        <w:t>, May 10, 2024. See https://www.wsj.com/business/autos/tesla-to-spend-over-500-million-on-charger-network-this-year-c42bee85?mod=Searchresults_pos1&amp;page=1</w:t>
      </w:r>
    </w:p>
    <w:p>
      <w:pPr>
        <w:spacing w:after="0" w:line="48" w:lineRule="exact"/>
        <w:rPr>
          <w:rFonts w:ascii="Times New Roman" w:cs="Times New Roman" w:eastAsia="Times New Roman" w:hAnsi="Times New Roman"/>
          <w:sz w:val="24"/>
          <w:szCs w:val="24"/>
          <w:u w:val="single" w:color="auto"/>
          <w:color w:val="0000EE"/>
          <w:vertAlign w:val="superscript"/>
        </w:rPr>
      </w:pPr>
    </w:p>
    <w:p>
      <w:pPr>
        <w:ind w:left="180" w:right="61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Felton, Ryan. “Musk Has a Vision for Tesla’s Robotaxi. Others Can’t See It,”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May 2, 2024. See https://www.wsj.com/business/autos/tesla-robotaxi-elon-musk-vision-b82d0662? mod=Searchresults_pos1&amp;page=1</w:t>
      </w:r>
    </w:p>
    <w:p>
      <w:pPr>
        <w:spacing w:after="0" w:line="244" w:lineRule="exact"/>
        <w:rPr>
          <w:rFonts w:ascii="Times New Roman" w:cs="Times New Roman" w:eastAsia="Times New Roman" w:hAnsi="Times New Roman"/>
          <w:sz w:val="24"/>
          <w:szCs w:val="24"/>
          <w:u w:val="single" w:color="auto"/>
          <w:color w:val="0000EE"/>
          <w:vertAlign w:val="superscript"/>
        </w:rPr>
      </w:pPr>
    </w:p>
    <w:p>
      <w:pPr>
        <w:ind w:left="180" w:right="55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Wilmot, Stephen. “Elon Musk Needs Cheaper Teslas to Pay for Everything Else He Wants,”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April 24, 2024. See https://www.wsj.com/business/autos/musk-needs-new-teslas-to-pay-for-his-autonomous-dreams-f626653c?mod=Searchresults_pos19&amp;page=1</w:t>
      </w:r>
    </w:p>
    <w:p>
      <w:pPr>
        <w:spacing w:after="0" w:line="50" w:lineRule="exact"/>
        <w:rPr>
          <w:rFonts w:ascii="Times New Roman" w:cs="Times New Roman" w:eastAsia="Times New Roman" w:hAnsi="Times New Roman"/>
          <w:sz w:val="24"/>
          <w:szCs w:val="24"/>
          <w:u w:val="single" w:color="auto"/>
          <w:color w:val="0000EE"/>
          <w:vertAlign w:val="superscript"/>
        </w:rPr>
      </w:pPr>
    </w:p>
    <w:p>
      <w:pPr>
        <w:jc w:val="both"/>
        <w:ind w:left="180" w:right="519" w:firstLine="4"/>
        <w:spacing w:after="0" w:line="23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Bloomberg; Dey, Esha; Lee, Isabella. “Tesla bull warns ditching plans for ‘crucial’ cheaper car would be ‘thesis-changing’,” </w:t>
      </w:r>
      <w:r>
        <w:rPr>
          <w:rFonts w:ascii="Times New Roman" w:cs="Times New Roman" w:eastAsia="Times New Roman" w:hAnsi="Times New Roman"/>
          <w:sz w:val="17"/>
          <w:szCs w:val="17"/>
          <w:i w:val="1"/>
          <w:iCs w:val="1"/>
          <w:color w:val="auto"/>
        </w:rPr>
        <w:t>Fortune</w:t>
      </w:r>
      <w:r>
        <w:rPr>
          <w:rFonts w:ascii="Times New Roman" w:cs="Times New Roman" w:eastAsia="Times New Roman" w:hAnsi="Times New Roman"/>
          <w:sz w:val="17"/>
          <w:szCs w:val="17"/>
          <w:color w:val="auto"/>
        </w:rPr>
        <w:t>, April 18, 2024. See https://fortune.com/2024/04/18/tesla-cheaper-car-crucial-thesis-changing-david-baron/</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79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Elliot, Rebecca. “Tesla Accelerates Rollout of More-Affordable EVs as Profit Drops Sharply,” </w:t>
      </w:r>
      <w:r>
        <w:rPr>
          <w:rFonts w:ascii="Times New Roman" w:cs="Times New Roman" w:eastAsia="Times New Roman" w:hAnsi="Times New Roman"/>
          <w:sz w:val="17"/>
          <w:szCs w:val="17"/>
          <w:i w:val="1"/>
          <w:iCs w:val="1"/>
          <w:color w:val="auto"/>
        </w:rPr>
        <w:t>Wall Street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Journal</w:t>
      </w:r>
      <w:r>
        <w:rPr>
          <w:rFonts w:ascii="Times New Roman" w:cs="Times New Roman" w:eastAsia="Times New Roman" w:hAnsi="Times New Roman"/>
          <w:sz w:val="17"/>
          <w:szCs w:val="17"/>
          <w:color w:val="auto"/>
        </w:rPr>
        <w:t>, April 23, 2024. See https://www.wsj.com/business/autos/tesla-tsla-q1-earnings-report-2024-c22f54d1?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mod=article_inline</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1619" w:firstLine="4"/>
        <w:spacing w:after="0" w:line="22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Bellwood, Owen. “Every electric car sale costs automakers $6,000,” Quartz, March 24, 2024. See https://qz.com/electric-car-losses-rivian-lucid-1851361758</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6" w:name="page7"/>
    <w:bookmarkEnd w:id="6"/>
    <w:p>
      <w:pPr>
        <w:jc w:val="both"/>
        <w:ind w:left="500" w:right="939"/>
        <w:spacing w:after="0" w:line="238" w:lineRule="auto"/>
        <w:rPr>
          <w:sz w:val="20"/>
          <w:szCs w:val="20"/>
          <w:color w:val="auto"/>
        </w:rPr>
      </w:pPr>
      <w:r>
        <w:rPr>
          <w:rFonts w:ascii="Times New Roman" w:cs="Times New Roman" w:eastAsia="Times New Roman" w:hAnsi="Times New Roman"/>
          <w:sz w:val="22"/>
          <w:szCs w:val="22"/>
          <w:color w:val="auto"/>
        </w:rPr>
        <w:t>Automakers across America have plowed millions of dollars into their electric vehicle strategies in recent years. Whether it’s new product development, engineering to create lighter, more powerful motors or investment in new factories, they’ve all spent a small fortune. Now, it turns out that cost may not be paying off as EV makers across America reportedly lose thousands on every car they sell.</w:t>
      </w:r>
    </w:p>
    <w:p>
      <w:pPr>
        <w:spacing w:after="0" w:line="163" w:lineRule="exact"/>
        <w:rPr>
          <w:sz w:val="20"/>
          <w:szCs w:val="20"/>
          <w:color w:val="auto"/>
        </w:rPr>
      </w:pPr>
    </w:p>
    <w:p>
      <w:pPr>
        <w:ind w:left="500" w:right="419"/>
        <w:spacing w:after="0" w:line="238" w:lineRule="auto"/>
        <w:rPr>
          <w:sz w:val="20"/>
          <w:szCs w:val="20"/>
          <w:color w:val="auto"/>
        </w:rPr>
      </w:pPr>
      <w:r>
        <w:rPr>
          <w:rFonts w:ascii="Times New Roman" w:cs="Times New Roman" w:eastAsia="Times New Roman" w:hAnsi="Times New Roman"/>
          <w:sz w:val="22"/>
          <w:szCs w:val="22"/>
          <w:color w:val="auto"/>
        </w:rPr>
        <w:t>U.S. automakers lose roughly $6,000 on every $50,000 EV they sell in America, according to a new report from analyst firm Boston Consulting Group (BCG). That figure comes hotly on the heels of similar sky-high losses from companies like Rivian and Lucid. Earlier this year, Rivian revealed that it lost $33,000 on every truck sold, while Lucid topped that figure with its eye-watering $400,000 losses on each car sold. Yikes.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GM’s electric vehicle division has proven unprofitable as well. In fact, the Company projects it</w:t>
      </w:r>
    </w:p>
    <w:p>
      <w:pPr>
        <w:spacing w:after="0" w:line="19" w:lineRule="exact"/>
        <w:rPr>
          <w:sz w:val="20"/>
          <w:szCs w:val="20"/>
          <w:color w:val="auto"/>
        </w:rPr>
      </w:pPr>
    </w:p>
    <w:p>
      <w:pPr>
        <w:ind w:left="180" w:right="1379"/>
        <w:spacing w:after="0" w:line="244" w:lineRule="auto"/>
        <w:rPr>
          <w:sz w:val="20"/>
          <w:szCs w:val="20"/>
          <w:color w:val="auto"/>
        </w:rPr>
      </w:pPr>
      <w:r>
        <w:rPr>
          <w:rFonts w:ascii="Times New Roman" w:cs="Times New Roman" w:eastAsia="Times New Roman" w:hAnsi="Times New Roman"/>
          <w:sz w:val="22"/>
          <w:szCs w:val="22"/>
          <w:color w:val="auto"/>
        </w:rPr>
        <w:t>will not reach pretax profitability on its EVs until 2025.</w:t>
      </w:r>
      <w:r>
        <w:rPr>
          <w:rFonts w:ascii="Times New Roman" w:cs="Times New Roman" w:eastAsia="Times New Roman" w:hAnsi="Times New Roman"/>
          <w:sz w:val="29"/>
          <w:szCs w:val="29"/>
          <w:u w:val="single" w:color="auto"/>
          <w:color w:val="0000EE"/>
          <w:vertAlign w:val="superscript"/>
        </w:rPr>
        <w:t>29</w:t>
      </w:r>
      <w:r>
        <w:rPr>
          <w:rFonts w:ascii="Times New Roman" w:cs="Times New Roman" w:eastAsia="Times New Roman" w:hAnsi="Times New Roman"/>
          <w:sz w:val="22"/>
          <w:szCs w:val="22"/>
          <w:color w:val="auto"/>
        </w:rPr>
        <w:t xml:space="preserve"> As of now, no American car manufacturer has been able to pose a serious challenge to Tesla’s dominance.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Tesla’s biggest competitor is China’s BYD, which has forced the former to slash its prices in</w:t>
      </w:r>
    </w:p>
    <w:p>
      <w:pPr>
        <w:spacing w:after="0" w:line="19" w:lineRule="exact"/>
        <w:rPr>
          <w:sz w:val="20"/>
          <w:szCs w:val="20"/>
          <w:color w:val="auto"/>
        </w:rPr>
      </w:pPr>
    </w:p>
    <w:p>
      <w:pPr>
        <w:ind w:left="180" w:right="459"/>
        <w:spacing w:after="0" w:line="244" w:lineRule="auto"/>
        <w:rPr>
          <w:sz w:val="20"/>
          <w:szCs w:val="20"/>
          <w:color w:val="auto"/>
        </w:rPr>
      </w:pPr>
      <w:r>
        <w:rPr>
          <w:rFonts w:ascii="Times New Roman" w:cs="Times New Roman" w:eastAsia="Times New Roman" w:hAnsi="Times New Roman"/>
          <w:sz w:val="21"/>
          <w:szCs w:val="21"/>
          <w:color w:val="auto"/>
        </w:rPr>
        <w:t>China – the world’s largest EV market</w:t>
      </w:r>
      <w:r>
        <w:rPr>
          <w:rFonts w:ascii="Times New Roman" w:cs="Times New Roman" w:eastAsia="Times New Roman" w:hAnsi="Times New Roman"/>
          <w:sz w:val="28"/>
          <w:szCs w:val="28"/>
          <w:u w:val="single" w:color="auto"/>
          <w:color w:val="0000EE"/>
          <w:vertAlign w:val="superscript"/>
        </w:rPr>
        <w:t>30</w:t>
      </w:r>
      <w:r>
        <w:rPr>
          <w:rFonts w:ascii="Times New Roman" w:cs="Times New Roman" w:eastAsia="Times New Roman" w:hAnsi="Times New Roman"/>
          <w:sz w:val="21"/>
          <w:szCs w:val="21"/>
          <w:color w:val="auto"/>
        </w:rPr>
        <w:t xml:space="preserve"> – to compete with its ultra-cheap offerings. Armed with extensive government subsidies, BYD and its fellow Chinese auto manufacturers have set their sights on international markets. China, in fact, recently surpassed Japan as the largest auto exporter in the world. However, it remains to be seen whether the Chinese Communist Party will be able to subsidize the nation’s EV industry into success. While BYD’s margins have grown, so</w:t>
      </w:r>
    </w:p>
    <w:p>
      <w:pPr>
        <w:ind w:left="180"/>
        <w:spacing w:after="0"/>
        <w:rPr>
          <w:sz w:val="20"/>
          <w:szCs w:val="20"/>
          <w:color w:val="auto"/>
        </w:rPr>
      </w:pPr>
      <w:r>
        <w:rPr>
          <w:rFonts w:ascii="Times New Roman" w:cs="Times New Roman" w:eastAsia="Times New Roman" w:hAnsi="Times New Roman"/>
          <w:sz w:val="22"/>
          <w:szCs w:val="22"/>
          <w:color w:val="auto"/>
        </w:rPr>
        <w:t>has its overcapacity,</w:t>
      </w:r>
      <w:r>
        <w:rPr>
          <w:rFonts w:ascii="Times New Roman" w:cs="Times New Roman" w:eastAsia="Times New Roman" w:hAnsi="Times New Roman"/>
          <w:sz w:val="29"/>
          <w:szCs w:val="29"/>
          <w:u w:val="single" w:color="auto"/>
          <w:color w:val="0000EE"/>
          <w:vertAlign w:val="superscript"/>
        </w:rPr>
        <w:t>31</w:t>
      </w:r>
      <w:r>
        <w:rPr>
          <w:rFonts w:ascii="Times New Roman" w:cs="Times New Roman" w:eastAsia="Times New Roman" w:hAnsi="Times New Roman"/>
          <w:sz w:val="22"/>
          <w:szCs w:val="22"/>
          <w:color w:val="auto"/>
        </w:rPr>
        <w:t xml:space="preserve"> mirroring the government-funded bubble in other sectors of the nation’s</w:t>
      </w:r>
    </w:p>
    <w:p>
      <w:pPr>
        <w:spacing w:after="0" w:line="4" w:lineRule="exact"/>
        <w:rPr>
          <w:sz w:val="20"/>
          <w:szCs w:val="20"/>
          <w:color w:val="auto"/>
        </w:rPr>
      </w:pPr>
    </w:p>
    <w:p>
      <w:pPr>
        <w:ind w:left="180" w:right="659"/>
        <w:spacing w:after="0" w:line="244" w:lineRule="auto"/>
        <w:rPr>
          <w:sz w:val="20"/>
          <w:szCs w:val="20"/>
          <w:color w:val="auto"/>
        </w:rPr>
      </w:pPr>
      <w:r>
        <w:rPr>
          <w:rFonts w:ascii="Times New Roman" w:cs="Times New Roman" w:eastAsia="Times New Roman" w:hAnsi="Times New Roman"/>
          <w:sz w:val="22"/>
          <w:szCs w:val="22"/>
          <w:color w:val="auto"/>
        </w:rPr>
        <w:t>economy,</w:t>
      </w:r>
      <w:r>
        <w:rPr>
          <w:rFonts w:ascii="Times New Roman" w:cs="Times New Roman" w:eastAsia="Times New Roman" w:hAnsi="Times New Roman"/>
          <w:sz w:val="29"/>
          <w:szCs w:val="29"/>
          <w:u w:val="single" w:color="auto"/>
          <w:color w:val="0000EE"/>
          <w:vertAlign w:val="superscript"/>
        </w:rPr>
        <w:t>32</w:t>
      </w:r>
      <w:r>
        <w:rPr>
          <w:rFonts w:ascii="Times New Roman" w:cs="Times New Roman" w:eastAsia="Times New Roman" w:hAnsi="Times New Roman"/>
          <w:sz w:val="22"/>
          <w:szCs w:val="22"/>
          <w:color w:val="auto"/>
        </w:rPr>
        <w:t xml:space="preserve"> including real estate and infrastructure.</w:t>
      </w:r>
      <w:r>
        <w:rPr>
          <w:rFonts w:ascii="Times New Roman" w:cs="Times New Roman" w:eastAsia="Times New Roman" w:hAnsi="Times New Roman"/>
          <w:sz w:val="29"/>
          <w:szCs w:val="29"/>
          <w:u w:val="single" w:color="auto"/>
          <w:color w:val="0000EE"/>
          <w:vertAlign w:val="superscript"/>
        </w:rPr>
        <w:t>33</w:t>
      </w:r>
      <w:r>
        <w:rPr>
          <w:rFonts w:ascii="Times New Roman" w:cs="Times New Roman" w:eastAsia="Times New Roman" w:hAnsi="Times New Roman"/>
          <w:sz w:val="22"/>
          <w:szCs w:val="22"/>
          <w:color w:val="auto"/>
        </w:rPr>
        <w:t xml:space="preserve"> The Chinese electric vehicle sector could meet a similar fate.</w:t>
      </w:r>
    </w:p>
    <w:p>
      <w:pPr>
        <w:spacing w:after="0" w:line="158" w:lineRule="exact"/>
        <w:rPr>
          <w:sz w:val="20"/>
          <w:szCs w:val="20"/>
          <w:color w:val="auto"/>
        </w:rPr>
      </w:pPr>
    </w:p>
    <w:p>
      <w:pPr>
        <w:ind w:left="180" w:right="439"/>
        <w:spacing w:after="0" w:line="251" w:lineRule="auto"/>
        <w:rPr>
          <w:sz w:val="20"/>
          <w:szCs w:val="20"/>
          <w:color w:val="auto"/>
        </w:rPr>
      </w:pPr>
      <w:r>
        <w:rPr>
          <w:rFonts w:ascii="Times New Roman" w:cs="Times New Roman" w:eastAsia="Times New Roman" w:hAnsi="Times New Roman"/>
          <w:sz w:val="21"/>
          <w:szCs w:val="21"/>
          <w:color w:val="auto"/>
        </w:rPr>
        <w:t>GM cannot make an apples-to-apples comparison with its heavily subsidized foreign competitors and use their increasing sales volume as evidence that EVs are a worthwhile pursuit. As previously mentioned, the Company has been unable to turn a profit on its electric vehicles thus</w:t>
      </w:r>
    </w:p>
    <w:p>
      <w:pPr>
        <w:ind w:left="180"/>
        <w:spacing w:after="0"/>
        <w:rPr>
          <w:sz w:val="20"/>
          <w:szCs w:val="20"/>
          <w:color w:val="auto"/>
        </w:rPr>
      </w:pPr>
      <w:r>
        <w:rPr>
          <w:rFonts w:ascii="Times New Roman" w:cs="Times New Roman" w:eastAsia="Times New Roman" w:hAnsi="Times New Roman"/>
          <w:sz w:val="22"/>
          <w:szCs w:val="22"/>
          <w:color w:val="auto"/>
        </w:rPr>
        <w:t>far, even with subsidies from the controversial Inflation Reduction Act.</w:t>
      </w:r>
      <w:r>
        <w:rPr>
          <w:rFonts w:ascii="Times New Roman" w:cs="Times New Roman" w:eastAsia="Times New Roman" w:hAnsi="Times New Roman"/>
          <w:sz w:val="29"/>
          <w:szCs w:val="29"/>
          <w:u w:val="single" w:color="auto"/>
          <w:color w:val="0000EE"/>
          <w:vertAlign w:val="superscript"/>
        </w:rPr>
        <w:t>34</w:t>
      </w:r>
      <w:r>
        <w:rPr>
          <w:rFonts w:ascii="Times New Roman" w:cs="Times New Roman" w:eastAsia="Times New Roman" w:hAnsi="Times New Roman"/>
          <w:sz w:val="22"/>
          <w:szCs w:val="22"/>
          <w:color w:val="auto"/>
        </w:rPr>
        <w:t xml:space="preserve"> These subsidies may</w:t>
      </w:r>
    </w:p>
    <w:p>
      <w:pPr>
        <w:spacing w:after="0" w:line="4" w:lineRule="exact"/>
        <w:rPr>
          <w:sz w:val="20"/>
          <w:szCs w:val="20"/>
          <w:color w:val="auto"/>
        </w:rPr>
      </w:pPr>
    </w:p>
    <w:p>
      <w:pPr>
        <w:ind w:left="180" w:right="599"/>
        <w:spacing w:after="0" w:line="244" w:lineRule="auto"/>
        <w:rPr>
          <w:sz w:val="20"/>
          <w:szCs w:val="20"/>
          <w:color w:val="auto"/>
        </w:rPr>
      </w:pPr>
      <w:r>
        <w:rPr>
          <w:rFonts w:ascii="Times New Roman" w:cs="Times New Roman" w:eastAsia="Times New Roman" w:hAnsi="Times New Roman"/>
          <w:sz w:val="22"/>
          <w:szCs w:val="22"/>
          <w:color w:val="auto"/>
        </w:rPr>
        <w:t>ultimately be repealed under a change of government in 2025,</w:t>
      </w:r>
      <w:r>
        <w:rPr>
          <w:rFonts w:ascii="Times New Roman" w:cs="Times New Roman" w:eastAsia="Times New Roman" w:hAnsi="Times New Roman"/>
          <w:sz w:val="29"/>
          <w:szCs w:val="29"/>
          <w:u w:val="single" w:color="auto"/>
          <w:color w:val="0000EE"/>
          <w:vertAlign w:val="superscript"/>
        </w:rPr>
        <w:t>35</w:t>
      </w:r>
      <w:r>
        <w:rPr>
          <w:rFonts w:ascii="Times New Roman" w:cs="Times New Roman" w:eastAsia="Times New Roman" w:hAnsi="Times New Roman"/>
          <w:sz w:val="22"/>
          <w:szCs w:val="22"/>
          <w:color w:val="auto"/>
        </w:rPr>
        <w:t xml:space="preserve"> wiping out any chance of near-term profitability for GM’s EV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45085</wp:posOffset>
            </wp:positionV>
            <wp:extent cx="13798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55" w:lineRule="exact"/>
        <w:rPr>
          <w:sz w:val="20"/>
          <w:szCs w:val="20"/>
          <w:color w:val="auto"/>
        </w:rPr>
      </w:pPr>
    </w:p>
    <w:p>
      <w:pPr>
        <w:ind w:left="180" w:right="839" w:firstLine="4"/>
        <w:spacing w:after="0" w:line="239"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Krisner, Tom. “GM believes it will start making money on electric vehicles in 2025 as higher margin models arrive,” Associated Press, December 1, 2023. See https://apnews.com/article/general-motors-path-to-electric-vehicle-profitability-bba3a9cbbd2aad0953cbc113e53d041c</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line="230"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Yang, Zehi. “How did China come to dominate the world of electric cars?” </w:t>
      </w:r>
      <w:r>
        <w:rPr>
          <w:rFonts w:ascii="Times New Roman" w:cs="Times New Roman" w:eastAsia="Times New Roman" w:hAnsi="Times New Roman"/>
          <w:sz w:val="17"/>
          <w:szCs w:val="17"/>
          <w:i w:val="1"/>
          <w:iCs w:val="1"/>
          <w:color w:val="auto"/>
        </w:rPr>
        <w:t>MIT Technology Review</w:t>
      </w:r>
      <w:r>
        <w:rPr>
          <w:rFonts w:ascii="Times New Roman" w:cs="Times New Roman" w:eastAsia="Times New Roman" w:hAnsi="Times New Roman"/>
          <w:sz w:val="17"/>
          <w:szCs w:val="17"/>
          <w:color w:val="auto"/>
        </w:rPr>
        <w:t>, February 21, 2023. See https://www.technologyreview.com/2023/02/21/1068880/how-did-china-dominate-electric-cars-policy/</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619" w:firstLine="4"/>
        <w:spacing w:after="0"/>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Wong, Jacky. “Cheaper Teslas? China Says ‘You Ain’t Seen Nothing Yet’,”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April 29, 2024. See https://www.wsj.com/finance/stocks/cheaper-teslas-china-says-you-aint-seen-nothing-yet-5fb0221e? mod=Searchresults_pos2&amp;page=1</w:t>
      </w:r>
    </w:p>
    <w:p>
      <w:pPr>
        <w:spacing w:after="0" w:line="48" w:lineRule="exact"/>
        <w:rPr>
          <w:rFonts w:ascii="Times New Roman" w:cs="Times New Roman" w:eastAsia="Times New Roman" w:hAnsi="Times New Roman"/>
          <w:sz w:val="24"/>
          <w:szCs w:val="24"/>
          <w:u w:val="single" w:color="auto"/>
          <w:color w:val="0000EE"/>
          <w:vertAlign w:val="superscript"/>
        </w:rPr>
      </w:pPr>
    </w:p>
    <w:p>
      <w:pPr>
        <w:ind w:left="180" w:right="1039" w:firstLine="4"/>
        <w:spacing w:after="0" w:line="230"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Taplin, Nathaniel. “China’s Overcapacity Is Already Backfiring,”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April 16, 2024. See https://www.wsj.com/world/china/chinas-overcapacity-is-already-backfiring-86f29e4a?mod=article_inline</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859" w:firstLine="4"/>
        <w:spacing w:after="0"/>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Taplin, Nathaniel. “China’s Teetering Local Debt Mountain, in Six Charts,”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October 13, 2023. See https://www.wsj.com/finance/chinas-teetering-local-debt-mountain-in-six-charts-d050700f? mod=article_inline</w:t>
      </w:r>
    </w:p>
    <w:p>
      <w:pPr>
        <w:spacing w:after="0" w:line="48" w:lineRule="exact"/>
        <w:rPr>
          <w:rFonts w:ascii="Times New Roman" w:cs="Times New Roman" w:eastAsia="Times New Roman" w:hAnsi="Times New Roman"/>
          <w:sz w:val="24"/>
          <w:szCs w:val="24"/>
          <w:u w:val="single" w:color="auto"/>
          <w:color w:val="0000EE"/>
          <w:vertAlign w:val="superscript"/>
        </w:rPr>
      </w:pPr>
    </w:p>
    <w:p>
      <w:pPr>
        <w:ind w:left="180" w:right="859" w:firstLine="4"/>
        <w:spacing w:after="0" w:line="230"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Wilmot, Stephen. “Subsidies Supercharge GM’s EV Strategy,”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November 18, 2022. See https://www.wsj.com/articles/subsidies-supercharge-gms-ev-strategy-11668776501</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59" w:firstLine="4"/>
        <w:spacing w:after="0" w:line="239"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Cama, Timothy; Northey, Hannah. “How a Republican president could hobble the climate law,” Politico, August 16, 2023. See https://www.politico.com/news/2023/08/16/how-a-republican-president-could-hobble-the-climate-law-00111555</w:t>
      </w: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 w:name="page8"/>
    <w:bookmarkEnd w:id="7"/>
    <w:p>
      <w:pPr>
        <w:ind w:left="4480"/>
        <w:spacing w:after="0"/>
        <w:rPr>
          <w:sz w:val="20"/>
          <w:szCs w:val="20"/>
          <w:color w:val="auto"/>
        </w:rPr>
      </w:pPr>
      <w:r>
        <w:rPr>
          <w:rFonts w:ascii="Times New Roman" w:cs="Times New Roman" w:eastAsia="Times New Roman" w:hAnsi="Times New Roman"/>
          <w:sz w:val="22"/>
          <w:szCs w:val="22"/>
          <w:color w:val="auto"/>
        </w:rPr>
        <w:t>Finally, GM must answer the question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-144780</wp:posOffset>
            </wp:positionV>
            <wp:extent cx="2592705" cy="1770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2705" cy="1770380"/>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1"/>
          <w:szCs w:val="21"/>
          <w:color w:val="auto"/>
        </w:rPr>
        <w:t>whether consumers even want EVs. According</w:t>
      </w:r>
    </w:p>
    <w:p>
      <w:pPr>
        <w:ind w:left="4480"/>
        <w:spacing w:after="0" w:line="231" w:lineRule="auto"/>
        <w:rPr>
          <w:sz w:val="20"/>
          <w:szCs w:val="20"/>
          <w:color w:val="auto"/>
        </w:rPr>
      </w:pPr>
      <w:r>
        <w:rPr>
          <w:rFonts w:ascii="Times New Roman" w:cs="Times New Roman" w:eastAsia="Times New Roman" w:hAnsi="Times New Roman"/>
          <w:sz w:val="22"/>
          <w:szCs w:val="22"/>
          <w:color w:val="auto"/>
        </w:rPr>
        <w:t>to an open letter to President Biden signed by</w:t>
      </w:r>
    </w:p>
    <w:p>
      <w:pPr>
        <w:ind w:left="4480"/>
        <w:spacing w:after="0" w:line="236" w:lineRule="auto"/>
        <w:rPr>
          <w:sz w:val="20"/>
          <w:szCs w:val="20"/>
          <w:color w:val="auto"/>
        </w:rPr>
      </w:pPr>
      <w:r>
        <w:rPr>
          <w:rFonts w:ascii="Times New Roman" w:cs="Times New Roman" w:eastAsia="Times New Roman" w:hAnsi="Times New Roman"/>
          <w:sz w:val="22"/>
          <w:szCs w:val="22"/>
          <w:color w:val="auto"/>
        </w:rPr>
        <w:t>over 5,000 auto dealers, most consumers don’t</w:t>
      </w:r>
    </w:p>
    <w:p>
      <w:pPr>
        <w:ind w:left="5380"/>
        <w:spacing w:after="0" w:line="187" w:lineRule="auto"/>
        <w:rPr>
          <w:sz w:val="20"/>
          <w:szCs w:val="20"/>
          <w:color w:val="auto"/>
        </w:rPr>
      </w:pPr>
      <w:r>
        <w:rPr>
          <w:rFonts w:ascii="Times New Roman" w:cs="Times New Roman" w:eastAsia="Times New Roman" w:hAnsi="Times New Roman"/>
          <w:sz w:val="10"/>
          <w:szCs w:val="10"/>
          <w:u w:val="single" w:color="auto"/>
          <w:color w:val="0000EE"/>
          <w:vertAlign w:val="superscript"/>
        </w:rPr>
        <w:t>36</w:t>
      </w: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want EVs.</w:t>
      </w:r>
      <w:r>
        <w:rPr>
          <w:sz w:val="20"/>
          <w:szCs w:val="20"/>
          <w:color w:val="auto"/>
        </w:rPr>
        <w:tab/>
      </w:r>
      <w:r>
        <w:rPr>
          <w:rFonts w:ascii="Times New Roman" w:cs="Times New Roman" w:eastAsia="Times New Roman" w:hAnsi="Times New Roman"/>
          <w:sz w:val="21"/>
          <w:szCs w:val="21"/>
          <w:color w:val="auto"/>
        </w:rPr>
        <w:t>Yet the Company continues to</w:t>
      </w:r>
    </w:p>
    <w:p>
      <w:pPr>
        <w:ind w:left="4480"/>
        <w:spacing w:after="0" w:line="231" w:lineRule="auto"/>
        <w:rPr>
          <w:sz w:val="20"/>
          <w:szCs w:val="20"/>
          <w:color w:val="auto"/>
        </w:rPr>
      </w:pPr>
      <w:r>
        <w:rPr>
          <w:rFonts w:ascii="Times New Roman" w:cs="Times New Roman" w:eastAsia="Times New Roman" w:hAnsi="Times New Roman"/>
          <w:sz w:val="22"/>
          <w:szCs w:val="22"/>
          <w:color w:val="auto"/>
        </w:rPr>
        <w:t>double down on its EV division at the expense</w:t>
      </w:r>
    </w:p>
    <w:p>
      <w:pPr>
        <w:ind w:left="4480"/>
        <w:spacing w:after="0" w:line="230" w:lineRule="auto"/>
        <w:rPr>
          <w:sz w:val="20"/>
          <w:szCs w:val="20"/>
          <w:color w:val="auto"/>
        </w:rPr>
      </w:pPr>
      <w:r>
        <w:rPr>
          <w:rFonts w:ascii="Times New Roman" w:cs="Times New Roman" w:eastAsia="Times New Roman" w:hAnsi="Times New Roman"/>
          <w:sz w:val="22"/>
          <w:szCs w:val="22"/>
          <w:color w:val="auto"/>
        </w:rPr>
        <w:t>of its legacy vehicles, such as the Chevy</w:t>
      </w:r>
    </w:p>
    <w:p>
      <w:pPr>
        <w:ind w:left="4480"/>
        <w:spacing w:after="0" w:line="231" w:lineRule="auto"/>
        <w:rPr>
          <w:sz w:val="20"/>
          <w:szCs w:val="20"/>
          <w:color w:val="auto"/>
        </w:rPr>
      </w:pPr>
      <w:r>
        <w:rPr>
          <w:rFonts w:ascii="Times New Roman" w:cs="Times New Roman" w:eastAsia="Times New Roman" w:hAnsi="Times New Roman"/>
          <w:sz w:val="22"/>
          <w:szCs w:val="22"/>
          <w:color w:val="auto"/>
        </w:rPr>
        <w:t>Malibu, which was discontinued 60 years after</w:t>
      </w:r>
    </w:p>
    <w:p>
      <w:pPr>
        <w:ind w:left="4480"/>
        <w:spacing w:after="0"/>
        <w:rPr>
          <w:sz w:val="20"/>
          <w:szCs w:val="20"/>
          <w:color w:val="auto"/>
        </w:rPr>
      </w:pPr>
      <w:r>
        <w:rPr>
          <w:rFonts w:ascii="Times New Roman" w:cs="Times New Roman" w:eastAsia="Times New Roman" w:hAnsi="Times New Roman"/>
          <w:sz w:val="22"/>
          <w:szCs w:val="22"/>
          <w:color w:val="auto"/>
        </w:rPr>
        <w:t>beginning production to shift resources 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Why does the Company continue to pour</w:t>
      </w:r>
    </w:p>
    <w:p>
      <w:pPr>
        <w:spacing w:after="0" w:line="29" w:lineRule="exact"/>
        <w:rPr>
          <w:sz w:val="20"/>
          <w:szCs w:val="20"/>
          <w:color w:val="auto"/>
        </w:rPr>
      </w:pPr>
    </w:p>
    <w:p>
      <w:pPr>
        <w:ind w:left="200" w:right="479"/>
        <w:spacing w:after="0" w:line="248" w:lineRule="auto"/>
        <w:rPr>
          <w:sz w:val="20"/>
          <w:szCs w:val="20"/>
          <w:color w:val="auto"/>
        </w:rPr>
      </w:pPr>
      <w:r>
        <w:rPr>
          <w:rFonts w:ascii="Times New Roman" w:cs="Times New Roman" w:eastAsia="Times New Roman" w:hAnsi="Times New Roman"/>
          <w:sz w:val="21"/>
          <w:szCs w:val="21"/>
          <w:color w:val="auto"/>
        </w:rPr>
        <w:t>resources into this unprofitable initiative? Is it possible that the executive pay incentives to grow the Company’s EV division play a role? Perhaps GM’s failure to grow its EV division is an indictment of its current management. However, shareholders should not be surprised that management has chosen to ransom the Company’s bread and butter business in exchange for the elusive pursuit of electric vehicle profits, simply because management is compensated to do so.</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Meanwhile, GM’s competitors are making substantial investments to meet demand for non-</w:t>
      </w:r>
    </w:p>
    <w:p>
      <w:pPr>
        <w:spacing w:after="0" w:line="19" w:lineRule="exact"/>
        <w:rPr>
          <w:sz w:val="20"/>
          <w:szCs w:val="20"/>
          <w:color w:val="auto"/>
        </w:rPr>
      </w:pPr>
    </w:p>
    <w:p>
      <w:pPr>
        <w:jc w:val="both"/>
        <w:ind w:left="180" w:right="519"/>
        <w:spacing w:after="0" w:line="252" w:lineRule="auto"/>
        <w:rPr>
          <w:sz w:val="20"/>
          <w:szCs w:val="20"/>
          <w:color w:val="auto"/>
        </w:rPr>
      </w:pPr>
      <w:r>
        <w:rPr>
          <w:rFonts w:ascii="Times New Roman" w:cs="Times New Roman" w:eastAsia="Times New Roman" w:hAnsi="Times New Roman"/>
          <w:sz w:val="21"/>
          <w:szCs w:val="21"/>
          <w:color w:val="auto"/>
        </w:rPr>
        <w:t>electric vehicles.</w:t>
      </w:r>
      <w:r>
        <w:rPr>
          <w:rFonts w:ascii="Times New Roman" w:cs="Times New Roman" w:eastAsia="Times New Roman" w:hAnsi="Times New Roman"/>
          <w:sz w:val="28"/>
          <w:szCs w:val="28"/>
          <w:u w:val="single" w:color="auto"/>
          <w:color w:val="0000EE"/>
          <w:vertAlign w:val="superscript"/>
        </w:rPr>
        <w:t>38</w:t>
      </w:r>
      <w:r>
        <w:rPr>
          <w:rFonts w:ascii="Times New Roman" w:cs="Times New Roman" w:eastAsia="Times New Roman" w:hAnsi="Times New Roman"/>
          <w:sz w:val="21"/>
          <w:szCs w:val="21"/>
          <w:color w:val="auto"/>
        </w:rPr>
        <w:t xml:space="preserve"> The company cannot afford to be left behind because of misguided executive pay incentives. GM should reevaluate these incentives and ensure that its business strategies are crafted with more than an eye towards economic sustainability and shareholder returns.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left="180" w:right="659"/>
        <w:spacing w:after="0" w:line="236" w:lineRule="auto"/>
        <w:rPr>
          <w:sz w:val="20"/>
          <w:szCs w:val="20"/>
          <w:color w:val="auto"/>
        </w:rPr>
      </w:pPr>
      <w:r>
        <w:rPr>
          <w:rFonts w:ascii="Times New Roman" w:cs="Times New Roman" w:eastAsia="Times New Roman" w:hAnsi="Times New Roman"/>
          <w:sz w:val="22"/>
          <w:szCs w:val="22"/>
          <w:color w:val="auto"/>
        </w:rPr>
        <w:t>The current executive compensation structure at GM requires immediate reassessment. The emphasis on expanding the EV program, spurred by a politicized climate discourse, risks compromising the company’s competitiveness and financial stability by binding strategic decisions to vehicles that consumers don’t want, that do not benefit the environment, and are unprofitable without subsidies that may be repealed. It is imperative that the Company remove these harmful incentives from its executive compensation plans.</w:t>
      </w:r>
    </w:p>
    <w:p>
      <w:pPr>
        <w:spacing w:after="0" w:line="204" w:lineRule="exact"/>
        <w:rPr>
          <w:sz w:val="20"/>
          <w:szCs w:val="20"/>
          <w:color w:val="auto"/>
        </w:rPr>
      </w:pPr>
    </w:p>
    <w:p>
      <w:pPr>
        <w:ind w:left="180" w:right="939"/>
        <w:spacing w:after="0" w:line="262" w:lineRule="auto"/>
        <w:rPr>
          <w:sz w:val="20"/>
          <w:szCs w:val="20"/>
          <w:color w:val="auto"/>
        </w:rPr>
      </w:pPr>
      <w:r>
        <w:rPr>
          <w:rFonts w:ascii="Times New Roman" w:cs="Times New Roman" w:eastAsia="Times New Roman" w:hAnsi="Times New Roman"/>
          <w:sz w:val="22"/>
          <w:szCs w:val="22"/>
          <w:color w:val="0E101A"/>
        </w:rPr>
        <w:t xml:space="preserve">Therefore, NLPC urges our fellow shareholders to vote </w:t>
      </w:r>
      <w:r>
        <w:rPr>
          <w:rFonts w:ascii="Times New Roman" w:cs="Times New Roman" w:eastAsia="Times New Roman" w:hAnsi="Times New Roman"/>
          <w:sz w:val="22"/>
          <w:szCs w:val="22"/>
          <w:b w:val="1"/>
          <w:bCs w:val="1"/>
          <w:color w:val="0E101A"/>
        </w:rPr>
        <w:t>FOR</w:t>
      </w:r>
      <w:r>
        <w:rPr>
          <w:rFonts w:ascii="Times New Roman" w:cs="Times New Roman" w:eastAsia="Times New Roman" w:hAnsi="Times New Roman"/>
          <w:sz w:val="22"/>
          <w:szCs w:val="22"/>
          <w:color w:val="0E101A"/>
        </w:rPr>
        <w:t xml:space="preserve"> Item No. 5 on the 2024 proxy ballot of the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33655</wp:posOffset>
            </wp:positionV>
            <wp:extent cx="13798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84" w:lineRule="exact"/>
        <w:rPr>
          <w:sz w:val="20"/>
          <w:szCs w:val="20"/>
          <w:color w:val="auto"/>
        </w:rPr>
      </w:pPr>
    </w:p>
    <w:p>
      <w:pPr>
        <w:ind w:left="360" w:hanging="176"/>
        <w:spacing w:after="0"/>
        <w:tabs>
          <w:tab w:leader="none" w:pos="360" w:val="left"/>
        </w:tabs>
        <w:numPr>
          <w:ilvl w:val="0"/>
          <w:numId w:val="1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“EV Voice of the Consumer.” See https://evvoiceofthecustomer.com/</w:t>
      </w:r>
    </w:p>
    <w:p>
      <w:pPr>
        <w:spacing w:after="0" w:line="47" w:lineRule="exact"/>
        <w:rPr>
          <w:rFonts w:ascii="Times New Roman" w:cs="Times New Roman" w:eastAsia="Times New Roman" w:hAnsi="Times New Roman"/>
          <w:sz w:val="25"/>
          <w:szCs w:val="25"/>
          <w:u w:val="single" w:color="auto"/>
          <w:color w:val="0000EE"/>
          <w:vertAlign w:val="superscript"/>
        </w:rPr>
      </w:pPr>
    </w:p>
    <w:p>
      <w:pPr>
        <w:ind w:left="180" w:right="419" w:firstLine="4"/>
        <w:spacing w:after="0"/>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Bhattacharya, Suryatapa; De Avila, Joseph. “GM Is Shutting Down the Chevy Malibu After 60 Years,” </w:t>
      </w:r>
      <w:r>
        <w:rPr>
          <w:rFonts w:ascii="Times New Roman" w:cs="Times New Roman" w:eastAsia="Times New Roman" w:hAnsi="Times New Roman"/>
          <w:sz w:val="17"/>
          <w:szCs w:val="17"/>
          <w:i w:val="1"/>
          <w:iCs w:val="1"/>
          <w:color w:val="auto"/>
        </w:rPr>
        <w:t>Wall Street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Journal</w:t>
      </w:r>
      <w:r>
        <w:rPr>
          <w:rFonts w:ascii="Times New Roman" w:cs="Times New Roman" w:eastAsia="Times New Roman" w:hAnsi="Times New Roman"/>
          <w:sz w:val="17"/>
          <w:szCs w:val="17"/>
          <w:color w:val="auto"/>
        </w:rPr>
        <w:t>, May 8, 2024. See https://www.wsj.com/business/autos/gm-is-shutting-down-the-chevy-malibu-ca0fc649?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mod=Searchresults_pos12&amp;page=1</w:t>
      </w:r>
    </w:p>
    <w:p>
      <w:pPr>
        <w:spacing w:after="0" w:line="48" w:lineRule="exact"/>
        <w:rPr>
          <w:rFonts w:ascii="Times New Roman" w:cs="Times New Roman" w:eastAsia="Times New Roman" w:hAnsi="Times New Roman"/>
          <w:sz w:val="24"/>
          <w:szCs w:val="24"/>
          <w:u w:val="single" w:color="auto"/>
          <w:color w:val="0000EE"/>
          <w:vertAlign w:val="superscript"/>
        </w:rPr>
      </w:pPr>
    </w:p>
    <w:p>
      <w:pPr>
        <w:jc w:val="both"/>
        <w:ind w:left="180" w:right="739" w:firstLine="4"/>
        <w:spacing w:after="0"/>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Davis, River. “Toyota Chairman Says People Are Finally Seeing the Reality About EVs,”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October 25, 2023. See https://www.wsj.com/business/autos/toyota-chairman-says-people-are-finally-seeing-the-reality-about-evs-31f1669c</w:t>
      </w: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22"/>
          <w:szCs w:val="22"/>
          <w:b w:val="1"/>
          <w:bCs w:val="1"/>
          <w:color w:val="auto"/>
        </w:rPr>
        <w:t>Photo credits:</w:t>
      </w:r>
    </w:p>
    <w:p>
      <w:pPr>
        <w:spacing w:after="0" w:line="237" w:lineRule="exact"/>
        <w:rPr>
          <w:sz w:val="20"/>
          <w:szCs w:val="20"/>
          <w:color w:val="auto"/>
        </w:rPr>
      </w:pPr>
    </w:p>
    <w:p>
      <w:pPr>
        <w:ind w:left="180" w:right="1019"/>
        <w:spacing w:after="0" w:line="239" w:lineRule="auto"/>
        <w:rPr>
          <w:sz w:val="20"/>
          <w:szCs w:val="20"/>
          <w:color w:val="auto"/>
        </w:rPr>
      </w:pPr>
      <w:r>
        <w:rPr>
          <w:rFonts w:ascii="Times New Roman" w:cs="Times New Roman" w:eastAsia="Times New Roman" w:hAnsi="Times New Roman"/>
          <w:sz w:val="22"/>
          <w:szCs w:val="22"/>
          <w:color w:val="auto"/>
        </w:rPr>
        <w:t>Page 2 – GM Headquarters in Detroit, Michigan Municipal League/Creative Commons Page 3 – Closing ceremony of COP21, Paris, United Nations photo/Creative Commons Page 6 – 2011 Chevy Volt, National Roads and Motorists’ Association/Creative Commons Page 8 – Connecticut Chevrolet dealership, JeepersMedia/Creative Commons</w:t>
      </w:r>
    </w:p>
    <w:p>
      <w:pPr>
        <w:spacing w:after="0" w:line="207" w:lineRule="exact"/>
        <w:rPr>
          <w:sz w:val="20"/>
          <w:szCs w:val="20"/>
          <w:color w:val="auto"/>
        </w:rPr>
      </w:pPr>
    </w:p>
    <w:p>
      <w:pPr>
        <w:ind w:left="180" w:right="419"/>
        <w:spacing w:after="0" w:line="239" w:lineRule="auto"/>
        <w:rPr>
          <w:sz w:val="20"/>
          <w:szCs w:val="20"/>
          <w:color w:val="auto"/>
        </w:rPr>
      </w:pPr>
      <w:r>
        <w:rPr>
          <w:rFonts w:ascii="Times New Roman" w:cs="Times New Roman" w:eastAsia="Times New Roman" w:hAnsi="Times New Roman"/>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7" w:lineRule="exact"/>
        <w:rPr>
          <w:sz w:val="20"/>
          <w:szCs w:val="20"/>
          <w:color w:val="auto"/>
        </w:rPr>
      </w:pPr>
    </w:p>
    <w:p>
      <w:pPr>
        <w:ind w:left="180" w:right="2099"/>
        <w:spacing w:after="0" w:line="258" w:lineRule="auto"/>
        <w:rPr>
          <w:sz w:val="20"/>
          <w:szCs w:val="20"/>
          <w:color w:val="auto"/>
        </w:rPr>
      </w:pPr>
      <w:r>
        <w:rPr>
          <w:rFonts w:ascii="Times New Roman" w:cs="Times New Roman" w:eastAsia="Times New Roman" w:hAnsi="Times New Roman"/>
          <w:sz w:val="22"/>
          <w:szCs w:val="22"/>
          <w:color w:val="auto"/>
        </w:rPr>
        <w:t>THE COST OF DISSEMINATING THE FOREGOING INFORMATION TO SHAREHOLDERS IS BEING BORNE ENTIRELY BY THE FILERS.</w:t>
      </w:r>
    </w:p>
    <w:p>
      <w:pPr>
        <w:spacing w:after="0" w:line="185"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0" w:lineRule="exact"/>
        <w:rPr>
          <w:sz w:val="20"/>
          <w:szCs w:val="20"/>
          <w:color w:val="auto"/>
        </w:rPr>
      </w:pPr>
    </w:p>
    <w:p>
      <w:pPr>
        <w:jc w:val="both"/>
        <w:ind w:left="180" w:right="619"/>
        <w:spacing w:after="0" w:line="246" w:lineRule="auto"/>
        <w:rPr>
          <w:sz w:val="20"/>
          <w:szCs w:val="20"/>
          <w:color w:val="auto"/>
        </w:rPr>
      </w:pPr>
      <w:r>
        <w:rPr>
          <w:rFonts w:ascii="Times New Roman" w:cs="Times New Roman" w:eastAsia="Times New Roman" w:hAnsi="Times New Roman"/>
          <w:sz w:val="22"/>
          <w:szCs w:val="22"/>
          <w:b w:val="1"/>
          <w:bCs w:val="1"/>
          <w:color w:val="auto"/>
        </w:rPr>
        <w:t>PROXY CARDS WILL NOT BE ACCEPTED BY US. PLEASE DO NOT SEND YOUR PROXY TO US. TO VOTE YOUR PROXY, PLEASE FOLLOW THE INSTRUCTIONS ON YOUR PROXY CARD.</w:t>
      </w:r>
    </w:p>
    <w:p>
      <w:pPr>
        <w:spacing w:after="0" w:line="198" w:lineRule="exact"/>
        <w:rPr>
          <w:sz w:val="20"/>
          <w:szCs w:val="20"/>
          <w:color w:val="auto"/>
        </w:rPr>
      </w:pPr>
    </w:p>
    <w:p>
      <w:pPr>
        <w:ind w:left="180" w:right="659"/>
        <w:spacing w:after="0" w:line="239" w:lineRule="auto"/>
        <w:rPr>
          <w:sz w:val="20"/>
          <w:szCs w:val="20"/>
          <w:color w:val="auto"/>
        </w:rPr>
      </w:pPr>
      <w:r>
        <w:rPr>
          <w:rFonts w:ascii="Times New Roman" w:cs="Times New Roman" w:eastAsia="Times New Roman" w:hAnsi="Times New Roman"/>
          <w:sz w:val="22"/>
          <w:szCs w:val="22"/>
          <w:color w:val="auto"/>
        </w:rPr>
        <w:t>For questions regarding General Motors Company – Item No. 5 – “Shareholder Proposal Requesting the Company to Revisit Pay Incentives for GHG Emission Reductions,” sponsored by National Legal and Policy Center, please contact Luke Perlot, associate director of NLPC’s Corporate Integrity Project, via email at lperlot@nlpc.org.</w:t>
      </w: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7"/>
      <w:numFmt w:val="bullet"/>
      <w:start w:val="1"/>
    </w:lvl>
  </w:abstractNum>
  <w:abstractNum w:abstractNumId="7">
    <w:nsid w:val="66EF438D"/>
    <w:multiLevelType w:val="hybridMultilevel"/>
    <w:lvl w:ilvl="0">
      <w:lvlJc w:val="left"/>
      <w:lvlText w:val="8"/>
      <w:numFmt w:val="bullet"/>
      <w:start w:val="1"/>
    </w:lvl>
  </w:abstractNum>
  <w:abstractNum w:abstractNumId="8">
    <w:nsid w:val="140E0F76"/>
    <w:multiLevelType w:val="hybridMultilevel"/>
    <w:lvl w:ilvl="0">
      <w:lvlJc w:val="left"/>
      <w:lvlText w:val="9"/>
      <w:numFmt w:val="bullet"/>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5"/>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7"/>
    </w:lvl>
  </w:abstractNum>
  <w:abstractNum w:abstractNumId="13">
    <w:nsid w:val="1BEFD79F"/>
    <w:multiLevelType w:val="hybridMultilevel"/>
    <w:lvl w:ilvl="0">
      <w:lvlJc w:val="left"/>
      <w:lvlText w:val="%1"/>
      <w:numFmt w:val="decimal"/>
      <w:start w:val="23"/>
    </w:lvl>
  </w:abstractNum>
  <w:abstractNum w:abstractNumId="14">
    <w:nsid w:val="41A7C4C9"/>
    <w:multiLevelType w:val="hybridMultilevel"/>
    <w:lvl w:ilvl="0">
      <w:lvlJc w:val="left"/>
      <w:lvlText w:val="%1"/>
      <w:numFmt w:val="decimal"/>
      <w:start w:val="29"/>
    </w:lvl>
  </w:abstractNum>
  <w:abstractNum w:abstractNumId="15">
    <w:nsid w:val="6B68079A"/>
    <w:multiLevelType w:val="hybridMultilevel"/>
    <w:lvl w:ilvl="0">
      <w:lvlJc w:val="left"/>
      <w:lvlText w:val="%1"/>
      <w:numFmt w:val="decimal"/>
      <w:start w:val="3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2024-05-15T14:02:51Z</dcterms:created>
  <dcterms:modified xsi:type="dcterms:W3CDTF">2024-05-15T14:02:51Z</dcterms:modified>
</cp:coreProperties>
</file>