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16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ectPr>
          <w:pgSz w:w="11900" w:h="16838" w:orient="portrait"/>
          <w:cols w:equalWidth="0" w:num="1">
            <w:col w:w="11420"/>
          </w:cols>
          <w:pgMar w:left="240" w:top="226" w:right="239" w:bottom="324"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Stracke Karl-Friedrich</w:t>
              </w:r>
            </w:hyperlink>
          </w:p>
        </w:tc>
        <w:tc>
          <w:tcPr>
            <w:tcW w:w="116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01/01/2012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20" w:type="dxa"/>
            <w:vAlign w:val="bottom"/>
            <w:vMerge w:val="restart"/>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24"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20"/>
              <w:spacing w:after="0"/>
              <w:rPr>
                <w:sz w:val="20"/>
                <w:szCs w:val="20"/>
                <w:color w:val="auto"/>
              </w:rPr>
            </w:pPr>
            <w:r>
              <w:rPr>
                <w:rFonts w:ascii="Arial" w:cs="Arial" w:eastAsia="Arial" w:hAnsi="Arial"/>
                <w:sz w:val="18"/>
                <w:szCs w:val="18"/>
                <w:color w:val="0000FF"/>
              </w:rPr>
              <w:t>24,725</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8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(2)(3)</w:t>
            </w:r>
          </w:p>
        </w:tc>
        <w:tc>
          <w:tcPr>
            <w:tcW w:w="1560" w:type="dxa"/>
            <w:vAlign w:val="bottom"/>
            <w:tcBorders>
              <w:bottom w:val="single" w:sz="8" w:color="2C2C2C"/>
            </w:tcBorders>
            <w:gridSpan w:val="2"/>
          </w:tcPr>
          <w:p>
            <w:pPr>
              <w:jc w:val="center"/>
              <w:ind w:left="620"/>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8"/>
              </w:rPr>
              <w:t>4,770</w:t>
            </w:r>
          </w:p>
        </w:tc>
        <w:tc>
          <w:tcPr>
            <w:tcW w:w="880" w:type="dxa"/>
            <w:vAlign w:val="bottom"/>
            <w:tcBorders>
              <w:bottom w:val="single" w:sz="8" w:color="2C2C2C"/>
            </w:tcBorders>
          </w:tcPr>
          <w:p>
            <w:pPr>
              <w:jc w:val="right"/>
              <w:ind w:right="322"/>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(3)(5)</w:t>
            </w:r>
          </w:p>
        </w:tc>
        <w:tc>
          <w:tcPr>
            <w:tcW w:w="1560" w:type="dxa"/>
            <w:vAlign w:val="bottom"/>
            <w:tcBorders>
              <w:bottom w:val="single" w:sz="8" w:color="2C2C2C"/>
            </w:tcBorders>
            <w:gridSpan w:val="2"/>
          </w:tcPr>
          <w:p>
            <w:pPr>
              <w:jc w:val="center"/>
              <w:ind w:left="620"/>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8"/>
              </w:rPr>
              <w:t>4,770</w:t>
            </w:r>
          </w:p>
        </w:tc>
        <w:tc>
          <w:tcPr>
            <w:tcW w:w="880" w:type="dxa"/>
            <w:vAlign w:val="bottom"/>
            <w:tcBorders>
              <w:bottom w:val="single" w:sz="8" w:color="2C2C2C"/>
            </w:tcBorders>
          </w:tcPr>
          <w:p>
            <w:pPr>
              <w:jc w:val="right"/>
              <w:ind w:right="322"/>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(3)(6)</w:t>
            </w:r>
          </w:p>
        </w:tc>
        <w:tc>
          <w:tcPr>
            <w:tcW w:w="1560" w:type="dxa"/>
            <w:vAlign w:val="bottom"/>
            <w:tcBorders>
              <w:bottom w:val="single" w:sz="8" w:color="2C2C2C"/>
            </w:tcBorders>
            <w:gridSpan w:val="2"/>
          </w:tcPr>
          <w:p>
            <w:pPr>
              <w:jc w:val="center"/>
              <w:ind w:left="620"/>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8"/>
              </w:rPr>
              <w:t>4,770</w:t>
            </w:r>
          </w:p>
        </w:tc>
        <w:tc>
          <w:tcPr>
            <w:tcW w:w="880" w:type="dxa"/>
            <w:vAlign w:val="bottom"/>
            <w:tcBorders>
              <w:bottom w:val="single" w:sz="8" w:color="2C2C2C"/>
            </w:tcBorders>
          </w:tcPr>
          <w:p>
            <w:pPr>
              <w:jc w:val="right"/>
              <w:ind w:right="322"/>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(3)(7)</w:t>
            </w:r>
          </w:p>
        </w:tc>
        <w:tc>
          <w:tcPr>
            <w:tcW w:w="1560" w:type="dxa"/>
            <w:vAlign w:val="bottom"/>
            <w:tcBorders>
              <w:bottom w:val="single" w:sz="8" w:color="2C2C2C"/>
            </w:tcBorders>
            <w:gridSpan w:val="2"/>
          </w:tcPr>
          <w:p>
            <w:pPr>
              <w:jc w:val="center"/>
              <w:ind w:left="620"/>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8"/>
              </w:rPr>
              <w:t>2,334</w:t>
            </w:r>
          </w:p>
        </w:tc>
        <w:tc>
          <w:tcPr>
            <w:tcW w:w="880" w:type="dxa"/>
            <w:vAlign w:val="bottom"/>
            <w:tcBorders>
              <w:bottom w:val="single" w:sz="8" w:color="2C2C2C"/>
            </w:tcBorders>
          </w:tcPr>
          <w:p>
            <w:pPr>
              <w:jc w:val="right"/>
              <w:ind w:right="322"/>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(3)(8)</w:t>
            </w:r>
          </w:p>
        </w:tc>
        <w:tc>
          <w:tcPr>
            <w:tcW w:w="1560" w:type="dxa"/>
            <w:vAlign w:val="bottom"/>
            <w:tcBorders>
              <w:bottom w:val="single" w:sz="8" w:color="2C2C2C"/>
            </w:tcBorders>
            <w:gridSpan w:val="2"/>
          </w:tcPr>
          <w:p>
            <w:pPr>
              <w:jc w:val="center"/>
              <w:ind w:left="620"/>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8"/>
              </w:rPr>
              <w:t>5,116</w:t>
            </w:r>
          </w:p>
        </w:tc>
        <w:tc>
          <w:tcPr>
            <w:tcW w:w="880" w:type="dxa"/>
            <w:vAlign w:val="bottom"/>
            <w:tcBorders>
              <w:bottom w:val="single" w:sz="8" w:color="2C2C2C"/>
            </w:tcBorders>
          </w:tcPr>
          <w:p>
            <w:pPr>
              <w:jc w:val="right"/>
              <w:ind w:right="322"/>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(9)(10)</w:t>
            </w:r>
          </w:p>
        </w:tc>
        <w:tc>
          <w:tcPr>
            <w:tcW w:w="1560" w:type="dxa"/>
            <w:vAlign w:val="bottom"/>
            <w:tcBorders>
              <w:bottom w:val="single" w:sz="8" w:color="2C2C2C"/>
            </w:tcBorders>
            <w:gridSpan w:val="2"/>
          </w:tcPr>
          <w:p>
            <w:pPr>
              <w:jc w:val="center"/>
              <w:ind w:left="620"/>
              <w:spacing w:after="0"/>
              <w:rPr>
                <w:sz w:val="20"/>
                <w:szCs w:val="20"/>
                <w:color w:val="auto"/>
              </w:rPr>
            </w:pPr>
            <w:r>
              <w:rPr>
                <w:rFonts w:ascii="Arial" w:cs="Arial" w:eastAsia="Arial" w:hAnsi="Arial"/>
                <w:sz w:val="11"/>
                <w:szCs w:val="11"/>
                <w:color w:val="008000"/>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7"/>
              </w:rPr>
              <w:t>28,203</w:t>
            </w:r>
          </w:p>
        </w:tc>
        <w:tc>
          <w:tcPr>
            <w:tcW w:w="880" w:type="dxa"/>
            <w:vAlign w:val="bottom"/>
            <w:tcBorders>
              <w:bottom w:val="single" w:sz="8" w:color="2C2C2C"/>
            </w:tcBorders>
          </w:tcPr>
          <w:p>
            <w:pPr>
              <w:jc w:val="right"/>
              <w:ind w:right="322"/>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(11)</w:t>
            </w:r>
          </w:p>
        </w:tc>
        <w:tc>
          <w:tcPr>
            <w:tcW w:w="1560" w:type="dxa"/>
            <w:vAlign w:val="bottom"/>
            <w:tcBorders>
              <w:bottom w:val="single" w:sz="8" w:color="2C2C2C"/>
            </w:tcBorders>
            <w:gridSpan w:val="2"/>
          </w:tcPr>
          <w:p>
            <w:pPr>
              <w:jc w:val="center"/>
              <w:ind w:left="620"/>
              <w:spacing w:after="0"/>
              <w:rPr>
                <w:sz w:val="20"/>
                <w:szCs w:val="20"/>
                <w:color w:val="auto"/>
              </w:rPr>
            </w:pPr>
            <w:r>
              <w:rPr>
                <w:rFonts w:ascii="Arial" w:cs="Arial" w:eastAsia="Arial" w:hAnsi="Arial"/>
                <w:sz w:val="11"/>
                <w:szCs w:val="11"/>
                <w:color w:val="008000"/>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0"/>
              <w:spacing w:after="0"/>
              <w:rPr>
                <w:sz w:val="20"/>
                <w:szCs w:val="20"/>
                <w:color w:val="auto"/>
              </w:rPr>
            </w:pPr>
            <w:r>
              <w:rPr>
                <w:rFonts w:ascii="Arial" w:cs="Arial" w:eastAsia="Arial" w:hAnsi="Arial"/>
                <w:sz w:val="18"/>
                <w:szCs w:val="18"/>
                <w:color w:val="0000FF"/>
                <w:w w:val="87"/>
              </w:rPr>
              <w:t>12,889</w:t>
            </w:r>
          </w:p>
        </w:tc>
        <w:tc>
          <w:tcPr>
            <w:tcW w:w="880" w:type="dxa"/>
            <w:vAlign w:val="bottom"/>
            <w:tcBorders>
              <w:bottom w:val="single" w:sz="8" w:color="2C2C2C"/>
            </w:tcBorders>
          </w:tcPr>
          <w:p>
            <w:pPr>
              <w:jc w:val="right"/>
              <w:ind w:right="322"/>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includes 21,071 Salary Stock Units ("SSUs") granted pursuant to the Company's Salary Stock Plan (the "GMSSP") between June 30, 2011 and December 31, 2011. Each SSU is the economic equivalent of one share of Common Stock. The SSUs were fully vested upon grant and will be delivered in the form of Common Stock in three equal, annual installments beginning a year after the date of the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2010.</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At the time the SSUs were granted, it was possible under the terms of the GMSSP that the SSUs would be settled by the delivery of cash in an amount equal to the Fair Market Value (as defined in the GMSSP) of the Common Stock as of the applicable anniversary of the SSU's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were fully vested upon grant. 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("RSUs") reported in this item were awarded on March 15, 2010 pursuant to the General Motors Company 2009 Long-Term Incentive Plan (the "GMLTIP").</w:t>
      </w:r>
    </w:p>
    <w:p>
      <w:pPr>
        <w:spacing w:after="0" w:line="64" w:lineRule="exact"/>
        <w:rPr>
          <w:rFonts w:ascii="Arial" w:cs="Arial" w:eastAsia="Arial" w:hAnsi="Arial"/>
          <w:sz w:val="12"/>
          <w:szCs w:val="12"/>
          <w:color w:val="008000"/>
        </w:rPr>
      </w:pPr>
    </w:p>
    <w:p>
      <w:pPr>
        <w:jc w:val="both"/>
        <w:ind w:left="40" w:right="140" w:firstLine="9"/>
        <w:spacing w:after="0" w:line="288"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a right to receive one share of the Common Stock upon settlement. Under the GMLTIP, the RSUs will vest on the third anniversary of the award date provided the employee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The RSUs do not have an expiration date or carry a conversion or exercise price.</w:t>
      </w:r>
    </w:p>
    <w:p>
      <w:pPr>
        <w:spacing w:after="0" w:line="2" w:lineRule="exact"/>
        <w:rPr>
          <w:rFonts w:ascii="Arial" w:cs="Arial" w:eastAsia="Arial" w:hAnsi="Arial"/>
          <w:sz w:val="12"/>
          <w:szCs w:val="12"/>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reported in this item were awarded on February 10, 2011 pursuant to the GMLTIP.</w:t>
      </w:r>
    </w:p>
    <w:p>
      <w:pPr>
        <w:spacing w:after="0" w:line="51"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Stracke</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8717"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2019-12-17T01:02:03Z</dcterms:created>
  <dcterms:modified xsi:type="dcterms:W3CDTF">2019-12-17T01:02:03Z</dcterms:modified>
</cp:coreProperties>
</file>