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276860</wp:posOffset>
            </wp:positionH>
            <wp:positionV relativeFrom="page">
              <wp:posOffset>182880</wp:posOffset>
            </wp:positionV>
            <wp:extent cx="69951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17145"/>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23, 2026</w:t>
      </w:r>
    </w:p>
    <w:p>
      <w:pPr>
        <w:spacing w:after="0" w:line="38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-306705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231775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75" w:right="439" w:bottom="1440" w:gutter="0" w:footer="0" w:header="0"/>
        </w:sectPr>
      </w:pPr>
    </w:p>
    <w:p>
      <w:pPr>
        <w:spacing w:after="0" w:line="200" w:lineRule="exact"/>
        <w:rPr>
          <w:sz w:val="24"/>
          <w:szCs w:val="24"/>
          <w:color w:val="auto"/>
        </w:rPr>
      </w:pPr>
    </w:p>
    <w:p>
      <w:pPr>
        <w:spacing w:after="0" w:line="39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27-0756180</w:t>
      </w:r>
    </w:p>
    <w:p>
      <w:pPr>
        <w:spacing w:after="0" w:line="92" w:lineRule="exact"/>
        <w:rPr>
          <w:sz w:val="24"/>
          <w:szCs w:val="24"/>
          <w:color w:val="auto"/>
        </w:rPr>
      </w:pPr>
    </w:p>
    <w:p>
      <w:pPr>
        <w:sectPr>
          <w:pgSz w:w="11900" w:h="16838" w:orient="portrait"/>
          <w:cols w:equalWidth="0" w:num="3">
            <w:col w:w="4504" w:space="720"/>
            <w:col w:w="2880" w:space="720"/>
            <w:col w:w="2200"/>
          </w:cols>
          <w:pgMar w:left="436" w:top="475" w:right="439" w:bottom="1440" w:gutter="0" w:footer="0" w:header="0"/>
          <w:type w:val="continuous"/>
        </w:sectPr>
      </w:pPr>
    </w:p>
    <w:p>
      <w:pPr>
        <w:ind w:left="284"/>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127" w:lineRule="exact"/>
        <w:rPr>
          <w:sz w:val="24"/>
          <w:szCs w:val="24"/>
          <w:color w:val="auto"/>
        </w:rPr>
      </w:pPr>
    </w:p>
    <w:p>
      <w:pPr>
        <w:sectPr>
          <w:pgSz w:w="11900" w:h="16838" w:orient="portrait"/>
          <w:cols w:equalWidth="0" w:num="3">
            <w:col w:w="3904" w:space="720"/>
            <w:col w:w="2600" w:space="720"/>
            <w:col w:w="3080"/>
          </w:cols>
          <w:pgMar w:left="436" w:top="475" w:right="439" w:bottom="1440" w:gutter="0" w:footer="0" w:header="0"/>
          <w:type w:val="continuous"/>
        </w:sectPr>
      </w:pPr>
    </w:p>
    <w:p>
      <w:pPr>
        <w:ind w:left="844"/>
        <w:spacing w:after="0"/>
        <w:rPr>
          <w:sz w:val="20"/>
          <w:szCs w:val="20"/>
          <w:color w:val="auto"/>
        </w:rPr>
      </w:pPr>
      <w:r>
        <w:rPr>
          <w:rFonts w:ascii="Times New Roman" w:cs="Times New Roman" w:eastAsia="Times New Roman" w:hAnsi="Times New Roman"/>
          <w:sz w:val="17"/>
          <w:szCs w:val="17"/>
          <w:b w:val="1"/>
          <w:bCs w:val="1"/>
          <w:color w:val="auto"/>
        </w:rPr>
        <w:t>1240 Woodward Avenue,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48265</w:t>
      </w:r>
    </w:p>
    <w:p>
      <w:pPr>
        <w:spacing w:after="0" w:line="67" w:lineRule="exact"/>
        <w:rPr>
          <w:sz w:val="24"/>
          <w:szCs w:val="24"/>
          <w:color w:val="auto"/>
        </w:rPr>
      </w:pPr>
    </w:p>
    <w:p>
      <w:pPr>
        <w:sectPr>
          <w:pgSz w:w="11900" w:h="16838" w:orient="portrait"/>
          <w:cols w:equalWidth="0" w:num="2">
            <w:col w:w="7124" w:space="720"/>
            <w:col w:w="3180"/>
          </w:cols>
          <w:pgMar w:left="436" w:top="475" w:right="439" w:bottom="1440" w:gutter="0" w:footer="0" w:header="0"/>
          <w:type w:val="continuous"/>
        </w:sectPr>
      </w:pPr>
    </w:p>
    <w:p>
      <w:pPr>
        <w:ind w:left="1344"/>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224" w:space="720"/>
            <w:col w:w="3080"/>
          </w:cols>
          <w:pgMar w:left="436" w:top="475" w:right="439" w:bottom="1440" w:gutter="0" w:footer="0" w:header="0"/>
          <w:type w:val="continuous"/>
        </w:sectPr>
      </w:pPr>
    </w:p>
    <w:p>
      <w:pPr>
        <w:spacing w:after="0" w:line="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160020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62"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61" w:lineRule="exact"/>
        <w:rPr>
          <w:rFonts w:ascii="MS PGothic" w:cs="MS PGothic" w:eastAsia="MS PGothic" w:hAnsi="MS PGothic"/>
          <w:sz w:val="16"/>
          <w:szCs w:val="16"/>
          <w:color w:val="auto"/>
        </w:rPr>
      </w:pPr>
    </w:p>
    <w:p>
      <w:pPr>
        <w:ind w:left="544" w:hanging="544"/>
        <w:spacing w:after="0"/>
        <w:tabs>
          <w:tab w:leader="none" w:pos="54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61" w:lineRule="exact"/>
        <w:rPr>
          <w:rFonts w:ascii="MS PGothic" w:cs="MS PGothic" w:eastAsia="MS PGothic" w:hAnsi="MS PGothic"/>
          <w:sz w:val="16"/>
          <w:szCs w:val="16"/>
          <w:color w:val="auto"/>
        </w:rPr>
      </w:pPr>
    </w:p>
    <w:p>
      <w:pPr>
        <w:ind w:left="544" w:hanging="544"/>
        <w:spacing w:after="0"/>
        <w:tabs>
          <w:tab w:leader="none" w:pos="54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61" w:lineRule="exact"/>
        <w:rPr>
          <w:rFonts w:ascii="MS PGothic" w:cs="MS PGothic" w:eastAsia="MS PGothic" w:hAnsi="MS PGothic"/>
          <w:sz w:val="16"/>
          <w:szCs w:val="16"/>
          <w:color w:val="auto"/>
        </w:rPr>
      </w:pPr>
    </w:p>
    <w:p>
      <w:pPr>
        <w:ind w:left="3644" w:right="3240" w:hanging="3644"/>
        <w:spacing w:after="0" w:line="298" w:lineRule="auto"/>
        <w:tabs>
          <w:tab w:leader="none" w:pos="543"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183" w:lineRule="exact"/>
        <w:rPr>
          <w:sz w:val="24"/>
          <w:szCs w:val="24"/>
          <w:color w:val="auto"/>
        </w:rPr>
      </w:pPr>
    </w:p>
    <w:tbl>
      <w:tblPr>
        <w:tblLayout w:type="fixed"/>
        <w:tblInd w:w="824"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780" w:type="dxa"/>
            <w:vAlign w:val="bottom"/>
          </w:tcPr>
          <w:p>
            <w:pPr>
              <w:spacing w:after="0"/>
              <w:rPr>
                <w:sz w:val="16"/>
                <w:szCs w:val="16"/>
                <w:color w:val="auto"/>
              </w:rPr>
            </w:pPr>
          </w:p>
        </w:tc>
        <w:tc>
          <w:tcPr>
            <w:tcW w:w="3660" w:type="dxa"/>
            <w:vAlign w:val="bottom"/>
            <w:gridSpan w:val="2"/>
          </w:tcPr>
          <w:p>
            <w:pPr>
              <w:jc w:val="center"/>
              <w:ind w:left="71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217"/>
        </w:trPr>
        <w:tc>
          <w:tcPr>
            <w:tcW w:w="3140" w:type="dxa"/>
            <w:vAlign w:val="bottom"/>
            <w:gridSpan w:val="3"/>
          </w:tcPr>
          <w:p>
            <w:pPr>
              <w:jc w:val="center"/>
              <w:ind w:right="104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040" w:type="dxa"/>
            <w:vAlign w:val="bottom"/>
          </w:tcPr>
          <w:p>
            <w:pPr>
              <w:spacing w:after="0"/>
              <w:rPr>
                <w:sz w:val="18"/>
                <w:szCs w:val="18"/>
                <w:color w:val="auto"/>
              </w:rPr>
            </w:pPr>
          </w:p>
        </w:tc>
        <w:tc>
          <w:tcPr>
            <w:tcW w:w="2020" w:type="dxa"/>
            <w:vAlign w:val="bottom"/>
            <w:gridSpan w:val="2"/>
          </w:tcPr>
          <w:p>
            <w:pPr>
              <w:jc w:val="center"/>
              <w:ind w:right="800"/>
              <w:spacing w:after="0"/>
              <w:rPr>
                <w:sz w:val="20"/>
                <w:szCs w:val="20"/>
                <w:color w:val="auto"/>
              </w:rPr>
            </w:pPr>
            <w:r>
              <w:rPr>
                <w:rFonts w:ascii="Times New Roman" w:cs="Times New Roman" w:eastAsia="Times New Roman" w:hAnsi="Times New Roman"/>
                <w:sz w:val="16"/>
                <w:szCs w:val="16"/>
                <w:color w:val="auto"/>
              </w:rPr>
              <w:t>GM</w:t>
            </w:r>
          </w:p>
        </w:tc>
        <w:tc>
          <w:tcPr>
            <w:tcW w:w="80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208" w:lineRule="exact"/>
        <w:rPr>
          <w:sz w:val="24"/>
          <w:szCs w:val="24"/>
          <w:color w:val="auto"/>
        </w:rPr>
      </w:pPr>
    </w:p>
    <w:p>
      <w:pPr>
        <w:ind w:left="4"/>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83" w:lineRule="exact"/>
        <w:rPr>
          <w:sz w:val="24"/>
          <w:szCs w:val="24"/>
          <w:color w:val="auto"/>
        </w:rPr>
      </w:pPr>
    </w:p>
    <w:p>
      <w:pPr>
        <w:ind w:left="4" w:right="2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4"/>
          </w:cols>
          <w:pgMar w:left="436" w:top="475"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Item 2.03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On March 23, 2026, General Motors Company (“GM”) entered into an Eighth Amended and Restated 364-Day Revolving Credit Agreement with JPMorgan Chase Bank, N.A., as administrative agent, Citibank, N.A., as syndication agent, the other lenders named therein, and General Motors Financial Company, Inc. (the “364-Day Facility”). The 364-Day Facility is unsecured, consists of a 364-day, $2.0 billion facility and matures on March 22, 2027.</w:t>
      </w:r>
    </w:p>
    <w:p>
      <w:pPr>
        <w:spacing w:after="0" w:line="180"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The 364-Day Facility is available to GM as well as certain of its wholly owned subsidiaries. However, GM has allocated the 364-Day Facility for exclusive use by General Motors Financial Company, Inc. The 364-Day Facility allows for borrowing in U.S. Dollars only. GM has guaranteed the obligations of subsidiary borrowers under the 364-Day Facility.</w:t>
      </w:r>
    </w:p>
    <w:p>
      <w:pPr>
        <w:spacing w:after="0" w:line="176"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Interest rates on obligations under the 364-Day Facility are based on prevailing annual interest rates for Term SOFR loans, Daily Simple SOFR loans or an alternative base rate, each subject to an applicable margin. This applicable margin will be based upon the credit rating assigned to the 364-Day Facility or to senior, unsecured long-term indebtedness of GM.</w:t>
      </w:r>
    </w:p>
    <w:p>
      <w:pPr>
        <w:spacing w:after="0" w:line="176"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The 364-Day Facility contains representations, warranties and covenants that are typical for this type of facility. These covenants include restrictions on mergers or sales of assets, limitations on the incurrence of indebtedness and requirements for subsidiaries to guarantee the obligations, in each case subject to conditions, exceptions and limitations. The 364-Day Facility also requires that GM maintain at least $4.0 billion in global liquidity and at least $2.0 billion in U.S. liquidity.</w:t>
      </w:r>
    </w:p>
    <w:p>
      <w:pPr>
        <w:spacing w:after="0" w:line="180"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Some of the lenders under the 364-Day Facility, and their affiliates, have various relationships with GM and its subsidiaries involving the provision of financial services, including cash management, investment banking, trust and leasing services, and foreign exchange and other derivative arrangements.</w:t>
      </w:r>
    </w:p>
    <w:p>
      <w:pPr>
        <w:spacing w:after="0" w:line="176"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does not constitute a complete summary of the 364-Day Facility and is qualified by reference in its entirety to the full text of the 364-Day Facility filed herewith.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540" w:type="dxa"/>
            <w:vAlign w:val="bottom"/>
            <w:gridSpan w:val="5"/>
          </w:tcPr>
          <w:p>
            <w:pPr>
              <w:ind w:left="282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480"/>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Exhibit</w:t>
            </w:r>
          </w:p>
        </w:tc>
        <w:tc>
          <w:tcPr>
            <w:tcW w:w="900" w:type="dxa"/>
            <w:vAlign w:val="bottom"/>
          </w:tcPr>
          <w:p>
            <w:pPr>
              <w:spacing w:after="0"/>
              <w:rPr>
                <w:sz w:val="24"/>
                <w:szCs w:val="24"/>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Description</w:t>
            </w:r>
          </w:p>
        </w:tc>
        <w:tc>
          <w:tcPr>
            <w:tcW w:w="28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960" w:type="dxa"/>
            <w:vAlign w:val="bottom"/>
            <w:gridSpan w:val="3"/>
          </w:tcPr>
          <w:p>
            <w:pPr>
              <w:spacing w:after="0"/>
              <w:rPr>
                <w:sz w:val="24"/>
                <w:szCs w:val="24"/>
                <w:color w:val="auto"/>
              </w:rPr>
            </w:pPr>
          </w:p>
        </w:tc>
      </w:tr>
      <w:tr>
        <w:trPr>
          <w:trHeight w:val="277"/>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10.1†</w:t>
            </w:r>
          </w:p>
        </w:tc>
        <w:tc>
          <w:tcPr>
            <w:tcW w:w="88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Eighth Amended and Restated 364-Day Revolving Credit Agreement, dated as of March 23, 2026, among General Motors</w:t>
            </w:r>
          </w:p>
        </w:tc>
        <w:tc>
          <w:tcPr>
            <w:tcW w:w="580" w:type="dxa"/>
            <w:vAlign w:val="bottom"/>
            <w:gridSpan w:val="2"/>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Company, General Motors Financial Company, Inc., the subsidiary borrowers from time to time parties thereto, the several lenders</w:t>
            </w:r>
          </w:p>
        </w:tc>
      </w:tr>
      <w:tr>
        <w:trPr>
          <w:trHeight w:val="196"/>
        </w:trPr>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from time to time parties thereto, JPMorgan Chase Bank, N.A., as administrative agent, and Citibank, N.A., as syndication agent</w:t>
            </w:r>
          </w:p>
        </w:tc>
      </w:tr>
      <w:tr>
        <w:trPr>
          <w:trHeight w:val="326"/>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104</w:t>
            </w:r>
          </w:p>
        </w:tc>
        <w:tc>
          <w:tcPr>
            <w:tcW w:w="92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40" w:type="dxa"/>
            <w:vAlign w:val="bottom"/>
          </w:tcPr>
          <w:p>
            <w:pPr>
              <w:spacing w:after="0"/>
              <w:rPr>
                <w:sz w:val="24"/>
                <w:szCs w:val="24"/>
                <w:color w:val="auto"/>
              </w:rPr>
            </w:pPr>
          </w:p>
        </w:tc>
      </w:tr>
      <w:tr>
        <w:trPr>
          <w:trHeight w:val="216"/>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Portions of this exhibit have been omitted pursuant to Rule 601(b)(10) of Regulation S-K. The omitted information is not material</w:t>
            </w:r>
          </w:p>
        </w:tc>
      </w:tr>
      <w:tr>
        <w:trPr>
          <w:trHeight w:val="234"/>
        </w:trPr>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and would likely cause competitive harm to the registrant if publicly disclosed.</w:t>
            </w:r>
          </w:p>
        </w:tc>
      </w:tr>
    </w:tbl>
    <w:p>
      <w:pPr>
        <w:sectPr>
          <w:pgSz w:w="11900" w:h="16838" w:orient="portrait"/>
          <w:cols w:equalWidth="0" w:num="1">
            <w:col w:w="11020"/>
          </w:cols>
          <w:pgMar w:left="440" w:top="293"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GENERAL MOTORS COMPANY (Registrant)</w:t>
            </w:r>
          </w:p>
        </w:tc>
      </w:tr>
      <w:tr>
        <w:trPr>
          <w:trHeight w:val="560"/>
        </w:trPr>
        <w:tc>
          <w:tcPr>
            <w:tcW w:w="3600" w:type="dxa"/>
            <w:vAlign w:val="bottom"/>
          </w:tcPr>
          <w:p>
            <w:pPr>
              <w:spacing w:after="0"/>
              <w:rPr>
                <w:sz w:val="24"/>
                <w:szCs w:val="24"/>
                <w:color w:val="auto"/>
              </w:rPr>
            </w:pPr>
          </w:p>
        </w:tc>
        <w:tc>
          <w:tcPr>
            <w:tcW w:w="74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JOHN S. KIM</w:t>
            </w:r>
          </w:p>
        </w:tc>
      </w:tr>
      <w:tr>
        <w:trPr>
          <w:trHeight w:val="211"/>
        </w:trPr>
        <w:tc>
          <w:tcPr>
            <w:tcW w:w="36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John S. Kim</w:t>
            </w:r>
          </w:p>
        </w:tc>
      </w:tr>
      <w:tr>
        <w:trPr>
          <w:trHeight w:val="248"/>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23, 2026</w:t>
            </w:r>
          </w:p>
        </w:tc>
        <w:tc>
          <w:tcPr>
            <w:tcW w:w="246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Assistant Corporate Secretary</w:t>
            </w:r>
          </w:p>
        </w:tc>
      </w:tr>
    </w:tbl>
    <w:p>
      <w:pPr>
        <w:sectPr>
          <w:pgSz w:w="11900" w:h="16838" w:orient="portrait"/>
          <w:cols w:equalWidth="0" w:num="1">
            <w:col w:w="11020"/>
          </w:cols>
          <w:pgMar w:left="440" w:top="293" w:right="439" w:bottom="1440" w:gutter="0" w:footer="0" w:header="0"/>
        </w:sectPr>
      </w:pPr>
    </w:p>
    <w:bookmarkStart w:id="3" w:name="page4"/>
    <w:bookmarkEnd w:id="3"/>
    <w:p>
      <w:pPr>
        <w:ind w:left="990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EXCLUDED FROM THIS EXHIBIT BECAUSE IT IS NOT MATERIAL AND WOULD LIKELY CAUSE COMPETITIVE HARM TO THE REGISTRANT IF PUBLICLY DISCLOSED. [***] INDICATES THAT INFORMATION HAS BEEN REDACTED.</w:t>
      </w:r>
    </w:p>
    <w:p>
      <w:pPr>
        <w:spacing w:after="0" w:line="17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EIGHTH AMENDED AND RESTATED 364-DAY REVOLVING CREDIT AGREEMENT</w:t>
      </w: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GENERAL MOTORS FINANCIAL COMPANY, INC.,</w:t>
      </w:r>
    </w:p>
    <w:p>
      <w:pPr>
        <w:spacing w:after="0" w:line="20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THE SUBSIDIARY BORROWERS FROM TIME TO TIME PARTIES HERETO,</w:t>
      </w:r>
    </w:p>
    <w:p>
      <w:pPr>
        <w:spacing w:after="0" w:line="2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THE SEVERAL LENDERS FROM TIME TO TIME PARTIES HERETO,</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3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Dated as of March 23, 2026</w:t>
            </w: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4"/>
                <w:szCs w:val="24"/>
                <w:color w:val="auto"/>
              </w:rPr>
            </w:pPr>
          </w:p>
        </w:tc>
        <w:tc>
          <w:tcPr>
            <w:tcW w:w="3160" w:type="dxa"/>
            <w:vAlign w:val="bottom"/>
            <w:gridSpan w:val="3"/>
          </w:tcPr>
          <w:p>
            <w:pPr>
              <w:jc w:val="center"/>
              <w:ind w:left="71"/>
              <w:spacing w:after="0"/>
              <w:rPr>
                <w:sz w:val="20"/>
                <w:szCs w:val="20"/>
                <w:color w:val="auto"/>
              </w:rPr>
            </w:pPr>
            <w:r>
              <w:rPr>
                <w:rFonts w:ascii="Times New Roman" w:cs="Times New Roman" w:eastAsia="Times New Roman" w:hAnsi="Times New Roman"/>
                <w:sz w:val="18"/>
                <w:szCs w:val="18"/>
                <w:color w:val="auto"/>
                <w:w w:val="99"/>
              </w:rPr>
              <w:t>JPMORGAN CHASE BANK, N.A.,</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40" w:type="dxa"/>
            <w:vAlign w:val="bottom"/>
            <w:gridSpan w:val="2"/>
          </w:tcPr>
          <w:p>
            <w:pPr>
              <w:jc w:val="center"/>
              <w:ind w:right="51"/>
              <w:spacing w:after="0"/>
              <w:rPr>
                <w:sz w:val="20"/>
                <w:szCs w:val="20"/>
                <w:color w:val="auto"/>
              </w:rPr>
            </w:pPr>
            <w:r>
              <w:rPr>
                <w:rFonts w:ascii="Times New Roman" w:cs="Times New Roman" w:eastAsia="Times New Roman" w:hAnsi="Times New Roman"/>
                <w:sz w:val="18"/>
                <w:szCs w:val="18"/>
                <w:color w:val="auto"/>
              </w:rPr>
              <w:t>CITIBANK, N.A.,</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3480" w:type="dxa"/>
            <w:vAlign w:val="bottom"/>
            <w:gridSpan w:val="5"/>
          </w:tcPr>
          <w:p>
            <w:pPr>
              <w:jc w:val="center"/>
              <w:ind w:right="70"/>
              <w:spacing w:after="0"/>
              <w:rPr>
                <w:sz w:val="20"/>
                <w:szCs w:val="20"/>
                <w:color w:val="auto"/>
              </w:rPr>
            </w:pPr>
            <w:r>
              <w:rPr>
                <w:rFonts w:ascii="Times New Roman" w:cs="Times New Roman" w:eastAsia="Times New Roman" w:hAnsi="Times New Roman"/>
                <w:sz w:val="18"/>
                <w:szCs w:val="18"/>
                <w:i w:val="1"/>
                <w:iCs w:val="1"/>
                <w:color w:val="auto"/>
                <w:w w:val="99"/>
              </w:rPr>
              <w:t>as Administrative Agent, Global Coordinator,</w:t>
            </w:r>
          </w:p>
        </w:tc>
        <w:tc>
          <w:tcPr>
            <w:tcW w:w="1900" w:type="dxa"/>
            <w:vAlign w:val="bottom"/>
          </w:tcPr>
          <w:p>
            <w:pPr>
              <w:spacing w:after="0"/>
              <w:rPr>
                <w:sz w:val="18"/>
                <w:szCs w:val="18"/>
                <w:color w:val="auto"/>
              </w:rPr>
            </w:pPr>
          </w:p>
        </w:tc>
        <w:tc>
          <w:tcPr>
            <w:tcW w:w="4480" w:type="dxa"/>
            <w:vAlign w:val="bottom"/>
            <w:gridSpan w:val="5"/>
          </w:tcPr>
          <w:p>
            <w:pPr>
              <w:jc w:val="center"/>
              <w:ind w:right="710"/>
              <w:spacing w:after="0"/>
              <w:rPr>
                <w:sz w:val="20"/>
                <w:szCs w:val="20"/>
                <w:color w:val="auto"/>
              </w:rPr>
            </w:pPr>
            <w:r>
              <w:rPr>
                <w:rFonts w:ascii="Times New Roman" w:cs="Times New Roman" w:eastAsia="Times New Roman" w:hAnsi="Times New Roman"/>
                <w:sz w:val="18"/>
                <w:szCs w:val="18"/>
                <w:i w:val="1"/>
                <w:iCs w:val="1"/>
                <w:color w:val="auto"/>
                <w:w w:val="99"/>
              </w:rPr>
              <w:t>as Syndication Agent and as Global Coordinator,</w:t>
            </w:r>
          </w:p>
        </w:tc>
        <w:tc>
          <w:tcPr>
            <w:tcW w:w="0" w:type="dxa"/>
            <w:vAlign w:val="bottom"/>
          </w:tcPr>
          <w:p>
            <w:pPr>
              <w:spacing w:after="0"/>
              <w:rPr>
                <w:sz w:val="1"/>
                <w:szCs w:val="1"/>
                <w:color w:val="auto"/>
              </w:rPr>
            </w:pPr>
          </w:p>
        </w:tc>
      </w:tr>
      <w:tr>
        <w:trPr>
          <w:trHeight w:val="236"/>
        </w:trPr>
        <w:tc>
          <w:tcPr>
            <w:tcW w:w="940" w:type="dxa"/>
            <w:vAlign w:val="bottom"/>
          </w:tcPr>
          <w:p>
            <w:pPr>
              <w:spacing w:after="0"/>
              <w:rPr>
                <w:sz w:val="20"/>
                <w:szCs w:val="20"/>
                <w:color w:val="auto"/>
              </w:rPr>
            </w:pPr>
          </w:p>
        </w:tc>
        <w:tc>
          <w:tcPr>
            <w:tcW w:w="3480" w:type="dxa"/>
            <w:vAlign w:val="bottom"/>
            <w:gridSpan w:val="5"/>
          </w:tcPr>
          <w:p>
            <w:pPr>
              <w:jc w:val="center"/>
              <w:ind w:right="90"/>
              <w:spacing w:after="0"/>
              <w:rPr>
                <w:sz w:val="20"/>
                <w:szCs w:val="20"/>
                <w:color w:val="auto"/>
              </w:rPr>
            </w:pPr>
            <w:r>
              <w:rPr>
                <w:rFonts w:ascii="Times New Roman" w:cs="Times New Roman" w:eastAsia="Times New Roman" w:hAnsi="Times New Roman"/>
                <w:sz w:val="18"/>
                <w:szCs w:val="18"/>
                <w:i w:val="1"/>
                <w:iCs w:val="1"/>
                <w:color w:val="auto"/>
                <w:w w:val="99"/>
              </w:rPr>
              <w:t>Joint Lead Arranger and Joint Bookrunner</w:t>
            </w: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320" w:type="dxa"/>
            <w:vAlign w:val="bottom"/>
            <w:gridSpan w:val="4"/>
          </w:tcPr>
          <w:p>
            <w:pPr>
              <w:jc w:val="center"/>
              <w:ind w:right="870"/>
              <w:spacing w:after="0"/>
              <w:rPr>
                <w:sz w:val="20"/>
                <w:szCs w:val="20"/>
                <w:color w:val="auto"/>
              </w:rPr>
            </w:pPr>
            <w:r>
              <w:rPr>
                <w:rFonts w:ascii="Times New Roman" w:cs="Times New Roman" w:eastAsia="Times New Roman" w:hAnsi="Times New Roman"/>
                <w:sz w:val="18"/>
                <w:szCs w:val="18"/>
                <w:i w:val="1"/>
                <w:iCs w:val="1"/>
                <w:color w:val="auto"/>
              </w:rPr>
              <w:t>Joint Lead Arranger and Joint Bookrunner</w:t>
            </w:r>
          </w:p>
        </w:tc>
        <w:tc>
          <w:tcPr>
            <w:tcW w:w="0" w:type="dxa"/>
            <w:vAlign w:val="bottom"/>
          </w:tcPr>
          <w:p>
            <w:pPr>
              <w:spacing w:after="0"/>
              <w:rPr>
                <w:sz w:val="1"/>
                <w:szCs w:val="1"/>
                <w:color w:val="auto"/>
              </w:rPr>
            </w:pPr>
          </w:p>
        </w:tc>
      </w:tr>
      <w:tr>
        <w:trPr>
          <w:trHeight w:val="364"/>
        </w:trPr>
        <w:tc>
          <w:tcPr>
            <w:tcW w:w="2480" w:type="dxa"/>
            <w:vAlign w:val="bottom"/>
            <w:gridSpan w:val="3"/>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248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INDUSTRIAL AND</w:t>
            </w: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LLOYDS BANK</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80" w:type="dxa"/>
            <w:vAlign w:val="bottom"/>
            <w:gridSpan w:val="2"/>
          </w:tcPr>
          <w:p>
            <w:pPr>
              <w:jc w:val="center"/>
              <w:ind w:right="490"/>
              <w:spacing w:after="0"/>
              <w:rPr>
                <w:sz w:val="20"/>
                <w:szCs w:val="20"/>
                <w:color w:val="auto"/>
              </w:rPr>
            </w:pPr>
            <w:r>
              <w:rPr>
                <w:rFonts w:ascii="Times New Roman" w:cs="Times New Roman" w:eastAsia="Times New Roman" w:hAnsi="Times New Roman"/>
                <w:sz w:val="18"/>
                <w:szCs w:val="18"/>
                <w:color w:val="auto"/>
                <w:w w:val="99"/>
              </w:rPr>
              <w:t>THE TORONTO DOMINION</w:t>
            </w:r>
          </w:p>
        </w:tc>
        <w:tc>
          <w:tcPr>
            <w:tcW w:w="0" w:type="dxa"/>
            <w:vAlign w:val="bottom"/>
          </w:tcPr>
          <w:p>
            <w:pPr>
              <w:spacing w:after="0"/>
              <w:rPr>
                <w:sz w:val="1"/>
                <w:szCs w:val="1"/>
                <w:color w:val="auto"/>
              </w:rPr>
            </w:pPr>
          </w:p>
        </w:tc>
      </w:tr>
      <w:tr>
        <w:trPr>
          <w:trHeight w:val="216"/>
        </w:trPr>
        <w:tc>
          <w:tcPr>
            <w:tcW w:w="4100" w:type="dxa"/>
            <w:vAlign w:val="bottom"/>
            <w:gridSpan w:val="4"/>
          </w:tcPr>
          <w:p>
            <w:pPr>
              <w:jc w:val="center"/>
              <w:ind w:right="635"/>
              <w:spacing w:after="0"/>
              <w:rPr>
                <w:sz w:val="20"/>
                <w:szCs w:val="20"/>
                <w:color w:val="auto"/>
              </w:rPr>
            </w:pPr>
            <w:r>
              <w:rPr>
                <w:rFonts w:ascii="Times New Roman" w:cs="Times New Roman" w:eastAsia="Times New Roman" w:hAnsi="Times New Roman"/>
                <w:sz w:val="18"/>
                <w:szCs w:val="18"/>
                <w:color w:val="auto"/>
              </w:rPr>
              <w:t>COMMERCIAL BANK OF</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7"/>
              </w:rPr>
              <w:t>CORPORATE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80" w:type="dxa"/>
            <w:vAlign w:val="bottom"/>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BANK, NEW YORK</w:t>
            </w:r>
          </w:p>
        </w:tc>
        <w:tc>
          <w:tcPr>
            <w:tcW w:w="0" w:type="dxa"/>
            <w:vAlign w:val="bottom"/>
          </w:tcPr>
          <w:p>
            <w:pPr>
              <w:spacing w:after="0"/>
              <w:rPr>
                <w:sz w:val="1"/>
                <w:szCs w:val="1"/>
                <w:color w:val="auto"/>
              </w:rPr>
            </w:pPr>
          </w:p>
        </w:tc>
      </w:tr>
      <w:tr>
        <w:trPr>
          <w:trHeight w:val="216"/>
        </w:trPr>
        <w:tc>
          <w:tcPr>
            <w:tcW w:w="4100" w:type="dxa"/>
            <w:vAlign w:val="bottom"/>
            <w:gridSpan w:val="4"/>
          </w:tcPr>
          <w:p>
            <w:pPr>
              <w:jc w:val="center"/>
              <w:ind w:right="635"/>
              <w:spacing w:after="0"/>
              <w:rPr>
                <w:sz w:val="20"/>
                <w:szCs w:val="20"/>
                <w:color w:val="auto"/>
              </w:rPr>
            </w:pPr>
            <w:r>
              <w:rPr>
                <w:rFonts w:ascii="Times New Roman" w:cs="Times New Roman" w:eastAsia="Times New Roman" w:hAnsi="Times New Roman"/>
                <w:sz w:val="18"/>
                <w:szCs w:val="18"/>
                <w:color w:val="auto"/>
              </w:rPr>
              <w:t>CHINA LIMITED, NEW</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jc w:val="center"/>
              <w:ind w:left="51"/>
              <w:spacing w:after="0" w:line="216" w:lineRule="exact"/>
              <w:rPr>
                <w:sz w:val="20"/>
                <w:szCs w:val="20"/>
                <w:color w:val="auto"/>
              </w:rPr>
            </w:pPr>
            <w:r>
              <w:rPr>
                <w:rFonts w:ascii="Times New Roman" w:cs="Times New Roman" w:eastAsia="Times New Roman" w:hAnsi="Times New Roman"/>
                <w:sz w:val="17"/>
                <w:szCs w:val="17"/>
                <w:color w:val="auto"/>
              </w:rPr>
              <w:t>MARKETS PLC</w:t>
            </w:r>
            <w:r>
              <w:rPr>
                <w:rFonts w:ascii="Times New Roman" w:cs="Times New Roman" w:eastAsia="Times New Roman" w:hAnsi="Times New Roman"/>
                <w:sz w:val="25"/>
                <w:szCs w:val="25"/>
                <w:color w:val="auto"/>
                <w:vertAlign w:val="superscript"/>
              </w:rPr>
              <w:t>1,2</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80" w:type="dxa"/>
            <w:vAlign w:val="bottom"/>
            <w:gridSpan w:val="2"/>
          </w:tcPr>
          <w:p>
            <w:pPr>
              <w:jc w:val="center"/>
              <w:ind w:right="490"/>
              <w:spacing w:after="0" w:line="216" w:lineRule="exact"/>
              <w:rPr>
                <w:sz w:val="20"/>
                <w:szCs w:val="20"/>
                <w:color w:val="auto"/>
              </w:rPr>
            </w:pPr>
            <w:r>
              <w:rPr>
                <w:rFonts w:ascii="Times New Roman" w:cs="Times New Roman" w:eastAsia="Times New Roman" w:hAnsi="Times New Roman"/>
                <w:sz w:val="17"/>
                <w:szCs w:val="17"/>
                <w:color w:val="auto"/>
                <w:w w:val="98"/>
              </w:rPr>
              <w:t>BRANCH</w:t>
            </w:r>
            <w:r>
              <w:rPr>
                <w:rFonts w:ascii="Times New Roman" w:cs="Times New Roman" w:eastAsia="Times New Roman" w:hAnsi="Times New Roman"/>
                <w:sz w:val="25"/>
                <w:szCs w:val="25"/>
                <w:color w:val="auto"/>
                <w:w w:val="98"/>
                <w:vertAlign w:val="superscript"/>
              </w:rPr>
              <w:t>1,2</w:t>
            </w:r>
          </w:p>
        </w:tc>
        <w:tc>
          <w:tcPr>
            <w:tcW w:w="0" w:type="dxa"/>
            <w:vAlign w:val="bottom"/>
          </w:tcPr>
          <w:p>
            <w:pPr>
              <w:spacing w:after="0"/>
              <w:rPr>
                <w:sz w:val="1"/>
                <w:szCs w:val="1"/>
                <w:color w:val="auto"/>
              </w:rPr>
            </w:pPr>
          </w:p>
        </w:tc>
      </w:tr>
      <w:tr>
        <w:trPr>
          <w:trHeight w:val="360"/>
        </w:trPr>
        <w:tc>
          <w:tcPr>
            <w:tcW w:w="940" w:type="dxa"/>
            <w:vAlign w:val="bottom"/>
          </w:tcPr>
          <w:p>
            <w:pPr>
              <w:spacing w:after="0"/>
              <w:rPr>
                <w:sz w:val="24"/>
                <w:szCs w:val="24"/>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YORK BRANCH</w:t>
            </w:r>
            <w:r>
              <w:rPr>
                <w:rFonts w:ascii="Times New Roman" w:cs="Times New Roman" w:eastAsia="Times New Roman" w:hAnsi="Times New Roman"/>
                <w:sz w:val="26"/>
                <w:szCs w:val="26"/>
                <w:color w:val="auto"/>
                <w:w w:val="97"/>
                <w:vertAlign w:val="superscript"/>
              </w:rPr>
              <w:t>1,2</w:t>
            </w: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100" w:type="dxa"/>
            <w:vAlign w:val="bottom"/>
            <w:gridSpan w:val="4"/>
          </w:tcPr>
          <w:p>
            <w:pPr>
              <w:jc w:val="center"/>
              <w:ind w:right="635"/>
              <w:spacing w:after="0"/>
              <w:rPr>
                <w:sz w:val="20"/>
                <w:szCs w:val="20"/>
                <w:color w:val="auto"/>
              </w:rPr>
            </w:pPr>
            <w:r>
              <w:rPr>
                <w:rFonts w:ascii="Times New Roman" w:cs="Times New Roman" w:eastAsia="Times New Roman" w:hAnsi="Times New Roman"/>
                <w:sz w:val="18"/>
                <w:szCs w:val="18"/>
                <w:i w:val="1"/>
                <w:iCs w:val="1"/>
                <w:color w:val="auto"/>
                <w:w w:val="99"/>
              </w:rPr>
              <w:t>as Asian Pacific Regional</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jc w:val="center"/>
              <w:ind w:left="51"/>
              <w:spacing w:after="0"/>
              <w:rPr>
                <w:sz w:val="20"/>
                <w:szCs w:val="20"/>
                <w:color w:val="auto"/>
              </w:rPr>
            </w:pPr>
            <w:r>
              <w:rPr>
                <w:rFonts w:ascii="Times New Roman" w:cs="Times New Roman" w:eastAsia="Times New Roman" w:hAnsi="Times New Roman"/>
                <w:sz w:val="18"/>
                <w:szCs w:val="18"/>
                <w:i w:val="1"/>
                <w:iCs w:val="1"/>
                <w:color w:val="auto"/>
                <w:w w:val="99"/>
              </w:rPr>
              <w:t>as European Regional</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80" w:type="dxa"/>
            <w:vAlign w:val="bottom"/>
            <w:gridSpan w:val="2"/>
          </w:tcPr>
          <w:p>
            <w:pPr>
              <w:jc w:val="center"/>
              <w:ind w:right="490"/>
              <w:spacing w:after="0"/>
              <w:rPr>
                <w:sz w:val="20"/>
                <w:szCs w:val="20"/>
                <w:color w:val="auto"/>
              </w:rPr>
            </w:pPr>
            <w:r>
              <w:rPr>
                <w:rFonts w:ascii="Times New Roman" w:cs="Times New Roman" w:eastAsia="Times New Roman" w:hAnsi="Times New Roman"/>
                <w:sz w:val="18"/>
                <w:szCs w:val="18"/>
                <w:i w:val="1"/>
                <w:iCs w:val="1"/>
                <w:color w:val="auto"/>
                <w:w w:val="99"/>
              </w:rPr>
              <w:t>as North American Regional</w:t>
            </w:r>
          </w:p>
        </w:tc>
        <w:tc>
          <w:tcPr>
            <w:tcW w:w="0" w:type="dxa"/>
            <w:vAlign w:val="bottom"/>
          </w:tcPr>
          <w:p>
            <w:pPr>
              <w:spacing w:after="0"/>
              <w:rPr>
                <w:sz w:val="1"/>
                <w:szCs w:val="1"/>
                <w:color w:val="auto"/>
              </w:rPr>
            </w:pPr>
          </w:p>
        </w:tc>
      </w:tr>
      <w:tr>
        <w:trPr>
          <w:trHeight w:val="236"/>
        </w:trPr>
        <w:tc>
          <w:tcPr>
            <w:tcW w:w="940" w:type="dxa"/>
            <w:vAlign w:val="bottom"/>
          </w:tcPr>
          <w:p>
            <w:pPr>
              <w:spacing w:after="0"/>
              <w:rPr>
                <w:sz w:val="20"/>
                <w:szCs w:val="20"/>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Coordinator</w:t>
            </w:r>
          </w:p>
        </w:tc>
        <w:tc>
          <w:tcPr>
            <w:tcW w:w="1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tcPr>
          <w:p>
            <w:pPr>
              <w:jc w:val="center"/>
              <w:ind w:left="51"/>
              <w:spacing w:after="0"/>
              <w:rPr>
                <w:sz w:val="20"/>
                <w:szCs w:val="20"/>
                <w:color w:val="auto"/>
              </w:rPr>
            </w:pPr>
            <w:r>
              <w:rPr>
                <w:rFonts w:ascii="Times New Roman" w:cs="Times New Roman" w:eastAsia="Times New Roman" w:hAnsi="Times New Roman"/>
                <w:sz w:val="18"/>
                <w:szCs w:val="18"/>
                <w:i w:val="1"/>
                <w:iCs w:val="1"/>
                <w:color w:val="auto"/>
                <w:w w:val="97"/>
              </w:rPr>
              <w:t>Coordinator</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80" w:type="dxa"/>
            <w:vAlign w:val="bottom"/>
            <w:gridSpan w:val="2"/>
          </w:tcPr>
          <w:p>
            <w:pPr>
              <w:jc w:val="center"/>
              <w:ind w:right="490"/>
              <w:spacing w:after="0"/>
              <w:rPr>
                <w:sz w:val="20"/>
                <w:szCs w:val="20"/>
                <w:color w:val="auto"/>
              </w:rPr>
            </w:pPr>
            <w:r>
              <w:rPr>
                <w:rFonts w:ascii="Times New Roman" w:cs="Times New Roman" w:eastAsia="Times New Roman" w:hAnsi="Times New Roman"/>
                <w:sz w:val="18"/>
                <w:szCs w:val="18"/>
                <w:i w:val="1"/>
                <w:iCs w:val="1"/>
                <w:color w:val="auto"/>
                <w:w w:val="99"/>
              </w:rPr>
              <w:t>Coordinator</w:t>
            </w:r>
          </w:p>
        </w:tc>
        <w:tc>
          <w:tcPr>
            <w:tcW w:w="0" w:type="dxa"/>
            <w:vAlign w:val="bottom"/>
          </w:tcPr>
          <w:p>
            <w:pPr>
              <w:spacing w:after="0"/>
              <w:rPr>
                <w:sz w:val="1"/>
                <w:szCs w:val="1"/>
                <w:color w:val="auto"/>
              </w:rPr>
            </w:pPr>
          </w:p>
        </w:tc>
      </w:tr>
      <w:tr>
        <w:trPr>
          <w:trHeight w:val="454"/>
        </w:trPr>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BARCLAYS</w:t>
            </w:r>
          </w:p>
        </w:tc>
        <w:tc>
          <w:tcPr>
            <w:tcW w:w="25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BANCO BILBAO</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6"/>
              </w:rPr>
              <w:t>BNP PARIBAS</w:t>
            </w:r>
            <w:r>
              <w:rPr>
                <w:rFonts w:ascii="Times New Roman" w:cs="Times New Roman" w:eastAsia="Times New Roman" w:hAnsi="Times New Roman"/>
                <w:sz w:val="26"/>
                <w:szCs w:val="26"/>
                <w:color w:val="auto"/>
                <w:w w:val="96"/>
                <w:vertAlign w:val="superscript"/>
              </w:rPr>
              <w:t>1,2</w:t>
            </w:r>
          </w:p>
        </w:tc>
        <w:tc>
          <w:tcPr>
            <w:tcW w:w="160" w:type="dxa"/>
            <w:vAlign w:val="bottom"/>
          </w:tcPr>
          <w:p>
            <w:pPr>
              <w:spacing w:after="0"/>
              <w:rPr>
                <w:sz w:val="24"/>
                <w:szCs w:val="24"/>
                <w:color w:val="auto"/>
              </w:rPr>
            </w:pPr>
          </w:p>
        </w:tc>
        <w:tc>
          <w:tcPr>
            <w:tcW w:w="144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rPr>
              <w:t>CREDIT</w:t>
            </w:r>
          </w:p>
        </w:tc>
        <w:tc>
          <w:tcPr>
            <w:tcW w:w="1080" w:type="dxa"/>
            <w:vAlign w:val="bottom"/>
          </w:tcPr>
          <w:p>
            <w:pPr>
              <w:spacing w:after="0"/>
              <w:rPr>
                <w:sz w:val="24"/>
                <w:szCs w:val="24"/>
                <w:color w:val="auto"/>
              </w:rPr>
            </w:pPr>
          </w:p>
        </w:tc>
        <w:tc>
          <w:tcPr>
            <w:tcW w:w="18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CANADIAN</w:t>
            </w:r>
          </w:p>
        </w:tc>
        <w:tc>
          <w:tcPr>
            <w:tcW w:w="0" w:type="dxa"/>
            <w:vAlign w:val="bottom"/>
          </w:tcPr>
          <w:p>
            <w:pPr>
              <w:spacing w:after="0"/>
              <w:rPr>
                <w:sz w:val="1"/>
                <w:szCs w:val="1"/>
                <w:color w:val="auto"/>
              </w:rPr>
            </w:pPr>
          </w:p>
        </w:tc>
      </w:tr>
      <w:tr>
        <w:trPr>
          <w:trHeight w:val="216"/>
        </w:trPr>
        <w:tc>
          <w:tcPr>
            <w:tcW w:w="158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17"/>
                <w:szCs w:val="17"/>
                <w:color w:val="auto"/>
                <w:w w:val="99"/>
              </w:rPr>
              <w:t>BANK PLC</w:t>
            </w:r>
            <w:r>
              <w:rPr>
                <w:rFonts w:ascii="Times New Roman" w:cs="Times New Roman" w:eastAsia="Times New Roman" w:hAnsi="Times New Roman"/>
                <w:sz w:val="25"/>
                <w:szCs w:val="25"/>
                <w:color w:val="auto"/>
                <w:w w:val="99"/>
                <w:vertAlign w:val="superscript"/>
              </w:rPr>
              <w:t>1,2</w:t>
            </w:r>
          </w:p>
        </w:tc>
        <w:tc>
          <w:tcPr>
            <w:tcW w:w="25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7"/>
              </w:rPr>
              <w:t>VIZCAYA ARGENTARIA,</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3"/>
          </w:tcPr>
          <w:p>
            <w:pPr>
              <w:jc w:val="center"/>
              <w:ind w:right="331"/>
              <w:spacing w:after="0"/>
              <w:rPr>
                <w:sz w:val="20"/>
                <w:szCs w:val="20"/>
                <w:color w:val="auto"/>
              </w:rPr>
            </w:pPr>
            <w:r>
              <w:rPr>
                <w:rFonts w:ascii="Times New Roman" w:cs="Times New Roman" w:eastAsia="Times New Roman" w:hAnsi="Times New Roman"/>
                <w:sz w:val="18"/>
                <w:szCs w:val="18"/>
                <w:color w:val="auto"/>
                <w:w w:val="99"/>
              </w:rPr>
              <w:t>AGRICOLE CORPORATE</w:t>
            </w:r>
          </w:p>
        </w:tc>
        <w:tc>
          <w:tcPr>
            <w:tcW w:w="18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IMPERIAL BANK</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5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S.A. NEW YORK</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3"/>
          </w:tcPr>
          <w:p>
            <w:pPr>
              <w:jc w:val="center"/>
              <w:ind w:right="331"/>
              <w:spacing w:after="0"/>
              <w:rPr>
                <w:sz w:val="20"/>
                <w:szCs w:val="20"/>
                <w:color w:val="auto"/>
              </w:rPr>
            </w:pPr>
            <w:r>
              <w:rPr>
                <w:rFonts w:ascii="Times New Roman" w:cs="Times New Roman" w:eastAsia="Times New Roman" w:hAnsi="Times New Roman"/>
                <w:sz w:val="18"/>
                <w:szCs w:val="18"/>
                <w:color w:val="auto"/>
                <w:w w:val="99"/>
              </w:rPr>
              <w:t>AND INVESTMENT</w:t>
            </w:r>
          </w:p>
        </w:tc>
        <w:tc>
          <w:tcPr>
            <w:tcW w:w="18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OF COMMERCE,</w:t>
            </w:r>
          </w:p>
        </w:tc>
        <w:tc>
          <w:tcPr>
            <w:tcW w:w="0" w:type="dxa"/>
            <w:vAlign w:val="bottom"/>
          </w:tcPr>
          <w:p>
            <w:pPr>
              <w:spacing w:after="0"/>
              <w:rPr>
                <w:sz w:val="1"/>
                <w:szCs w:val="1"/>
                <w:color w:val="auto"/>
              </w:rPr>
            </w:pPr>
          </w:p>
        </w:tc>
      </w:tr>
      <w:tr>
        <w:trPr>
          <w:trHeight w:val="360"/>
        </w:trPr>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jc w:val="center"/>
              <w:ind w:right="575"/>
              <w:spacing w:after="0"/>
              <w:rPr>
                <w:sz w:val="20"/>
                <w:szCs w:val="20"/>
                <w:color w:val="auto"/>
              </w:rPr>
            </w:pPr>
            <w:r>
              <w:rPr>
                <w:rFonts w:ascii="Times New Roman" w:cs="Times New Roman" w:eastAsia="Times New Roman" w:hAnsi="Times New Roman"/>
                <w:sz w:val="18"/>
                <w:szCs w:val="18"/>
                <w:color w:val="auto"/>
                <w:w w:val="95"/>
              </w:rPr>
              <w:t>BRANCH</w:t>
            </w:r>
            <w:r>
              <w:rPr>
                <w:rFonts w:ascii="Times New Roman" w:cs="Times New Roman" w:eastAsia="Times New Roman" w:hAnsi="Times New Roman"/>
                <w:sz w:val="26"/>
                <w:szCs w:val="26"/>
                <w:color w:val="auto"/>
                <w:w w:val="95"/>
                <w:vertAlign w:val="superscript"/>
              </w:rPr>
              <w:t>1,2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5"/>
              </w:rPr>
              <w:t xml:space="preserve">BANK </w:t>
            </w:r>
            <w:r>
              <w:rPr>
                <w:rFonts w:ascii="Times New Roman" w:cs="Times New Roman" w:eastAsia="Times New Roman" w:hAnsi="Times New Roman"/>
                <w:sz w:val="26"/>
                <w:szCs w:val="26"/>
                <w:color w:val="auto"/>
                <w:w w:val="95"/>
                <w:vertAlign w:val="superscript"/>
              </w:rPr>
              <w:t>1,2</w:t>
            </w:r>
          </w:p>
        </w:tc>
        <w:tc>
          <w:tcPr>
            <w:tcW w:w="2880" w:type="dxa"/>
            <w:vAlign w:val="bottom"/>
            <w:gridSpan w:val="2"/>
          </w:tcPr>
          <w:p>
            <w:pPr>
              <w:jc w:val="center"/>
              <w:ind w:left="751"/>
              <w:spacing w:after="0"/>
              <w:rPr>
                <w:sz w:val="20"/>
                <w:szCs w:val="20"/>
                <w:color w:val="auto"/>
              </w:rPr>
            </w:pPr>
            <w:r>
              <w:rPr>
                <w:rFonts w:ascii="Times New Roman" w:cs="Times New Roman" w:eastAsia="Times New Roman" w:hAnsi="Times New Roman"/>
                <w:sz w:val="18"/>
                <w:szCs w:val="18"/>
                <w:color w:val="auto"/>
                <w:w w:val="97"/>
              </w:rPr>
              <w:t>NEW YORK BRANCH</w:t>
            </w:r>
            <w:r>
              <w:rPr>
                <w:rFonts w:ascii="Times New Roman" w:cs="Times New Roman" w:eastAsia="Times New Roman" w:hAnsi="Times New Roman"/>
                <w:sz w:val="26"/>
                <w:szCs w:val="26"/>
                <w:color w:val="auto"/>
                <w:w w:val="97"/>
                <w:vertAlign w:val="superscript"/>
              </w:rPr>
              <w:t>1,2</w:t>
            </w:r>
          </w:p>
        </w:tc>
        <w:tc>
          <w:tcPr>
            <w:tcW w:w="0" w:type="dxa"/>
            <w:vAlign w:val="bottom"/>
          </w:tcPr>
          <w:p>
            <w:pPr>
              <w:spacing w:after="0"/>
              <w:rPr>
                <w:sz w:val="1"/>
                <w:szCs w:val="1"/>
                <w:color w:val="auto"/>
              </w:rPr>
            </w:pPr>
          </w:p>
        </w:tc>
      </w:tr>
      <w:tr>
        <w:trPr>
          <w:trHeight w:val="301"/>
        </w:trPr>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DEUTSCHE BANK</w:t>
            </w:r>
          </w:p>
        </w:tc>
        <w:tc>
          <w:tcPr>
            <w:tcW w:w="900" w:type="dxa"/>
            <w:vAlign w:val="bottom"/>
          </w:tcPr>
          <w:p>
            <w:pPr>
              <w:spacing w:after="0"/>
              <w:rPr>
                <w:sz w:val="24"/>
                <w:szCs w:val="24"/>
                <w:color w:val="auto"/>
              </w:rPr>
            </w:pPr>
          </w:p>
        </w:tc>
        <w:tc>
          <w:tcPr>
            <w:tcW w:w="1620" w:type="dxa"/>
            <w:vAlign w:val="bottom"/>
          </w:tcPr>
          <w:p>
            <w:pPr>
              <w:jc w:val="center"/>
              <w:ind w:right="575"/>
              <w:spacing w:after="0"/>
              <w:rPr>
                <w:sz w:val="20"/>
                <w:szCs w:val="20"/>
                <w:color w:val="auto"/>
              </w:rPr>
            </w:pPr>
            <w:r>
              <w:rPr>
                <w:rFonts w:ascii="Times New Roman" w:cs="Times New Roman" w:eastAsia="Times New Roman" w:hAnsi="Times New Roman"/>
                <w:sz w:val="18"/>
                <w:szCs w:val="18"/>
                <w:color w:val="auto"/>
                <w:w w:val="99"/>
              </w:rPr>
              <w:t>GOLDMAN</w:t>
            </w: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BANK OF AMERICA, N.A.1</w:t>
            </w:r>
          </w:p>
        </w:tc>
        <w:tc>
          <w:tcPr>
            <w:tcW w:w="160" w:type="dxa"/>
            <w:vAlign w:val="bottom"/>
          </w:tcPr>
          <w:p>
            <w:pPr>
              <w:spacing w:after="0"/>
              <w:rPr>
                <w:sz w:val="24"/>
                <w:szCs w:val="24"/>
                <w:color w:val="auto"/>
              </w:rPr>
            </w:pPr>
          </w:p>
        </w:tc>
        <w:tc>
          <w:tcPr>
            <w:tcW w:w="2520" w:type="dxa"/>
            <w:vAlign w:val="bottom"/>
            <w:gridSpan w:val="3"/>
          </w:tcPr>
          <w:p>
            <w:pPr>
              <w:jc w:val="center"/>
              <w:ind w:right="331"/>
              <w:spacing w:after="0"/>
              <w:rPr>
                <w:sz w:val="20"/>
                <w:szCs w:val="20"/>
                <w:color w:val="auto"/>
              </w:rPr>
            </w:pPr>
            <w:r>
              <w:rPr>
                <w:rFonts w:ascii="Times New Roman" w:cs="Times New Roman" w:eastAsia="Times New Roman" w:hAnsi="Times New Roman"/>
                <w:sz w:val="18"/>
                <w:szCs w:val="18"/>
                <w:color w:val="auto"/>
                <w:w w:val="96"/>
              </w:rPr>
              <w:t>MIZUHO BANK, LTD.</w:t>
            </w:r>
            <w:r>
              <w:rPr>
                <w:rFonts w:ascii="Times New Roman" w:cs="Times New Roman" w:eastAsia="Times New Roman" w:hAnsi="Times New Roman"/>
                <w:sz w:val="26"/>
                <w:szCs w:val="26"/>
                <w:color w:val="auto"/>
                <w:w w:val="96"/>
                <w:vertAlign w:val="superscript"/>
              </w:rPr>
              <w:t>1,2</w:t>
            </w:r>
          </w:p>
        </w:tc>
        <w:tc>
          <w:tcPr>
            <w:tcW w:w="18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MORGAN</w:t>
            </w:r>
          </w:p>
        </w:tc>
        <w:tc>
          <w:tcPr>
            <w:tcW w:w="0" w:type="dxa"/>
            <w:vAlign w:val="bottom"/>
          </w:tcPr>
          <w:p>
            <w:pPr>
              <w:spacing w:after="0"/>
              <w:rPr>
                <w:sz w:val="1"/>
                <w:szCs w:val="1"/>
                <w:color w:val="auto"/>
              </w:rPr>
            </w:pPr>
          </w:p>
        </w:tc>
      </w:tr>
      <w:tr>
        <w:trPr>
          <w:trHeight w:val="216"/>
        </w:trPr>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SECURITIES</w:t>
            </w:r>
          </w:p>
        </w:tc>
        <w:tc>
          <w:tcPr>
            <w:tcW w:w="25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SACHS BANK</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STANLEY</w:t>
            </w:r>
          </w:p>
        </w:tc>
        <w:tc>
          <w:tcPr>
            <w:tcW w:w="0" w:type="dxa"/>
            <w:vAlign w:val="bottom"/>
          </w:tcPr>
          <w:p>
            <w:pPr>
              <w:spacing w:after="0"/>
              <w:rPr>
                <w:sz w:val="1"/>
                <w:szCs w:val="1"/>
                <w:color w:val="auto"/>
              </w:rPr>
            </w:pPr>
          </w:p>
        </w:tc>
      </w:tr>
      <w:tr>
        <w:trPr>
          <w:trHeight w:val="216"/>
        </w:trPr>
        <w:tc>
          <w:tcPr>
            <w:tcW w:w="158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17"/>
                <w:szCs w:val="17"/>
                <w:color w:val="auto"/>
                <w:w w:val="95"/>
              </w:rPr>
              <w:t>INC.</w:t>
            </w:r>
            <w:r>
              <w:rPr>
                <w:rFonts w:ascii="Times New Roman" w:cs="Times New Roman" w:eastAsia="Times New Roman" w:hAnsi="Times New Roman"/>
                <w:sz w:val="25"/>
                <w:szCs w:val="25"/>
                <w:color w:val="auto"/>
                <w:w w:val="95"/>
                <w:vertAlign w:val="superscript"/>
              </w:rPr>
              <w:t>1,2</w:t>
            </w:r>
          </w:p>
        </w:tc>
        <w:tc>
          <w:tcPr>
            <w:tcW w:w="900" w:type="dxa"/>
            <w:vAlign w:val="bottom"/>
          </w:tcPr>
          <w:p>
            <w:pPr>
              <w:spacing w:after="0"/>
              <w:rPr>
                <w:sz w:val="18"/>
                <w:szCs w:val="18"/>
                <w:color w:val="auto"/>
              </w:rPr>
            </w:pPr>
          </w:p>
        </w:tc>
        <w:tc>
          <w:tcPr>
            <w:tcW w:w="1620" w:type="dxa"/>
            <w:vAlign w:val="bottom"/>
          </w:tcPr>
          <w:p>
            <w:pPr>
              <w:jc w:val="center"/>
              <w:ind w:right="555"/>
              <w:spacing w:after="0" w:line="216" w:lineRule="exact"/>
              <w:rPr>
                <w:sz w:val="20"/>
                <w:szCs w:val="20"/>
                <w:color w:val="auto"/>
              </w:rPr>
            </w:pPr>
            <w:r>
              <w:rPr>
                <w:rFonts w:ascii="Times New Roman" w:cs="Times New Roman" w:eastAsia="Times New Roman" w:hAnsi="Times New Roman"/>
                <w:sz w:val="25"/>
                <w:szCs w:val="25"/>
                <w:color w:val="auto"/>
                <w:vertAlign w:val="subscript"/>
              </w:rPr>
              <w:t>USA</w:t>
            </w:r>
            <w:r>
              <w:rPr>
                <w:rFonts w:ascii="Times New Roman" w:cs="Times New Roman" w:eastAsia="Times New Roman" w:hAnsi="Times New Roman"/>
                <w:sz w:val="11"/>
                <w:szCs w:val="11"/>
                <w:color w:val="auto"/>
              </w:rPr>
              <w:t>1,2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SENIOR</w:t>
            </w:r>
          </w:p>
        </w:tc>
        <w:tc>
          <w:tcPr>
            <w:tcW w:w="0" w:type="dxa"/>
            <w:vAlign w:val="bottom"/>
          </w:tcPr>
          <w:p>
            <w:pPr>
              <w:spacing w:after="0"/>
              <w:rPr>
                <w:sz w:val="1"/>
                <w:szCs w:val="1"/>
                <w:color w:val="auto"/>
              </w:rPr>
            </w:pPr>
          </w:p>
        </w:tc>
      </w:tr>
      <w:tr>
        <w:trPr>
          <w:trHeight w:val="360"/>
        </w:trPr>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6"/>
              </w:rPr>
              <w:t>FUNDING, INC.</w:t>
            </w:r>
            <w:r>
              <w:rPr>
                <w:rFonts w:ascii="Times New Roman" w:cs="Times New Roman" w:eastAsia="Times New Roman" w:hAnsi="Times New Roman"/>
                <w:sz w:val="26"/>
                <w:szCs w:val="26"/>
                <w:color w:val="auto"/>
                <w:w w:val="96"/>
                <w:vertAlign w:val="superscript"/>
              </w:rPr>
              <w:t>1,2</w:t>
            </w:r>
          </w:p>
        </w:tc>
        <w:tc>
          <w:tcPr>
            <w:tcW w:w="0" w:type="dxa"/>
            <w:vAlign w:val="bottom"/>
          </w:tcPr>
          <w:p>
            <w:pPr>
              <w:spacing w:after="0"/>
              <w:rPr>
                <w:sz w:val="1"/>
                <w:szCs w:val="1"/>
                <w:color w:val="auto"/>
              </w:rPr>
            </w:pPr>
          </w:p>
        </w:tc>
      </w:tr>
      <w:tr>
        <w:trPr>
          <w:trHeight w:val="328"/>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INTESA</w:t>
            </w:r>
          </w:p>
        </w:tc>
        <w:tc>
          <w:tcPr>
            <w:tcW w:w="640" w:type="dxa"/>
            <w:vAlign w:val="bottom"/>
          </w:tcPr>
          <w:p>
            <w:pPr>
              <w:spacing w:after="0"/>
              <w:rPr>
                <w:sz w:val="24"/>
                <w:szCs w:val="24"/>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RBC</w:t>
            </w:r>
          </w:p>
        </w:tc>
        <w:tc>
          <w:tcPr>
            <w:tcW w:w="1940" w:type="dxa"/>
            <w:vAlign w:val="bottom"/>
            <w:gridSpan w:val="3"/>
          </w:tcPr>
          <w:p>
            <w:pPr>
              <w:jc w:val="center"/>
              <w:ind w:left="175"/>
              <w:spacing w:after="0"/>
              <w:rPr>
                <w:sz w:val="20"/>
                <w:szCs w:val="20"/>
                <w:color w:val="auto"/>
              </w:rPr>
            </w:pPr>
            <w:r>
              <w:rPr>
                <w:rFonts w:ascii="Times New Roman" w:cs="Times New Roman" w:eastAsia="Times New Roman" w:hAnsi="Times New Roman"/>
                <w:sz w:val="18"/>
                <w:szCs w:val="18"/>
                <w:color w:val="auto"/>
                <w:w w:val="98"/>
              </w:rPr>
              <w:t>WELLS FARGO</w:t>
            </w:r>
          </w:p>
        </w:tc>
        <w:tc>
          <w:tcPr>
            <w:tcW w:w="190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SUMITOMO</w:t>
            </w:r>
          </w:p>
        </w:tc>
        <w:tc>
          <w:tcPr>
            <w:tcW w:w="160" w:type="dxa"/>
            <w:vAlign w:val="bottom"/>
          </w:tcPr>
          <w:p>
            <w:pPr>
              <w:spacing w:after="0"/>
              <w:rPr>
                <w:sz w:val="24"/>
                <w:szCs w:val="24"/>
                <w:color w:val="auto"/>
              </w:rPr>
            </w:pPr>
          </w:p>
        </w:tc>
        <w:tc>
          <w:tcPr>
            <w:tcW w:w="9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SOCIÉTÉ</w:t>
            </w:r>
          </w:p>
        </w:tc>
        <w:tc>
          <w:tcPr>
            <w:tcW w:w="460" w:type="dxa"/>
            <w:vAlign w:val="bottom"/>
          </w:tcPr>
          <w:p>
            <w:pPr>
              <w:spacing w:after="0"/>
              <w:rPr>
                <w:sz w:val="24"/>
                <w:szCs w:val="24"/>
                <w:color w:val="auto"/>
              </w:rPr>
            </w:pPr>
          </w:p>
        </w:tc>
        <w:tc>
          <w:tcPr>
            <w:tcW w:w="10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THE</w:t>
            </w:r>
          </w:p>
        </w:tc>
        <w:tc>
          <w:tcPr>
            <w:tcW w:w="18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BANCO</w:t>
            </w: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SANPAOLO</w:t>
            </w:r>
          </w:p>
        </w:tc>
        <w:tc>
          <w:tcPr>
            <w:tcW w:w="6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CAPITAL</w:t>
            </w:r>
          </w:p>
        </w:tc>
        <w:tc>
          <w:tcPr>
            <w:tcW w:w="1940" w:type="dxa"/>
            <w:vAlign w:val="bottom"/>
            <w:gridSpan w:val="3"/>
          </w:tcPr>
          <w:p>
            <w:pPr>
              <w:jc w:val="center"/>
              <w:ind w:left="175"/>
              <w:spacing w:after="0" w:line="216" w:lineRule="exact"/>
              <w:rPr>
                <w:sz w:val="20"/>
                <w:szCs w:val="20"/>
                <w:color w:val="auto"/>
              </w:rPr>
            </w:pPr>
            <w:r>
              <w:rPr>
                <w:rFonts w:ascii="Times New Roman" w:cs="Times New Roman" w:eastAsia="Times New Roman" w:hAnsi="Times New Roman"/>
                <w:sz w:val="17"/>
                <w:szCs w:val="17"/>
                <w:color w:val="auto"/>
              </w:rPr>
              <w:t>SECURITIES, LLC</w:t>
            </w:r>
            <w:r>
              <w:rPr>
                <w:rFonts w:ascii="Times New Roman" w:cs="Times New Roman" w:eastAsia="Times New Roman" w:hAnsi="Times New Roman"/>
                <w:sz w:val="25"/>
                <w:szCs w:val="25"/>
                <w:color w:val="auto"/>
                <w:vertAlign w:val="superscript"/>
              </w:rPr>
              <w:t>1</w:t>
            </w:r>
          </w:p>
        </w:tc>
        <w:tc>
          <w:tcPr>
            <w:tcW w:w="190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rPr>
              <w:t>MITSUI BANKING</w:t>
            </w:r>
          </w:p>
        </w:tc>
        <w:tc>
          <w:tcPr>
            <w:tcW w:w="114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17"/>
                <w:szCs w:val="17"/>
                <w:color w:val="auto"/>
              </w:rPr>
              <w:t>GÉNÉRALE</w:t>
            </w:r>
            <w:r>
              <w:rPr>
                <w:rFonts w:ascii="Times New Roman" w:cs="Times New Roman" w:eastAsia="Times New Roman" w:hAnsi="Times New Roman"/>
                <w:sz w:val="25"/>
                <w:szCs w:val="25"/>
                <w:color w:val="auto"/>
                <w:vertAlign w:val="superscript"/>
              </w:rPr>
              <w:t>1,2</w:t>
            </w:r>
          </w:p>
        </w:tc>
        <w:tc>
          <w:tcPr>
            <w:tcW w:w="33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8"/>
              </w:rPr>
              <w:t>BANK OF NOVASANTANDER,</w:t>
            </w: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S.P.A., NEW</w:t>
            </w:r>
          </w:p>
        </w:tc>
        <w:tc>
          <w:tcPr>
            <w:tcW w:w="1540" w:type="dxa"/>
            <w:vAlign w:val="bottom"/>
            <w:gridSpan w:val="2"/>
          </w:tcPr>
          <w:p>
            <w:pPr>
              <w:jc w:val="center"/>
              <w:ind w:left="471"/>
              <w:spacing w:after="0" w:line="216" w:lineRule="exact"/>
              <w:rPr>
                <w:sz w:val="20"/>
                <w:szCs w:val="20"/>
                <w:color w:val="auto"/>
              </w:rPr>
            </w:pPr>
            <w:r>
              <w:rPr>
                <w:rFonts w:ascii="Times New Roman" w:cs="Times New Roman" w:eastAsia="Times New Roman" w:hAnsi="Times New Roman"/>
                <w:sz w:val="17"/>
                <w:szCs w:val="17"/>
                <w:color w:val="auto"/>
              </w:rPr>
              <w:t>MARKETS</w:t>
            </w:r>
            <w:r>
              <w:rPr>
                <w:rFonts w:ascii="Times New Roman" w:cs="Times New Roman" w:eastAsia="Times New Roman" w:hAnsi="Times New Roman"/>
                <w:sz w:val="25"/>
                <w:szCs w:val="25"/>
                <w:color w:val="auto"/>
                <w:vertAlign w:val="superscript"/>
              </w:rPr>
              <w:t>1</w:t>
            </w:r>
          </w:p>
        </w:tc>
        <w:tc>
          <w:tcPr>
            <w:tcW w:w="1940" w:type="dxa"/>
            <w:vAlign w:val="bottom"/>
            <w:gridSpan w:val="3"/>
            <w:vMerge w:val="restart"/>
          </w:tcPr>
          <w:p>
            <w:pPr>
              <w:jc w:val="center"/>
              <w:ind w:left="175"/>
              <w:spacing w:after="0"/>
              <w:rPr>
                <w:sz w:val="20"/>
                <w:szCs w:val="20"/>
                <w:color w:val="auto"/>
              </w:rPr>
            </w:pPr>
            <w:r>
              <w:rPr>
                <w:rFonts w:ascii="Times New Roman" w:cs="Times New Roman" w:eastAsia="Times New Roman" w:hAnsi="Times New Roman"/>
                <w:sz w:val="18"/>
                <w:szCs w:val="18"/>
                <w:color w:val="auto"/>
                <w:w w:val="98"/>
              </w:rPr>
              <w:t>WELLS FARGO</w:t>
            </w:r>
          </w:p>
        </w:tc>
        <w:tc>
          <w:tcPr>
            <w:tcW w:w="1900" w:type="dxa"/>
            <w:vAlign w:val="bottom"/>
          </w:tcPr>
          <w:p>
            <w:pPr>
              <w:jc w:val="center"/>
              <w:ind w:right="191"/>
              <w:spacing w:after="0" w:line="216" w:lineRule="exact"/>
              <w:rPr>
                <w:sz w:val="20"/>
                <w:szCs w:val="20"/>
                <w:color w:val="auto"/>
              </w:rPr>
            </w:pPr>
            <w:r>
              <w:rPr>
                <w:rFonts w:ascii="Times New Roman" w:cs="Times New Roman" w:eastAsia="Times New Roman" w:hAnsi="Times New Roman"/>
                <w:sz w:val="17"/>
                <w:szCs w:val="17"/>
                <w:color w:val="auto"/>
              </w:rPr>
              <w:t>CORPORATION</w:t>
            </w:r>
            <w:r>
              <w:rPr>
                <w:rFonts w:ascii="Times New Roman" w:cs="Times New Roman" w:eastAsia="Times New Roman" w:hAnsi="Times New Roman"/>
                <w:sz w:val="25"/>
                <w:szCs w:val="25"/>
                <w:color w:val="auto"/>
                <w:vertAlign w:val="superscript"/>
              </w:rPr>
              <w:t>1,2</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center"/>
              <w:ind w:left="51"/>
              <w:spacing w:after="0" w:line="216" w:lineRule="exact"/>
              <w:rPr>
                <w:sz w:val="20"/>
                <w:szCs w:val="20"/>
                <w:color w:val="auto"/>
              </w:rPr>
            </w:pPr>
            <w:r>
              <w:rPr>
                <w:rFonts w:ascii="Times New Roman" w:cs="Times New Roman" w:eastAsia="Times New Roman" w:hAnsi="Times New Roman"/>
                <w:sz w:val="17"/>
                <w:szCs w:val="17"/>
                <w:color w:val="auto"/>
                <w:w w:val="99"/>
              </w:rPr>
              <w:t>SCOTIA</w:t>
            </w:r>
            <w:r>
              <w:rPr>
                <w:rFonts w:ascii="Times New Roman" w:cs="Times New Roman" w:eastAsia="Times New Roman" w:hAnsi="Times New Roman"/>
                <w:sz w:val="25"/>
                <w:szCs w:val="25"/>
                <w:color w:val="auto"/>
                <w:w w:val="99"/>
                <w:vertAlign w:val="superscript"/>
              </w:rPr>
              <w:t>1,2</w:t>
            </w:r>
          </w:p>
        </w:tc>
        <w:tc>
          <w:tcPr>
            <w:tcW w:w="18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S.A., NEW YORK</w:t>
            </w:r>
          </w:p>
        </w:tc>
        <w:tc>
          <w:tcPr>
            <w:tcW w:w="0" w:type="dxa"/>
            <w:vAlign w:val="bottom"/>
          </w:tcPr>
          <w:p>
            <w:pPr>
              <w:spacing w:after="0"/>
              <w:rPr>
                <w:sz w:val="1"/>
                <w:szCs w:val="1"/>
                <w:color w:val="auto"/>
              </w:rPr>
            </w:pPr>
          </w:p>
        </w:tc>
      </w:tr>
      <w:tr>
        <w:trPr>
          <w:trHeight w:val="122"/>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YORK</w:t>
            </w:r>
          </w:p>
        </w:tc>
        <w:tc>
          <w:tcPr>
            <w:tcW w:w="640" w:type="dxa"/>
            <w:vAlign w:val="bottom"/>
          </w:tcPr>
          <w:p>
            <w:pPr>
              <w:spacing w:after="0"/>
              <w:rPr>
                <w:sz w:val="10"/>
                <w:szCs w:val="10"/>
                <w:color w:val="auto"/>
              </w:rPr>
            </w:pPr>
          </w:p>
        </w:tc>
        <w:tc>
          <w:tcPr>
            <w:tcW w:w="9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6"/>
              </w:rPr>
              <w:t>ROYAL</w:t>
            </w:r>
          </w:p>
        </w:tc>
        <w:tc>
          <w:tcPr>
            <w:tcW w:w="1940" w:type="dxa"/>
            <w:vAlign w:val="bottom"/>
            <w:gridSpan w:val="3"/>
            <w:vMerge w:val="continue"/>
          </w:tcPr>
          <w:p>
            <w:pPr>
              <w:spacing w:after="0"/>
              <w:rPr>
                <w:sz w:val="10"/>
                <w:szCs w:val="10"/>
                <w:color w:val="auto"/>
              </w:rPr>
            </w:pPr>
          </w:p>
        </w:tc>
        <w:tc>
          <w:tcPr>
            <w:tcW w:w="1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0" w:type="dxa"/>
            <w:vAlign w:val="bottom"/>
            <w:vMerge w:val="restart"/>
          </w:tcPr>
          <w:p>
            <w:pPr>
              <w:jc w:val="center"/>
              <w:ind w:left="330"/>
              <w:spacing w:after="0" w:line="216" w:lineRule="exact"/>
              <w:rPr>
                <w:sz w:val="20"/>
                <w:szCs w:val="20"/>
                <w:color w:val="auto"/>
              </w:rPr>
            </w:pPr>
            <w:r>
              <w:rPr>
                <w:rFonts w:ascii="Times New Roman" w:cs="Times New Roman" w:eastAsia="Times New Roman" w:hAnsi="Times New Roman"/>
                <w:sz w:val="17"/>
                <w:szCs w:val="17"/>
                <w:color w:val="auto"/>
              </w:rPr>
              <w:t xml:space="preserve">BRANCH </w:t>
            </w:r>
            <w:r>
              <w:rPr>
                <w:rFonts w:ascii="Times New Roman" w:cs="Times New Roman" w:eastAsia="Times New Roman" w:hAnsi="Times New Roman"/>
                <w:sz w:val="25"/>
                <w:szCs w:val="25"/>
                <w:color w:val="auto"/>
                <w:vertAlign w:val="superscript"/>
              </w:rPr>
              <w:t>1</w:t>
            </w:r>
          </w:p>
        </w:tc>
        <w:tc>
          <w:tcPr>
            <w:tcW w:w="0" w:type="dxa"/>
            <w:vAlign w:val="bottom"/>
          </w:tcPr>
          <w:p>
            <w:pPr>
              <w:spacing w:after="0"/>
              <w:rPr>
                <w:sz w:val="1"/>
                <w:szCs w:val="1"/>
                <w:color w:val="auto"/>
              </w:rPr>
            </w:pPr>
          </w:p>
        </w:tc>
      </w:tr>
      <w:tr>
        <w:trPr>
          <w:trHeight w:val="95"/>
        </w:trPr>
        <w:tc>
          <w:tcPr>
            <w:tcW w:w="94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620" w:type="dxa"/>
            <w:vAlign w:val="bottom"/>
            <w:vMerge w:val="restart"/>
          </w:tcPr>
          <w:p>
            <w:pPr>
              <w:jc w:val="center"/>
              <w:ind w:left="515"/>
              <w:spacing w:after="0" w:line="275" w:lineRule="exact"/>
              <w:rPr>
                <w:sz w:val="20"/>
                <w:szCs w:val="20"/>
                <w:color w:val="auto"/>
              </w:rPr>
            </w:pPr>
            <w:r>
              <w:rPr>
                <w:rFonts w:ascii="Times New Roman" w:cs="Times New Roman" w:eastAsia="Times New Roman" w:hAnsi="Times New Roman"/>
                <w:sz w:val="18"/>
                <w:szCs w:val="18"/>
                <w:color w:val="auto"/>
                <w:w w:val="98"/>
              </w:rPr>
              <w:t>BANK, N.A.</w:t>
            </w:r>
            <w:r>
              <w:rPr>
                <w:rFonts w:ascii="Times New Roman" w:cs="Times New Roman" w:eastAsia="Times New Roman" w:hAnsi="Times New Roman"/>
                <w:sz w:val="26"/>
                <w:szCs w:val="26"/>
                <w:color w:val="auto"/>
                <w:w w:val="98"/>
                <w:vertAlign w:val="superscript"/>
              </w:rPr>
              <w:t>2</w:t>
            </w: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940" w:type="dxa"/>
            <w:vAlign w:val="bottom"/>
            <w:vMerge w:val="restart"/>
          </w:tcPr>
          <w:p>
            <w:pPr>
              <w:jc w:val="center"/>
              <w:spacing w:after="0" w:line="236" w:lineRule="exact"/>
              <w:rPr>
                <w:sz w:val="20"/>
                <w:szCs w:val="20"/>
                <w:color w:val="auto"/>
              </w:rPr>
            </w:pPr>
            <w:r>
              <w:rPr>
                <w:rFonts w:ascii="Times New Roman" w:cs="Times New Roman" w:eastAsia="Times New Roman" w:hAnsi="Times New Roman"/>
                <w:sz w:val="18"/>
                <w:szCs w:val="18"/>
                <w:color w:val="auto"/>
                <w:w w:val="97"/>
              </w:rPr>
              <w:t>BRANCH</w:t>
            </w:r>
            <w:r>
              <w:rPr>
                <w:rFonts w:ascii="Times New Roman" w:cs="Times New Roman" w:eastAsia="Times New Roman" w:hAnsi="Times New Roman"/>
                <w:sz w:val="26"/>
                <w:szCs w:val="26"/>
                <w:color w:val="auto"/>
                <w:w w:val="97"/>
                <w:vertAlign w:val="superscript"/>
              </w:rPr>
              <w:t>1</w:t>
            </w:r>
          </w:p>
        </w:tc>
        <w:tc>
          <w:tcPr>
            <w:tcW w:w="640" w:type="dxa"/>
            <w:vAlign w:val="bottom"/>
          </w:tcPr>
          <w:p>
            <w:pPr>
              <w:spacing w:after="0"/>
              <w:rPr>
                <w:sz w:val="15"/>
                <w:szCs w:val="15"/>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BANK OF</w:t>
            </w:r>
          </w:p>
        </w:tc>
        <w:tc>
          <w:tcPr>
            <w:tcW w:w="16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9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1580"/>
        <w:spacing w:after="0"/>
        <w:rPr>
          <w:sz w:val="20"/>
          <w:szCs w:val="20"/>
          <w:color w:val="auto"/>
        </w:rPr>
      </w:pPr>
      <w:r>
        <w:rPr>
          <w:rFonts w:ascii="Times New Roman" w:cs="Times New Roman" w:eastAsia="Times New Roman" w:hAnsi="Times New Roman"/>
          <w:sz w:val="18"/>
          <w:szCs w:val="18"/>
          <w:color w:val="auto"/>
        </w:rPr>
        <w:t>CANADA</w:t>
      </w:r>
      <w:r>
        <w:rPr>
          <w:rFonts w:ascii="Times New Roman" w:cs="Times New Roman" w:eastAsia="Times New Roman" w:hAnsi="Times New Roman"/>
          <w:sz w:val="26"/>
          <w:szCs w:val="26"/>
          <w:color w:val="auto"/>
          <w:vertAlign w:val="superscript"/>
        </w:rPr>
        <w:t>2</w:t>
      </w:r>
    </w:p>
    <w:p>
      <w:pPr>
        <w:spacing w:after="0" w:line="1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As Joint Bookrunners and Joint Lead Arrangers when noted ( </w:t>
      </w:r>
      <w:r>
        <w:rPr>
          <w:rFonts w:ascii="Times New Roman" w:cs="Times New Roman" w:eastAsia="Times New Roman" w:hAnsi="Times New Roman"/>
          <w:sz w:val="26"/>
          <w:szCs w:val="26"/>
          <w:i w:val="1"/>
          <w:iCs w:val="1"/>
          <w:color w:val="auto"/>
          <w:vertAlign w:val="superscript"/>
        </w:rPr>
        <w:t>1</w:t>
      </w:r>
      <w:r>
        <w:rPr>
          <w:rFonts w:ascii="Times New Roman" w:cs="Times New Roman" w:eastAsia="Times New Roman" w:hAnsi="Times New Roman"/>
          <w:sz w:val="18"/>
          <w:szCs w:val="18"/>
          <w:i w:val="1"/>
          <w:iCs w:val="1"/>
          <w:color w:val="auto"/>
        </w:rPr>
        <w:t xml:space="preserve"> ) and as Documentation Agents when noted ( </w:t>
      </w:r>
      <w:r>
        <w:rPr>
          <w:rFonts w:ascii="Times New Roman" w:cs="Times New Roman" w:eastAsia="Times New Roman" w:hAnsi="Times New Roman"/>
          <w:sz w:val="26"/>
          <w:szCs w:val="26"/>
          <w:i w:val="1"/>
          <w:iCs w:val="1"/>
          <w:color w:val="auto"/>
          <w:vertAlign w:val="superscript"/>
        </w:rPr>
        <w:t>2</w:t>
      </w:r>
      <w:r>
        <w:rPr>
          <w:rFonts w:ascii="Times New Roman" w:cs="Times New Roman" w:eastAsia="Times New Roman" w:hAnsi="Times New Roman"/>
          <w:sz w:val="18"/>
          <w:szCs w:val="18"/>
          <w:i w:val="1"/>
          <w:iCs w:val="1"/>
          <w:color w:val="auto"/>
        </w:rPr>
        <w:t xml:space="preserve"> )</w:t>
      </w:r>
    </w:p>
    <w:p>
      <w:pPr>
        <w:sectPr>
          <w:pgSz w:w="11900" w:h="16838" w:orient="portrait"/>
          <w:cols w:equalWidth="0" w:num="1">
            <w:col w:w="10840"/>
          </w:cols>
          <w:pgMar w:left="620" w:top="117"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78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80" w:type="dxa"/>
            <w:vAlign w:val="bottom"/>
          </w:tcPr>
          <w:p>
            <w:pPr>
              <w:spacing w:after="0"/>
              <w:rPr>
                <w:sz w:val="20"/>
                <w:szCs w:val="20"/>
                <w:color w:val="auto"/>
              </w:rPr>
            </w:pPr>
          </w:p>
        </w:tc>
      </w:tr>
      <w:tr>
        <w:trPr>
          <w:trHeight w:val="408"/>
        </w:trPr>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 DEFINITIONS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38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Defined Terms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Definitional Provisions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1.3</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Conversion of Foreign Currencies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3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1.4</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Interpretive Provisions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3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1.5</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Rates; Benchmark Notification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380" w:type="dxa"/>
            <w:vAlign w:val="bottom"/>
          </w:tcPr>
          <w:p>
            <w:pPr>
              <w:spacing w:after="0"/>
              <w:rPr>
                <w:sz w:val="20"/>
                <w:szCs w:val="20"/>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Divisions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 AMOUNT AND TERMS OF COMMITMENTS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06"/>
        </w:trPr>
        <w:tc>
          <w:tcPr>
            <w:tcW w:w="38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Commitments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3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Procedure for Borrowing</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3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2.3</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2.5</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2.6</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2.7</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2.8</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2.9</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2.10</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Facility Fees, etc.</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2.11</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and Reduction of Commitments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2.12</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Optional Prepayments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2.13</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3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2.14</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Conversion and Continuation Options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3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2.15</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Limitations on Term Benchmark Tranches and Daily Simple SOFR Borrowings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3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2.16</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Rates and Payment Dates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3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2.17</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Computation of Interest and Fees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3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2.18</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Alternate Rate of Interest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3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2.19</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 Rata Treatment and Payments; Evidence of Debt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3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2.20</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Requirements of Law</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3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2.21</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3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2.22</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3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2.23</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of Applicable Lending Office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3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2.24</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Replacement/Termination of Lenders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3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2.25</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Defaulting Lender</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3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2.26</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Reallocation of Payments for the Account of Defaulting Lenders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3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2.27</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Incremental Commitments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380" w:type="dxa"/>
            <w:vAlign w:val="bottom"/>
          </w:tcPr>
          <w:p>
            <w:pPr>
              <w:spacing w:after="0"/>
              <w:rPr>
                <w:sz w:val="20"/>
                <w:szCs w:val="20"/>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2.28</w:t>
            </w:r>
          </w:p>
        </w:tc>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 Loan Conversion; Repayment of Converted Term Loans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3. [RESERVED]</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64"/>
        </w:trPr>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78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i</w:t>
            </w:r>
          </w:p>
        </w:tc>
        <w:tc>
          <w:tcPr>
            <w:tcW w:w="2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 w:name="page6"/>
    <w:bookmarkEnd w:id="5"/>
    <w:tbl>
      <w:tblPr>
        <w:tblLayout w:type="fixed"/>
        <w:tblInd w:w="0" w:type="dxa"/>
        <w:tblCellMar>
          <w:top w:w="0" w:type="dxa"/>
          <w:left w:w="0" w:type="dxa"/>
          <w:bottom w:w="0" w:type="dxa"/>
          <w:right w:w="0" w:type="dxa"/>
        </w:tblCellMar>
      </w:tblPr>
      <w:tr>
        <w:trPr>
          <w:trHeight w:val="234"/>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 REPRESENTATIONS AND WARRANTIES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06"/>
        </w:trPr>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4.1</w:t>
            </w:r>
          </w:p>
        </w:tc>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Condition</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4.2</w:t>
            </w:r>
          </w:p>
        </w:tc>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Change</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4.3</w:t>
            </w:r>
          </w:p>
        </w:tc>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Existence</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4.4</w:t>
            </w:r>
          </w:p>
        </w:tc>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Power; Authorization; Enforceable Obligations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4.5</w:t>
            </w:r>
          </w:p>
        </w:tc>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Legal Bar</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4.6</w:t>
            </w:r>
          </w:p>
        </w:tc>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Litigation</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4.7</w:t>
            </w:r>
          </w:p>
        </w:tc>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Default</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4.8</w:t>
            </w:r>
          </w:p>
        </w:tc>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Ownership of Property</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4.9</w:t>
            </w:r>
          </w:p>
        </w:tc>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Intellectual Property</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4.10</w:t>
            </w:r>
          </w:p>
        </w:tc>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Federal Regulations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       4.11</w:t>
            </w:r>
          </w:p>
        </w:tc>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ERISA</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4.12</w:t>
            </w:r>
          </w:p>
        </w:tc>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 Company Act</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4.13</w:t>
            </w:r>
          </w:p>
        </w:tc>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Ownership of the Subsidiary Borrowers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4.14</w:t>
            </w:r>
          </w:p>
        </w:tc>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Use of Proceeds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4.15</w:t>
            </w:r>
          </w:p>
        </w:tc>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Anti-Corruption Laws and Sanctions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 CONDITIONS PRECEDENT</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06"/>
        </w:trPr>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5.1</w:t>
            </w:r>
          </w:p>
        </w:tc>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to Closing Date</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5.2</w:t>
            </w:r>
          </w:p>
        </w:tc>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to Each Extension of Credit</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 AFFIRMATIVE COVENANTS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06"/>
        </w:trPr>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6.1</w:t>
            </w:r>
          </w:p>
        </w:tc>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Statements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6.2</w:t>
            </w:r>
          </w:p>
        </w:tc>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Compliance Certificates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6.3</w:t>
            </w:r>
          </w:p>
        </w:tc>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Maintenance of Business; Existence</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6.4</w:t>
            </w:r>
          </w:p>
        </w:tc>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Maintenance of Insurance</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6.5</w:t>
            </w:r>
          </w:p>
        </w:tc>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6.6</w:t>
            </w:r>
          </w:p>
        </w:tc>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Guarantors, etc.</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6.7</w:t>
            </w:r>
          </w:p>
        </w:tc>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Books and Records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6.8</w:t>
            </w:r>
          </w:p>
        </w:tc>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Ratings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 NEGATIVE COVENANTS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06"/>
        </w:trPr>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7.1</w:t>
            </w:r>
          </w:p>
        </w:tc>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Minimum Liquidity</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7.2</w:t>
            </w:r>
          </w:p>
        </w:tc>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Indebtedness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7.3</w:t>
            </w:r>
          </w:p>
        </w:tc>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Asset Sale Restrictions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7.4</w:t>
            </w:r>
          </w:p>
        </w:tc>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Fundamental Changes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4"/>
        </w:trPr>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7.5</w:t>
            </w:r>
          </w:p>
        </w:tc>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Anti-Corruption Laws and Sanctions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 EVENTS OF DEFAULT</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 THE AGENTS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06"/>
        </w:trPr>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9.1</w:t>
            </w:r>
          </w:p>
        </w:tc>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Appointment</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9.2</w:t>
            </w:r>
          </w:p>
        </w:tc>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Delegation of Duties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9.3</w:t>
            </w:r>
          </w:p>
        </w:tc>
        <w:tc>
          <w:tcPr>
            <w:tcW w:w="9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Exculpatory Provisions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8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9.4</w:t>
            </w:r>
          </w:p>
        </w:tc>
        <w:tc>
          <w:tcPr>
            <w:tcW w:w="9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8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9.5</w:t>
            </w:r>
          </w:p>
        </w:tc>
        <w:tc>
          <w:tcPr>
            <w:tcW w:w="9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 of Default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38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9.6</w:t>
            </w:r>
          </w:p>
        </w:tc>
        <w:tc>
          <w:tcPr>
            <w:tcW w:w="9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Non-Reliance on Agents and Other Lenders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38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9.7</w:t>
            </w:r>
          </w:p>
        </w:tc>
        <w:tc>
          <w:tcPr>
            <w:tcW w:w="9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Indemnification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38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9.8</w:t>
            </w:r>
          </w:p>
        </w:tc>
        <w:tc>
          <w:tcPr>
            <w:tcW w:w="9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Administrative Agent in Its Individual Capacity</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9.9</w:t>
            </w:r>
          </w:p>
        </w:tc>
        <w:tc>
          <w:tcPr>
            <w:tcW w:w="9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Successor Administrative Agent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38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9.10</w:t>
            </w:r>
          </w:p>
        </w:tc>
        <w:tc>
          <w:tcPr>
            <w:tcW w:w="9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38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9.11</w:t>
            </w:r>
          </w:p>
        </w:tc>
        <w:tc>
          <w:tcPr>
            <w:tcW w:w="9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Bookrunners, Lead Arrangers, Global and Regional Coordinators, Documentation Agents, and Syndication Agent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38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9.12</w:t>
            </w:r>
          </w:p>
        </w:tc>
        <w:tc>
          <w:tcPr>
            <w:tcW w:w="9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Certain ERISA Matters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38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9.13</w:t>
            </w:r>
          </w:p>
        </w:tc>
        <w:tc>
          <w:tcPr>
            <w:tcW w:w="9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Acknowledgements of Lenders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4"/>
        </w:trPr>
        <w:tc>
          <w:tcPr>
            <w:tcW w:w="38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9.14</w:t>
            </w:r>
          </w:p>
        </w:tc>
        <w:tc>
          <w:tcPr>
            <w:tcW w:w="9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Borrower Communications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 MISCELLANEOUS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06"/>
        </w:trPr>
        <w:tc>
          <w:tcPr>
            <w:tcW w:w="380" w:type="dxa"/>
            <w:vAlign w:val="bottom"/>
          </w:tcPr>
          <w:p>
            <w:pPr>
              <w:spacing w:after="0"/>
              <w:rPr>
                <w:sz w:val="24"/>
                <w:szCs w:val="24"/>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9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Amendments and Waivers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38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w:t>
            </w:r>
          </w:p>
        </w:tc>
        <w:tc>
          <w:tcPr>
            <w:tcW w:w="9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38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w:t>
            </w:r>
          </w:p>
        </w:tc>
        <w:tc>
          <w:tcPr>
            <w:tcW w:w="9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Waiver; Cumulative Remedies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38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w:t>
            </w:r>
          </w:p>
        </w:tc>
        <w:tc>
          <w:tcPr>
            <w:tcW w:w="9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38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10.5</w:t>
            </w:r>
          </w:p>
        </w:tc>
        <w:tc>
          <w:tcPr>
            <w:tcW w:w="9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 of Expenses; Limitation of Liability; Indemnity</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38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10.6</w:t>
            </w:r>
          </w:p>
        </w:tc>
        <w:tc>
          <w:tcPr>
            <w:tcW w:w="9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Successors and Assigns; Participations and Assignments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38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10.7</w:t>
            </w:r>
          </w:p>
        </w:tc>
        <w:tc>
          <w:tcPr>
            <w:tcW w:w="9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38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10.8</w:t>
            </w:r>
          </w:p>
        </w:tc>
        <w:tc>
          <w:tcPr>
            <w:tcW w:w="9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Counterparts; Electronic Execution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38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10.9</w:t>
            </w:r>
          </w:p>
        </w:tc>
        <w:tc>
          <w:tcPr>
            <w:tcW w:w="9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Severability</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38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10.10</w:t>
            </w:r>
          </w:p>
        </w:tc>
        <w:tc>
          <w:tcPr>
            <w:tcW w:w="9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Integration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38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10.11</w:t>
            </w:r>
          </w:p>
        </w:tc>
        <w:tc>
          <w:tcPr>
            <w:tcW w:w="9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GOVERNING LAW</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38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10.12</w:t>
            </w:r>
          </w:p>
        </w:tc>
        <w:tc>
          <w:tcPr>
            <w:tcW w:w="9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Submission to Jurisdiction; Waivers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38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10.13</w:t>
            </w:r>
          </w:p>
        </w:tc>
        <w:tc>
          <w:tcPr>
            <w:tcW w:w="9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Judgment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38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10.14</w:t>
            </w:r>
          </w:p>
        </w:tc>
        <w:tc>
          <w:tcPr>
            <w:tcW w:w="9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Acknowledgments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38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10.15</w:t>
            </w:r>
          </w:p>
        </w:tc>
        <w:tc>
          <w:tcPr>
            <w:tcW w:w="9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Releases of Guarantees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38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10.16</w:t>
            </w:r>
          </w:p>
        </w:tc>
        <w:tc>
          <w:tcPr>
            <w:tcW w:w="9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Confidentiality</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38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10.17</w:t>
            </w:r>
          </w:p>
        </w:tc>
        <w:tc>
          <w:tcPr>
            <w:tcW w:w="9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WAIVERS OF JURY TRIAL</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38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10.18</w:t>
            </w:r>
          </w:p>
        </w:tc>
        <w:tc>
          <w:tcPr>
            <w:tcW w:w="9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USA Patriot Act and the Beneficial Ownership Regulation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38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10.19</w:t>
            </w:r>
          </w:p>
        </w:tc>
        <w:tc>
          <w:tcPr>
            <w:tcW w:w="9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Novation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38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10.20</w:t>
            </w:r>
          </w:p>
        </w:tc>
        <w:tc>
          <w:tcPr>
            <w:tcW w:w="9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38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10.21</w:t>
            </w:r>
          </w:p>
        </w:tc>
        <w:tc>
          <w:tcPr>
            <w:tcW w:w="9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4"/>
        </w:trPr>
        <w:tc>
          <w:tcPr>
            <w:tcW w:w="38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10.22</w:t>
            </w:r>
          </w:p>
        </w:tc>
        <w:tc>
          <w:tcPr>
            <w:tcW w:w="9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Rate Limitations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auto"/>
        </w:rPr>
        <w:t>SCHEDULES: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Commitments; Scheme Reference Number and Jurisdiction of Tax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-420370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Excluded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Pricing Grid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Liens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Excluded Subsidiary Businesses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Litigation</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Guarantee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Incremental Loan Activation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Closing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Assignment and Assumption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Borrower Joinder Agreement</w:t>
      </w:r>
    </w:p>
    <w:p>
      <w:pPr>
        <w:spacing w:after="0" w:line="9" w:lineRule="exact"/>
        <w:rPr>
          <w:sz w:val="20"/>
          <w:szCs w:val="20"/>
          <w:color w:val="auto"/>
        </w:rPr>
      </w:pPr>
    </w:p>
    <w:p>
      <w:pPr>
        <w:ind w:right="3839"/>
        <w:spacing w:after="0" w:line="250" w:lineRule="auto"/>
        <w:rPr>
          <w:sz w:val="20"/>
          <w:szCs w:val="20"/>
          <w:color w:val="auto"/>
        </w:rPr>
      </w:pPr>
      <w:r>
        <w:rPr>
          <w:rFonts w:ascii="Times New Roman" w:cs="Times New Roman" w:eastAsia="Times New Roman" w:hAnsi="Times New Roman"/>
          <w:sz w:val="18"/>
          <w:szCs w:val="18"/>
          <w:color w:val="auto"/>
        </w:rPr>
        <w:t>Form of Exemption Certificate for Non-Partnership Non-U.S. Lenders Form of Exemption Certificate for Partnership Non-U.S. Lenders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Exemption Certificate for Non-Partnership Non-U.S. Participants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Exemption Certificate for Partnership Non-U.S. Participants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Compliance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Note</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2">
            <w:col w:w="1080" w:space="20"/>
            <w:col w:w="8919"/>
          </w:cols>
          <w:pgMar w:left="440" w:top="270" w:right="1440" w:bottom="1440" w:gutter="0" w:footer="0" w:header="0"/>
        </w:sectPr>
      </w:pPr>
    </w:p>
    <w:bookmarkStart w:id="8" w:name="page9"/>
    <w:bookmarkEnd w:id="8"/>
    <w:p>
      <w:pPr>
        <w:jc w:val="both"/>
        <w:ind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EIGHTH AMENDED AND RESTATED 364-DAY REVOLVING CREDIT AGREEMENT, dated as of March 23, 2026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GENERAL MOTORS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General Motors Financial Company, Inc., a Texas corporation (“</w:t>
      </w:r>
      <w:r>
        <w:rPr>
          <w:rFonts w:ascii="Times New Roman" w:cs="Times New Roman" w:eastAsia="Times New Roman" w:hAnsi="Times New Roman"/>
          <w:sz w:val="18"/>
          <w:szCs w:val="18"/>
          <w:u w:val="single" w:color="auto"/>
          <w:color w:val="auto"/>
        </w:rPr>
        <w:t>GMF</w:t>
      </w:r>
      <w:r>
        <w:rPr>
          <w:rFonts w:ascii="Times New Roman" w:cs="Times New Roman" w:eastAsia="Times New Roman" w:hAnsi="Times New Roman"/>
          <w:sz w:val="18"/>
          <w:szCs w:val="18"/>
          <w:color w:val="auto"/>
        </w:rPr>
        <w:t>”), the other Subsidiary Borrowers (as defined herein) from time to time parties hereto, the several banks and other financial institutions or entities from time to time parties hereto, as lenders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JPMORGAN CHASE BANK, N.A. (and any of its branches and affiliates acting on its behalf in such capacity), as administrative agent for the Lenders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CITIBANK, N.A., as syndication agent (in such capacity, the “</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WHEREAS, the Company entered into that certain Seventh Amended and Restated 364-Day Revolving Credit Agreement, dated as of March 25, 2025 (the “</w:t>
      </w:r>
      <w:r>
        <w:rPr>
          <w:rFonts w:ascii="Times New Roman" w:cs="Times New Roman" w:eastAsia="Times New Roman" w:hAnsi="Times New Roman"/>
          <w:sz w:val="18"/>
          <w:szCs w:val="18"/>
          <w:u w:val="single" w:color="auto"/>
          <w:color w:val="auto"/>
        </w:rPr>
        <w:t>Existing 364-Day Credit Agreement</w:t>
      </w:r>
      <w:r>
        <w:rPr>
          <w:rFonts w:ascii="Times New Roman" w:cs="Times New Roman" w:eastAsia="Times New Roman" w:hAnsi="Times New Roman"/>
          <w:sz w:val="18"/>
          <w:szCs w:val="18"/>
          <w:color w:val="auto"/>
        </w:rPr>
        <w:t>”), with GMF, the other Subsidiary Borrowers (as defined therein) from time to time party thereto, the several lenders from time to time party thereto, JPMorgan Chase Bank, N.A., as administrative agent, and the other agents party thereto; and</w:t>
      </w:r>
    </w:p>
    <w:p>
      <w:pPr>
        <w:spacing w:after="0" w:line="176"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WHEREAS, the parties hereto have agreed to amend and restate the Existing 364-Day Credit Agreement as provided in this Agreement, which Agreement shall become effective upon the satisfaction of the conditions set forth in Section 5.1;</w:t>
      </w:r>
    </w:p>
    <w:p>
      <w:pPr>
        <w:spacing w:after="0" w:line="162"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premises and the agreements, provisions and covenants herein contained, the parties hereto hereby agree that on the Closing Date (as defined below), the Existing 364-Day Credit Agreement shall be amended and restated in its entirety as follows: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 DEFINITIONS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terms listed in this Section 1.1 shall have the respective meanings set forth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2025 10-K</w:t>
      </w:r>
      <w:r>
        <w:rPr>
          <w:rFonts w:ascii="Times New Roman" w:cs="Times New Roman" w:eastAsia="Times New Roman" w:hAnsi="Times New Roman"/>
          <w:sz w:val="18"/>
          <w:szCs w:val="18"/>
          <w:color w:val="auto"/>
        </w:rPr>
        <w:t>” has the meaning assigned to such term in Section 4.1.</w:t>
      </w:r>
    </w:p>
    <w:p>
      <w:pPr>
        <w:spacing w:after="0" w:line="225" w:lineRule="exact"/>
        <w:rPr>
          <w:sz w:val="20"/>
          <w:szCs w:val="20"/>
          <w:color w:val="auto"/>
        </w:rPr>
      </w:pPr>
    </w:p>
    <w:p>
      <w:pPr>
        <w:jc w:val="both"/>
        <w:ind w:right="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3-Year Revolving Credit Agreement</w:t>
      </w:r>
      <w:r>
        <w:rPr>
          <w:rFonts w:ascii="Times New Roman" w:cs="Times New Roman" w:eastAsia="Times New Roman" w:hAnsi="Times New Roman"/>
          <w:sz w:val="18"/>
          <w:szCs w:val="18"/>
          <w:color w:val="auto"/>
        </w:rPr>
        <w:t>” means (i) that certain Sixth Amended and Restated Three Year Revolving Credit Agreement, dated as of March 25, 2025, among the Company, GMF,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Sixth Amended and Restated Three Year Revolving Credit Agreement referred to in clause (i) above or any other agreement or instrument referred to in this clause (ii) unless the Company notifies the Administrative Agent that it is not intended to be a “3-Year Revolving Credit Agreement” hereunder. All references to the “3-Year Revolving Credit Agreement” in this Agreement shall refer to any 3-Year Revolving Credit Agreement then extant.</w:t>
      </w:r>
    </w:p>
    <w:p>
      <w:pPr>
        <w:spacing w:after="0" w:line="194"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3-Year Total Available Commitments</w:t>
      </w:r>
      <w:r>
        <w:rPr>
          <w:rFonts w:ascii="Times New Roman" w:cs="Times New Roman" w:eastAsia="Times New Roman" w:hAnsi="Times New Roman"/>
          <w:sz w:val="18"/>
          <w:szCs w:val="18"/>
          <w:color w:val="auto"/>
        </w:rPr>
        <w:t>” means the “Total Available Commitments” (or equivalent term) under, and as defined in, the 3-Year Revolving Credit Agreement (it being understood that if there is more than one 3-Year Revolving Credit Agreement in effect at any time, references hereunder to “3-Year Total Available Commitments” shall be deemed to mean the sum of the “3-Year Total Available Commitments” (as defined above) under each such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70" w:right="439" w:bottom="1440" w:gutter="0" w:footer="0" w:header="0"/>
        </w:sectPr>
      </w:pPr>
    </w:p>
    <w:bookmarkStart w:id="9" w:name="page10"/>
    <w:bookmarkEnd w:id="9"/>
    <w:p>
      <w:pPr>
        <w:jc w:val="both"/>
        <w:ind w:right="2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5-Year Revolving Credit Agreement</w:t>
      </w:r>
      <w:r>
        <w:rPr>
          <w:rFonts w:ascii="Times New Roman" w:cs="Times New Roman" w:eastAsia="Times New Roman" w:hAnsi="Times New Roman"/>
          <w:sz w:val="18"/>
          <w:szCs w:val="18"/>
          <w:color w:val="auto"/>
        </w:rPr>
        <w:t>” means (i) that certain Fifth Amended and Restated Five Year Revolving Credit Agreement, dated as of March 25, 2025, among the Company, GMF,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Fifth Amended and Restated Five Year Revolving Credit Agreement referred to in clause (i) above or any other agreement or instrument referred to in this clause (ii) unless the Company notifies the Administrative Agent that it is not intended to be a “5-Year Revolving Credit Agreement” hereunder. All references to the “5-Year Revolving Credit Agreement” in this Agreement shall refer to any 5-Year Revolving Credit Agreement then extant.</w:t>
      </w:r>
    </w:p>
    <w:p>
      <w:pPr>
        <w:spacing w:after="0" w:line="194"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5-Year Total Available Commitments</w:t>
      </w:r>
      <w:r>
        <w:rPr>
          <w:rFonts w:ascii="Times New Roman" w:cs="Times New Roman" w:eastAsia="Times New Roman" w:hAnsi="Times New Roman"/>
          <w:sz w:val="18"/>
          <w:szCs w:val="18"/>
          <w:color w:val="auto"/>
        </w:rPr>
        <w:t>” means the “Total Available Commitments” (or equivalent term) under, and as defined in, the 5-Year Revolving Credit Agreement (it being understood that if there is more than one 5-Year Revolving Credit Agreement in effect at any time, references hereunder to “5-Year Total Available Commitments” shall be deemed to mean the sum of the “5-Year Total Available Commitments” (as defined above) under each such agreement).</w:t>
      </w:r>
    </w:p>
    <w:p>
      <w:pPr>
        <w:spacing w:after="0" w:line="180" w:lineRule="exact"/>
        <w:rPr>
          <w:sz w:val="20"/>
          <w:szCs w:val="20"/>
          <w:color w:val="auto"/>
        </w:rPr>
      </w:pPr>
    </w:p>
    <w:p>
      <w:pPr>
        <w:jc w:val="both"/>
        <w:ind w:right="20" w:firstLine="991"/>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xml:space="preserve">” means for any day, a rate per annum equal to the greatest of (a) the Prime Rate in effect on such day, (b) the NYFRB Rate in effect on such day plus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of 1.00% and (c) the Term SOFR Rate for a one month Interest Period as published two U.S. Government Securities Business Days prior to such day (or if such day is not a U.S. Government Securities Business Day, the immediately preceding U.S. Government Securities Business Day), plus 1.00%; provided, that for the purpose of this definition, the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ABR due to a change in the Prime Rate, the NYFRB Rate or the Term SOFR Rate shall be effective from and including the effective date of such change in the Prime Rate, the NYFRB Rate or the Term SOFR Rate, respectively. If the ABR is being used as an alternate rate of interest pursuant to Section 2.18 hereof (for the avoidance of doubt, only until the Benchmark Replacement has been determined pursuant to Section 2.18(b)), then the ABR shall be the greater of clauses (a) and (b) above and shall be determined without reference to clause (c) above. For the avoidance of doubt, if the rate determined pursuant to this definition of “ABR” shall be less than 1.0%, such rate shall be deemed to be 1.0% for purposes of this Agreement.</w:t>
      </w:r>
    </w:p>
    <w:p>
      <w:pPr>
        <w:spacing w:after="0" w:line="1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 Loans</w:t>
      </w:r>
      <w:r>
        <w:rPr>
          <w:rFonts w:ascii="Times New Roman" w:cs="Times New Roman" w:eastAsia="Times New Roman" w:hAnsi="Times New Roman"/>
          <w:sz w:val="18"/>
          <w:szCs w:val="18"/>
          <w:color w:val="auto"/>
        </w:rPr>
        <w:t>” means Loans the rate of interest applicable to which is based upon the ABR.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assigned to such term in the preamble hereto.</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10" w:name="page11"/>
    <w:bookmarkEnd w:id="1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has the meaning assigned to it in Section 10.8(b).</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the United States Foreign Corrupt Practices Act of 1977 and the UK Bribery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Facility Rating</w:t>
      </w:r>
      <w:r>
        <w:rPr>
          <w:rFonts w:ascii="Times New Roman" w:cs="Times New Roman" w:eastAsia="Times New Roman" w:hAnsi="Times New Roman"/>
          <w:sz w:val="18"/>
          <w:szCs w:val="18"/>
          <w:color w:val="auto"/>
        </w:rPr>
        <w:t>” has the meaning set forth in the Applicable Pricing Grid.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as to any Person, all applicable Laws binding upon such Person or to which such a Person is subject.</w:t>
      </w:r>
    </w:p>
    <w:p>
      <w:pPr>
        <w:spacing w:after="0" w:line="225"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Lending Office</w:t>
      </w:r>
      <w:r>
        <w:rPr>
          <w:rFonts w:ascii="Times New Roman" w:cs="Times New Roman" w:eastAsia="Times New Roman" w:hAnsi="Times New Roman"/>
          <w:sz w:val="18"/>
          <w:szCs w:val="18"/>
          <w:color w:val="auto"/>
        </w:rPr>
        <w:t>” means, for any Lender, such Lender’s office, branch or affiliate designated for Term Benchmark Loans, Daily Simple SOFR Loans or ABR Loans, as notified to the Administrative Agent and the Company or as otherwise specified in the Assignment and Assumption pursuant to which such Lender became a party hereto, any of which offices may, subject to Section 2.23, be changed by such Lender upon 10 days’ prior written notice to the Administrative Agent and the Company.</w:t>
      </w:r>
    </w:p>
    <w:p>
      <w:pPr>
        <w:spacing w:after="0" w:line="180"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means, for any day, with respect to any ABR Loan, Daily Simple SOFR Loan or Term Benchmark Loan, as the case may be, the applicable rate per annum set forth under the relevant column heading in the Applicable Pricing Grid, based upon the Applicable Rating in effect on such day.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Parties</w:t>
      </w:r>
      <w:r>
        <w:rPr>
          <w:rFonts w:ascii="Times New Roman" w:cs="Times New Roman" w:eastAsia="Times New Roman" w:hAnsi="Times New Roman"/>
          <w:sz w:val="18"/>
          <w:szCs w:val="18"/>
          <w:color w:val="auto"/>
        </w:rPr>
        <w:t>” has the meaning assigned to it in Section 9.14(c).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Pricing Grid</w:t>
      </w:r>
      <w:r>
        <w:rPr>
          <w:rFonts w:ascii="Times New Roman" w:cs="Times New Roman" w:eastAsia="Times New Roman" w:hAnsi="Times New Roman"/>
          <w:sz w:val="18"/>
          <w:szCs w:val="18"/>
          <w:color w:val="auto"/>
        </w:rPr>
        <w:t xml:space="preserve">” means the table set forth on </w:t>
      </w:r>
      <w:r>
        <w:rPr>
          <w:rFonts w:ascii="Times New Roman" w:cs="Times New Roman" w:eastAsia="Times New Roman" w:hAnsi="Times New Roman"/>
          <w:sz w:val="18"/>
          <w:szCs w:val="18"/>
          <w:u w:val="single" w:color="auto"/>
          <w:color w:val="auto"/>
        </w:rPr>
        <w:t>Schedule 1.1C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Rating</w:t>
      </w:r>
      <w:r>
        <w:rPr>
          <w:rFonts w:ascii="Times New Roman" w:cs="Times New Roman" w:eastAsia="Times New Roman" w:hAnsi="Times New Roman"/>
          <w:sz w:val="18"/>
          <w:szCs w:val="18"/>
          <w:color w:val="auto"/>
        </w:rPr>
        <w:t xml:space="preserve">” means the Index Debt Rating;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in the event the Company has obtained or maintained an Applicable Facility Rating from at least two of Moody’s, S&amp;P or Fitch, the “Applicable Rating” shall be the Applicable Facility Rating in effect at any time of determination and (ii) in the event that the ratings established or deemed to have been established by Moody’s, S&amp;P or Fitch for the Index Debt Rating shall be changed (other than as a result of a change in the rating system of Moody’s, S&amp;P or Fitch), such change shall be effective as of the third Business Day following the date on which it is first announced by the applicable rating agency, irrespective of when notice of such change shall have been furnished by the Borrower to the Administrative Agent. Each change in the Applicable Rating shall apply during the period commencing on the effective date of such change and ending on the date immediately preceding the effective date of the next such change. If the rating system of Moody’s, S&amp;P or Fitch shall change, or if any such Rating Agency shall cease to be in the business of rating corporate debt obligations, the Borrower and the Lenders shall negotiate in good faith to amend this definition to reflect such changed rating system or the unavailability of ratings from such Rating Agency and, pending the effectiveness of any such amendment, the Applicable Rating shall be determined by reference to the rating most recently in effect prior to such change or cessation.</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Borrower Portal</w:t>
      </w:r>
      <w:r>
        <w:rPr>
          <w:rFonts w:ascii="Times New Roman" w:cs="Times New Roman" w:eastAsia="Times New Roman" w:hAnsi="Times New Roman"/>
          <w:sz w:val="18"/>
          <w:szCs w:val="18"/>
          <w:color w:val="auto"/>
        </w:rPr>
        <w:t>” has the meaning assigned to it in Section 9.14(a).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 has the meaning assigned to such term in Section 10.2(b).</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that is engaged in making, purchasing, holding or investing in revolving bank loans and similar revolving extensions of credit in the ordinary course and that is administered or managed by (a) a Lender, (b) an affiliate of a Lender or (c) an entity or an affiliate of an entity that administers or manages a Lender.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11" w:name="page12"/>
    <w:bookmarkEnd w:id="1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has the meaning assigned to such term in Section 9.11.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has the meaning assigned to such term in Section 10.6(b).</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means an Assignment and Assumption, substantially in the form of Exhibit G.</w:t>
      </w:r>
    </w:p>
    <w:p>
      <w:pPr>
        <w:spacing w:after="0" w:line="225" w:lineRule="exact"/>
        <w:rPr>
          <w:sz w:val="20"/>
          <w:szCs w:val="20"/>
          <w:color w:val="auto"/>
        </w:rPr>
      </w:pPr>
    </w:p>
    <w:p>
      <w:pPr>
        <w:jc w:val="both"/>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2.18.</w:t>
      </w:r>
    </w:p>
    <w:p>
      <w:pPr>
        <w:spacing w:after="0" w:line="183"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right="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jc w:val="both"/>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Basel III</w:t>
      </w:r>
      <w:r>
        <w:rPr>
          <w:rFonts w:ascii="Times New Roman" w:cs="Times New Roman" w:eastAsia="Times New Roman" w:hAnsi="Times New Roman"/>
          <w:sz w:val="18"/>
          <w:szCs w:val="18"/>
          <w:color w:val="auto"/>
        </w:rPr>
        <w:t>” means: (a) 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 (b) 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 (c) and any further guidance or standards published by the Basel Committee on Banking Supervision relating to “Basel III”.</w:t>
      </w:r>
    </w:p>
    <w:p>
      <w:pPr>
        <w:spacing w:after="0" w:line="189"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means, initially, with respect to any (i) Daily Simple SOFR Loan, the Daily Simple SOFR or (ii) Term Benchmark Loan, the Term SOFR Rate; provided that if a Benchmark Transition Event, and the related Benchmark Replacement Date have occurred with respect to the Daily Simple SOFR or Term SOFR Rate, as applicable, or the then-current Benchmark, then “Benchmark” means the applicable Benchmark Replacement to the extent that such Benchmark Replacement has replaced such prior benchmark rate pursuant to clause (b) of Section 2.18.</w:t>
      </w:r>
    </w:p>
    <w:p>
      <w:pPr>
        <w:spacing w:after="0" w:line="180" w:lineRule="exact"/>
        <w:rPr>
          <w:sz w:val="20"/>
          <w:szCs w:val="20"/>
          <w:color w:val="auto"/>
        </w:rPr>
      </w:pPr>
    </w:p>
    <w:p>
      <w:pPr>
        <w:jc w:val="both"/>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for any Available Tenor, the sum of: (a) the alternate benchmark rate that has been selected by the Administrative Agent and the Company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syndicated credit facilities at such time in the United States and (b) the related Benchmark Replacement Adjustment;</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If the Benchmark Replacement as determined above would be less than the Floor, the Benchmark Replacement will be deemed to be the Floor for the purposes of this Agreement and the other Loan Documents.</w:t>
      </w:r>
    </w:p>
    <w:p>
      <w:pPr>
        <w:spacing w:after="0" w:line="162" w:lineRule="exact"/>
        <w:rPr>
          <w:sz w:val="20"/>
          <w:szCs w:val="20"/>
          <w:color w:val="auto"/>
        </w:rPr>
      </w:pPr>
    </w:p>
    <w:p>
      <w:pPr>
        <w:jc w:val="both"/>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88"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means, with respect to any Benchmark Replacement and/or any Term Benchmark Loan subject to the occurrence of a Benchmark Replacement, any technical, administrative or operational changes (including changes to the definition of “ABR,”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94"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with respect to any Benchmark, the earliest to occur of the following events with respect to such then-current Benchmark:</w:t>
      </w:r>
    </w:p>
    <w:p>
      <w:pPr>
        <w:spacing w:after="0" w:line="54" w:lineRule="exact"/>
        <w:rPr>
          <w:sz w:val="20"/>
          <w:szCs w:val="20"/>
          <w:color w:val="auto"/>
        </w:rPr>
      </w:pPr>
    </w:p>
    <w:p>
      <w:pPr>
        <w:jc w:val="both"/>
        <w:ind w:firstLine="987"/>
        <w:spacing w:after="0" w:line="266" w:lineRule="auto"/>
        <w:tabs>
          <w:tab w:leader="none" w:pos="12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5" w:lineRule="exact"/>
        <w:rPr>
          <w:rFonts w:ascii="Times New Roman" w:cs="Times New Roman" w:eastAsia="Times New Roman" w:hAnsi="Times New Roman"/>
          <w:sz w:val="18"/>
          <w:szCs w:val="18"/>
          <w:color w:val="auto"/>
        </w:rPr>
      </w:pPr>
    </w:p>
    <w:p>
      <w:pPr>
        <w:jc w:val="both"/>
        <w:ind w:right="20" w:firstLine="987"/>
        <w:spacing w:after="0" w:line="258" w:lineRule="auto"/>
        <w:tabs>
          <w:tab w:leader="none" w:pos="12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13" w:name="page14"/>
    <w:bookmarkEnd w:id="13"/>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3"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with respect to any Benchmark, the occurrence of one or more of the following events with respect to such then-current Benchmark:</w:t>
      </w:r>
    </w:p>
    <w:p>
      <w:pPr>
        <w:spacing w:after="0" w:line="54" w:lineRule="exact"/>
        <w:rPr>
          <w:sz w:val="20"/>
          <w:szCs w:val="20"/>
          <w:color w:val="auto"/>
        </w:rPr>
      </w:pPr>
    </w:p>
    <w:p>
      <w:pPr>
        <w:jc w:val="both"/>
        <w:ind w:right="20" w:firstLine="987"/>
        <w:spacing w:after="0" w:line="261" w:lineRule="auto"/>
        <w:tabs>
          <w:tab w:leader="none" w:pos="12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79" w:lineRule="exact"/>
        <w:rPr>
          <w:rFonts w:ascii="Times New Roman" w:cs="Times New Roman" w:eastAsia="Times New Roman" w:hAnsi="Times New Roman"/>
          <w:sz w:val="18"/>
          <w:szCs w:val="18"/>
          <w:color w:val="auto"/>
        </w:rPr>
      </w:pPr>
    </w:p>
    <w:p>
      <w:pPr>
        <w:jc w:val="both"/>
        <w:ind w:right="20" w:firstLine="987"/>
        <w:spacing w:after="0" w:line="255" w:lineRule="auto"/>
        <w:tabs>
          <w:tab w:leader="none" w:pos="124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88"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4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76"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jc w:val="both"/>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2.18 and (y) ending at the time that a Benchmark Replacement has replaced such then-current Benchmark for all purposes hereunder and under any Loan Document in accordance with Section 2.18.</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§1010.230.</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Regulations or otherwise for purposes of Title I of ERISA or Section 4975 of the Code) the assets of any such “employee benefit plan” or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Benefitted Lender</w:t>
      </w:r>
      <w:r>
        <w:rPr>
          <w:rFonts w:ascii="Times New Roman" w:cs="Times New Roman" w:eastAsia="Times New Roman" w:hAnsi="Times New Roman"/>
          <w:sz w:val="18"/>
          <w:szCs w:val="18"/>
          <w:color w:val="auto"/>
        </w:rPr>
        <w:t>” has the meaning assigned to such term in Section 10.7.</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party.</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(or any successor).</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means the Company, GMF or any other Subsidiary Borrower designated from time to time by the Company until (in the case of any Subsidiary Borrower) such time as such Subsidiary Borrower is removed as a party hereto pursuant to Section 10.1(d)(ii).</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Communications</w:t>
      </w:r>
      <w:r>
        <w:rPr>
          <w:rFonts w:ascii="Times New Roman" w:cs="Times New Roman" w:eastAsia="Times New Roman" w:hAnsi="Times New Roman"/>
          <w:sz w:val="18"/>
          <w:szCs w:val="18"/>
          <w:color w:val="auto"/>
        </w:rPr>
        <w:t>” has the meaning assigned to it in Section 9.14(c).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Joinder Agreement</w:t>
      </w:r>
      <w:r>
        <w:rPr>
          <w:rFonts w:ascii="Times New Roman" w:cs="Times New Roman" w:eastAsia="Times New Roman" w:hAnsi="Times New Roman"/>
          <w:sz w:val="18"/>
          <w:szCs w:val="18"/>
          <w:color w:val="auto"/>
        </w:rPr>
        <w:t>” means a joinder agreement substantially in the form of Exhibit H.</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Loans of the same Type, made, converted or continued on the same date and, in the case of Term Benchmark Loans, as to which a single Interest Period is in effect.</w:t>
      </w:r>
    </w:p>
    <w:p>
      <w:pPr>
        <w:spacing w:after="0" w:line="162"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Date</w:t>
      </w:r>
      <w:r>
        <w:rPr>
          <w:rFonts w:ascii="Times New Roman" w:cs="Times New Roman" w:eastAsia="Times New Roman" w:hAnsi="Times New Roman"/>
          <w:sz w:val="18"/>
          <w:szCs w:val="18"/>
          <w:color w:val="auto"/>
        </w:rPr>
        <w:t>” means any Business Day specified by the Company or any Subsidiary Borrower as a date on which the Company or such Subsidiary Borrower requests the relevant Lenders to make Loans hereunder.</w:t>
      </w:r>
    </w:p>
    <w:p>
      <w:pPr>
        <w:spacing w:after="0" w:line="162" w:lineRule="exact"/>
        <w:rPr>
          <w:sz w:val="20"/>
          <w:szCs w:val="20"/>
          <w:color w:val="auto"/>
        </w:rPr>
      </w:pPr>
    </w:p>
    <w:p>
      <w:pPr>
        <w:jc w:val="both"/>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means a request by any Borrower for a Loan which shall be substantially in the form approved by the Administrative Agent and separately provided to the Borrower.</w:t>
      </w:r>
    </w:p>
    <w:p>
      <w:pPr>
        <w:spacing w:after="0" w:line="162" w:lineRule="exact"/>
        <w:rPr>
          <w:sz w:val="20"/>
          <w:szCs w:val="20"/>
          <w:color w:val="auto"/>
        </w:rPr>
      </w:pPr>
    </w:p>
    <w:p>
      <w:pPr>
        <w:jc w:val="both"/>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or a Sunday) on which banks are open for business in New York City; provided that, in addition to the foregoing, a Business Day shall be (a) in relation to Daily Simple SOFR Loans and any interest rate setting, fundings, disbursements, settlements or payments of any such Daily Simple SOFR Loan, or any other dealings of such Daily Simple SOFR Loan, and (b) in relation to Loans referencing the Term SOFR Rate and any interest rate settings, fundings, disbursements, settlements or payments of any such Loans referencing the Term SOFR Rate or any other dealings of such Loans referencing the Term SOFR Rate, any such day that is only a U.S. Government Securities Business Day.</w:t>
      </w:r>
    </w:p>
    <w:p>
      <w:pPr>
        <w:spacing w:after="0" w:line="187"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80"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15" w:name="page16"/>
    <w:bookmarkEnd w:id="15"/>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means (a) the adoption of any law, rule or regulation after the date of this Agreement, (b) any change in any law, rule or regulation or in the interpretation or application thereof by any Governmental Authority after the date of this Agreement or (c) compliance by any Lender (or, for purposes of Section 2.20, by any lending office of such Lender or by such Lender’s holding company, if any) with any request, guideline or directive (whether or not having the force of law) of any Governmental Authority made or issued after the date of this Agreement. For purposes of this definition and Section 2.20, (x) the Dodd-Frank Wall Street Reform and Consumer Protection Act and all requests, rules, guidelines, requirements and directives thereunder or issued in connection therewith or in implementation thereof (whether or not having the force of law) and (y) all requests, rules, regulations, guidelines, requirements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described in clauses (x) and (y) above, be deemed to be a Change in Law, regardless of the date enacted, adopted, issued or implemented.</w:t>
      </w:r>
    </w:p>
    <w:p>
      <w:pPr>
        <w:spacing w:after="0" w:line="194"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the occurrence of any of the following events: (a) any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(as such terms are used in Sections 13(d) and 14(d) of the Exchange Act) shall become, or obtain rights (whether by means of warrants, options or otherwise) to become, the “</w:t>
      </w:r>
      <w:r>
        <w:rPr>
          <w:rFonts w:ascii="Times New Roman" w:cs="Times New Roman" w:eastAsia="Times New Roman" w:hAnsi="Times New Roman"/>
          <w:sz w:val="18"/>
          <w:szCs w:val="18"/>
          <w:u w:val="single" w:color="auto"/>
          <w:color w:val="auto"/>
        </w:rPr>
        <w:t>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owner</w:t>
      </w:r>
      <w:r>
        <w:rPr>
          <w:rFonts w:ascii="Times New Roman" w:cs="Times New Roman" w:eastAsia="Times New Roman" w:hAnsi="Times New Roman"/>
          <w:sz w:val="18"/>
          <w:szCs w:val="18"/>
          <w:color w:val="auto"/>
        </w:rPr>
        <w:t>” (as defined in Rules 13(d)-3 and 13(d) 5 under the Exchange Act), directly or indirectly, of more than 50% of the outstanding Voting Stock of the Company or (b) Continuing Directors cease to constitute at least a majority of the members of the board of directors of the Company.</w:t>
      </w:r>
    </w:p>
    <w:p>
      <w:pPr>
        <w:spacing w:after="0" w:line="180"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w:t>
      </w:r>
      <w:r>
        <w:rPr>
          <w:rFonts w:ascii="Times New Roman" w:cs="Times New Roman" w:eastAsia="Times New Roman" w:hAnsi="Times New Roman"/>
          <w:sz w:val="18"/>
          <w:szCs w:val="18"/>
          <w:color w:val="auto"/>
        </w:rPr>
        <w:t>” means any person that is primarily engaged in the issuance of securities based on, collateralized by or otherwise backed by one or more pools of assets consisting primarily of bank loans.</w:t>
      </w:r>
    </w:p>
    <w:p>
      <w:pPr>
        <w:spacing w:after="0" w:line="162"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on which the conditions precedent set forth in Section 5.1 shall have been satisfied, which date is March 23, 2026.</w:t>
      </w:r>
    </w:p>
    <w:p>
      <w:pPr>
        <w:spacing w:after="0" w:line="162"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 Term SOFR Administrator</w:t>
      </w:r>
      <w:r>
        <w:rPr>
          <w:rFonts w:ascii="Times New Roman" w:cs="Times New Roman" w:eastAsia="Times New Roman" w:hAnsi="Times New Roman"/>
          <w:sz w:val="18"/>
          <w:szCs w:val="18"/>
          <w:color w:val="auto"/>
        </w:rPr>
        <w:t>” means CME Group Benchmark Administration Limited as administrator of the forward-looking term Secured Overnight Financing Rate (SOFR) (or a successor administrator).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as to any Lender, the obligation of such Lender, if any, to make Loans in an aggregate principal amount not to exceed the amount set forth under the heading “Commitment” opposite such Lender’s name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or in the Assignment and Assumption pursuant to which such Lender became a party hereto, as the same may be changed from time to time pursuant to the terms hereof, including pursuant to any Commitment Increase permitted pursuant to Section 2.27(a) hereof.</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Increase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Increase Date</w:t>
      </w:r>
      <w:r>
        <w:rPr>
          <w:rFonts w:ascii="Times New Roman" w:cs="Times New Roman" w:eastAsia="Times New Roman" w:hAnsi="Times New Roman"/>
          <w:sz w:val="18"/>
          <w:szCs w:val="18"/>
          <w:color w:val="auto"/>
        </w:rPr>
        <w:t>” means, as to any Commitment Increase, the date (which shall be a Business Day) specified in the related Incremental Loan Activation Notice as the date on which such Commitment Increase shall be effective.</w:t>
      </w:r>
    </w:p>
    <w:p>
      <w:pPr>
        <w:spacing w:after="0" w:line="162"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Period</w:t>
      </w:r>
      <w:r>
        <w:rPr>
          <w:rFonts w:ascii="Times New Roman" w:cs="Times New Roman" w:eastAsia="Times New Roman" w:hAnsi="Times New Roman"/>
          <w:sz w:val="18"/>
          <w:szCs w:val="18"/>
          <w:color w:val="auto"/>
        </w:rPr>
        <w:t>” means with respect to any Lender in the Facility, the period from and including the Closing Date (or in the case of a Lender that becomes a Lender under the Facility after the Closing Date, the date on which such Lender becomes a Lender under the Facility) to, but excluding, the Termination Date applicable to such Lender under the Facility.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16" w:name="page17"/>
    <w:bookmarkEnd w:id="16"/>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each notice, demand, communication, information, document and other material provided for hereunder or under any other Loan Document or otherwise transmitted between the parties hereto relating to this Agreement, the other Loan Documents, any Loan Party or its affiliates, or the transactions contemplated by this Agreement or the other Loan Documents.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Confidential Information</w:t>
      </w:r>
      <w:r>
        <w:rPr>
          <w:rFonts w:ascii="Times New Roman" w:cs="Times New Roman" w:eastAsia="Times New Roman" w:hAnsi="Times New Roman"/>
          <w:sz w:val="18"/>
          <w:szCs w:val="18"/>
          <w:color w:val="auto"/>
        </w:rPr>
        <w:t>” has the meaning assigned to such term in Section 10.16.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means a certificate duly executed by a Responsible Officer, substantially in the form of Exhibit J.</w:t>
      </w:r>
    </w:p>
    <w:p>
      <w:pPr>
        <w:spacing w:after="0" w:line="225" w:lineRule="exact"/>
        <w:rPr>
          <w:sz w:val="20"/>
          <w:szCs w:val="20"/>
          <w:color w:val="auto"/>
        </w:rPr>
      </w:pPr>
    </w:p>
    <w:p>
      <w:pPr>
        <w:jc w:val="both"/>
        <w:ind w:right="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Domestic Liquidity</w:t>
      </w:r>
      <w:r>
        <w:rPr>
          <w:rFonts w:ascii="Times New Roman" w:cs="Times New Roman" w:eastAsia="Times New Roman" w:hAnsi="Times New Roman"/>
          <w:sz w:val="18"/>
          <w:szCs w:val="18"/>
          <w:color w:val="auto"/>
        </w:rPr>
        <w:t xml:space="preserve">” means, as of any date of determination, the sum of (a) the 3-Year Total Available Commitments at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5-Year Total Available Commitments at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Total Available Commitments at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the total available commitments (after giving effect to any applicable borrowing base limitations) under other then-effective committed credit facilities of the Company or any Domestic Subsidiary, but excluding any warehouse facility of GMF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(e) 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192" w:lineRule="exact"/>
        <w:rPr>
          <w:sz w:val="20"/>
          <w:szCs w:val="20"/>
          <w:color w:val="auto"/>
        </w:rPr>
      </w:pPr>
    </w:p>
    <w:p>
      <w:pPr>
        <w:jc w:val="both"/>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Global Liquidity</w:t>
      </w:r>
      <w:r>
        <w:rPr>
          <w:rFonts w:ascii="Times New Roman" w:cs="Times New Roman" w:eastAsia="Times New Roman" w:hAnsi="Times New Roman"/>
          <w:sz w:val="18"/>
          <w:szCs w:val="18"/>
          <w:color w:val="auto"/>
        </w:rPr>
        <w:t xml:space="preserve">” means as of any date of determination, the sum of (a) the 3-Year Total Available Commitments as of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5-Year Total Available Commitments as of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Total Available Commitments at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the total available commitments (after giving effect to any applicable borrowing base limitations) under other then-effective committed credit facilities of the Company or any of its Subsidiaries, but excluding any warehouse facility of GMF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(e)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p>
      <w:pPr>
        <w:spacing w:after="0" w:line="187"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Tangible Assets</w:t>
      </w:r>
      <w:r>
        <w:rPr>
          <w:rFonts w:ascii="Times New Roman" w:cs="Times New Roman" w:eastAsia="Times New Roman" w:hAnsi="Times New Roman"/>
          <w:sz w:val="18"/>
          <w:szCs w:val="18"/>
          <w:color w:val="auto"/>
        </w:rPr>
        <w:t>” means the aggregate amount of the Company’s consolidated assets after deducting therefrom all goodwill, trade names, trademarks, patents, unamortized debt discount and expense and other like intangibles, in each case as set forth in the most recent financial statements of the Company and its consolidated Subsidiaries delivered pursuant to Section 6.1 prepared in accordance with GAAP.</w:t>
      </w:r>
    </w:p>
    <w:p>
      <w:pPr>
        <w:spacing w:after="0" w:line="176"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means, at any date, with respect to any Person, the amount set forth opposite the caption “total assets” (or any like caption) on a consolidated balance sheet (or the equivalent) of such Person and its consolidated Subsidiaries.</w:t>
      </w:r>
    </w:p>
    <w:p>
      <w:pPr>
        <w:spacing w:after="0" w:line="162"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w:t>
      </w:r>
      <w:r>
        <w:rPr>
          <w:rFonts w:ascii="Times New Roman" w:cs="Times New Roman" w:eastAsia="Times New Roman" w:hAnsi="Times New Roman"/>
          <w:sz w:val="18"/>
          <w:szCs w:val="18"/>
          <w:color w:val="auto"/>
        </w:rPr>
        <w:t>” means, at any date, an individual (a) who is a member of the board of directors of the Company on the Closing Date or (b) who has been nominated or appointed to be a member of such board of directors, or approved or otherwise ratified, by a majority of the other Continuing Directors then in office.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17" w:name="page18"/>
    <w:bookmarkEnd w:id="17"/>
    <w:p>
      <w:pPr>
        <w:jc w:val="both"/>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Term Loan</w:t>
      </w:r>
      <w:r>
        <w:rPr>
          <w:rFonts w:ascii="Times New Roman" w:cs="Times New Roman" w:eastAsia="Times New Roman" w:hAnsi="Times New Roman"/>
          <w:sz w:val="18"/>
          <w:szCs w:val="18"/>
          <w:color w:val="auto"/>
        </w:rPr>
        <w:t>” has the meaning assigned to such term in Section 2.28(a).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Term Loan Maturity Date</w:t>
      </w:r>
      <w:r>
        <w:rPr>
          <w:rFonts w:ascii="Times New Roman" w:cs="Times New Roman" w:eastAsia="Times New Roman" w:hAnsi="Times New Roman"/>
          <w:sz w:val="18"/>
          <w:szCs w:val="18"/>
          <w:color w:val="auto"/>
        </w:rPr>
        <w:t>” means March 22, 2028, which date is the first anniversary of the Termination Date.</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131" w:lineRule="exact"/>
        <w:rPr>
          <w:sz w:val="20"/>
          <w:szCs w:val="20"/>
          <w:color w:val="auto"/>
        </w:rPr>
      </w:pPr>
    </w:p>
    <w:p>
      <w:pPr>
        <w:ind w:left="1420" w:hanging="439"/>
        <w:spacing w:after="0"/>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10.21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a rate per annum equal to SOFR for the day (such day “</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that is three (3)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provided that if the Daily Simple SOFR Rate as so determined would be less than the Floor, such rate shall be deemed to be equal to the Floor for the purposes of this Agreement. Any change in Daily Simple SOFR due to a change in SOFR shall be effective from and including the effective date of such change in SOFR without notice to any Borrower.</w:t>
      </w:r>
    </w:p>
    <w:p>
      <w:pPr>
        <w:spacing w:after="0" w:line="189"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of the events specified in Section 8, whether or not any requirement for the giving of notice, the lapse of time, or both, has been satisfied.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applicable.</w:t>
      </w:r>
    </w:p>
    <w:p>
      <w:pPr>
        <w:spacing w:after="0" w:line="207"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at any time, a Lender (a) that has defaulted in its obligation to make Loans under this Agreement, (b) that has, or the direct or indirect parent company of which has, notified the Administrative Agent or the Company, or has stated publicly, that it will not comply with any such funding obligation under this Agreement or that it will not comply with its funding obligations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18" w:name="page19"/>
    <w:bookmarkEnd w:id="18"/>
    <w:p>
      <w:pPr>
        <w:jc w:val="both"/>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generally under other agreements in which it is obligated to extend credit, (c) that has, for three or more Business Days, failed to confirm in writing to the Company, in response to a written request of the Company after the Company has a reasonable basis to believe such Lender will not comply with its funding obligations under this Agreement, that it will comply with its funding obligations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Lender shall cease to be a Defaulting Lender pursuant to this clause (c) upon the Company’s receipt of such confirmation, (d) with respect to which a Lender Insolvency Event has occurred and is continuing or (e) which has become the subject of a Bail-In Action.</w:t>
      </w:r>
    </w:p>
    <w:p>
      <w:pPr>
        <w:spacing w:after="0" w:line="183" w:lineRule="exact"/>
        <w:rPr>
          <w:sz w:val="20"/>
          <w:szCs w:val="20"/>
          <w:color w:val="auto"/>
        </w:rPr>
      </w:pPr>
    </w:p>
    <w:p>
      <w:pPr>
        <w:jc w:val="both"/>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Principal Trade Name</w:t>
      </w:r>
      <w:r>
        <w:rPr>
          <w:rFonts w:ascii="Times New Roman" w:cs="Times New Roman" w:eastAsia="Times New Roman" w:hAnsi="Times New Roman"/>
          <w:sz w:val="18"/>
          <w:szCs w:val="18"/>
          <w:color w:val="auto"/>
        </w:rPr>
        <w:t xml:space="preserve">” means a Principal Trade Name, designated by the Company as the “Designated Principal Trade Name” in a written notice to the Administrative Agent pursuant to the terms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only one Principal Trade Name may be designated as a “Designated Principal Trade Name” during the term of this Agreement.</w:t>
      </w:r>
    </w:p>
    <w:p>
      <w:pPr>
        <w:spacing w:after="0" w:line="176" w:lineRule="exact"/>
        <w:rPr>
          <w:sz w:val="20"/>
          <w:szCs w:val="20"/>
          <w:color w:val="auto"/>
        </w:rPr>
      </w:pPr>
    </w:p>
    <w:p>
      <w:pPr>
        <w:jc w:val="both"/>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xml:space="preserve">” means, with respect to any property, any sale, transfer or other disposition thereof; and the terms “Dispose” and “Disposed of” shall have correlative meanings;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(a) the pledge or collateral assignment of property, or the granting of a Lien on property, and (b) the licensing and sublicensing of intellectual property and other general intangibles on customary terms and conditions in the ordinary course of business of the licensing or sublicensing party shall not constitute a “Disposition”.</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means, on any date of determination, (a) with respect to any amount denominated in Dollars, such amount and</w:t>
      </w:r>
    </w:p>
    <w:p>
      <w:pPr>
        <w:spacing w:after="0" w:line="27" w:lineRule="exact"/>
        <w:rPr>
          <w:sz w:val="20"/>
          <w:szCs w:val="20"/>
          <w:color w:val="auto"/>
        </w:rPr>
      </w:pPr>
    </w:p>
    <w:p>
      <w:pPr>
        <w:jc w:val="both"/>
        <w:ind w:left="4" w:hanging="4"/>
        <w:spacing w:after="0" w:line="253" w:lineRule="auto"/>
        <w:tabs>
          <w:tab w:leader="none" w:pos="2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amount denominated in any other currency, the equivalent in Dollars of such amount determined by the Administrative Agent in accordance with normal banking industry practice using the Exchange Rate on the date of determination of such equivalent, and such determination shall be conclusive in the absence of manifest error. In making any determination of the Dollar Equivalent, the Administrative Agent shall use the relevant Exchange Rate in effect on the date upon which a Dollar Equivalent is required to be determined pursuant to the provisions of this Agreement. As appropriate, amounts specified herein as amounts in Dollars shall be or include any relevant Dollar Equivalent amount.</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lawful money of the United States.</w:t>
      </w:r>
    </w:p>
    <w:p>
      <w:pPr>
        <w:spacing w:after="0" w:line="225" w:lineRule="exact"/>
        <w:rPr>
          <w:sz w:val="20"/>
          <w:szCs w:val="20"/>
          <w:color w:val="auto"/>
        </w:rPr>
      </w:pPr>
    </w:p>
    <w:p>
      <w:pPr>
        <w:jc w:val="both"/>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with respect to any Person, any Subsidiary of such Person that is not (a) a Foreign Subsidiary or (b) a Subsidiary that is owned, directly or indirectly, by a Foreign Subsidiary. Unless otherwise qualified, all references to a “Domestic Subsidiary” or to “Domestic Subsidiaries” in this Agreement shall refer to a Domestic Subsidiary or Domestic Subsidiaries of the Company.</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 Borrower</w:t>
      </w:r>
      <w:r>
        <w:rPr>
          <w:rFonts w:ascii="Times New Roman" w:cs="Times New Roman" w:eastAsia="Times New Roman" w:hAnsi="Times New Roman"/>
          <w:sz w:val="18"/>
          <w:szCs w:val="18"/>
          <w:color w:val="auto"/>
        </w:rPr>
        <w:t>” means any Subsidiary Borrower which is a Domestic Subsidiary.</w:t>
      </w:r>
    </w:p>
    <w:p>
      <w:pPr>
        <w:spacing w:after="0" w:line="225" w:lineRule="exact"/>
        <w:rPr>
          <w:sz w:val="20"/>
          <w:szCs w:val="20"/>
          <w:color w:val="auto"/>
        </w:rPr>
      </w:pPr>
    </w:p>
    <w:p>
      <w:pPr>
        <w:jc w:val="both"/>
        <w:ind w:left="4"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institution established in any EEA Member Country which is subject to the supervision of the applicable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4"/>
          </w:cols>
          <w:pgMar w:left="436" w:top="270" w:right="439" w:bottom="1440" w:gutter="0" w:footer="0" w:header="0"/>
        </w:sectPr>
      </w:pPr>
    </w:p>
    <w:bookmarkStart w:id="19" w:name="page20"/>
    <w:bookmarkEnd w:id="19"/>
    <w:p>
      <w:pPr>
        <w:jc w:val="both"/>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jc w:val="both"/>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62" w:lineRule="exact"/>
        <w:rPr>
          <w:sz w:val="20"/>
          <w:szCs w:val="20"/>
          <w:color w:val="auto"/>
        </w:rPr>
      </w:pPr>
    </w:p>
    <w:p>
      <w:pPr>
        <w:jc w:val="both"/>
        <w:ind w:left="4"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foreign, federal, state, provincial, local or municipal laws, rules, orders, regulations, statutes, ordinances, codes, decrees, requirements of any Governmental Authority or other Requirements of Law (including common law) regulating, relating or imposing liability or standards of conduct concerning protection of human health, the environment or natural resources, as now or may at any time hereafter be in effect.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jc w:val="both"/>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the Company is treated as a single employer under Section 414(b) or (c) of the Code or any entity, whether or not incorporated, that is under common control with the Company within the meaning of Section 4001(a)(14) of ERISA.</w:t>
      </w:r>
    </w:p>
    <w:p>
      <w:pPr>
        <w:spacing w:after="0" w:line="176" w:lineRule="exact"/>
        <w:rPr>
          <w:sz w:val="20"/>
          <w:szCs w:val="20"/>
          <w:color w:val="auto"/>
        </w:rPr>
      </w:pPr>
    </w:p>
    <w:p>
      <w:pPr>
        <w:jc w:val="both"/>
        <w:ind w:left="4" w:right="20" w:firstLine="991"/>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ERISA Default</w:t>
      </w:r>
      <w:r>
        <w:rPr>
          <w:rFonts w:ascii="Times New Roman" w:cs="Times New Roman" w:eastAsia="Times New Roman" w:hAnsi="Times New Roman"/>
          <w:sz w:val="17"/>
          <w:szCs w:val="17"/>
          <w:color w:val="auto"/>
        </w:rPr>
        <w:t>” means (a) any of the following (i) the occurrence of a nonexempt “prohibited transaction” (within the meaning of Section 406 of ERISA or Section 4975 of the Code) with respect to any Plan to which the Company or any ERISA Affiliate is a “party in interest” (within the meaning of Section 3(14) of ERISA) or a “disqualified person” (within the meaning of Section 4975 of the Code); (ii) any failure by any Plan to satisfy the minimum funding standard (within the meaning of Sections 412 or 430 of the Code or Section 302 of ERISA) applicable to such Plan, whether or not waived; (iii) the filing pursuant to Section 412(c) of the Code or Section 302(c) of ERISA of an application for a waiver of the minimum funding standard with respect to any Plan, the failure to make by its due date a required installment under Section 430(j) of the Code with respect to any Plan or the failure by the Company or any ERISA Affiliate to make any required contribution or payment to a Multiemployer Plan; (iv) the incurrence by the Company or any ERISA Affiliate of any liability under Title IV of ERISA with respect to the termination of any Plan, including but not limited to the imposition of any Lien in favor of the PBGC or any Plan; (v) the receipt by the Company or any ERISA Affiliate from the PBGC or a plan administrator of any notice relating to the intention to terminate any Plan or to appoint a trustee to administer any Plan under Section 4042 of ERISA; or</w:t>
      </w:r>
    </w:p>
    <w:p>
      <w:pPr>
        <w:spacing w:after="0" w:line="4" w:lineRule="exact"/>
        <w:rPr>
          <w:sz w:val="20"/>
          <w:szCs w:val="20"/>
          <w:color w:val="auto"/>
        </w:rPr>
      </w:pPr>
    </w:p>
    <w:p>
      <w:pPr>
        <w:jc w:val="both"/>
        <w:ind w:left="4" w:right="20" w:hanging="4"/>
        <w:spacing w:after="0" w:line="255"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Company or any ERISA Affiliate of any liability with respect to the withdrawal or partial withdrawal from any Plan or Multiemployer Plan; and (b) in each case in clauses (i) through (vi), such event or condition, together with all other such events or conditions, if any, would reasonably be expected to result in a Material Adverse Effect.</w:t>
      </w:r>
    </w:p>
    <w:p>
      <w:pPr>
        <w:spacing w:after="0" w:line="186" w:lineRule="exact"/>
        <w:rPr>
          <w:sz w:val="20"/>
          <w:szCs w:val="20"/>
          <w:color w:val="auto"/>
        </w:rPr>
      </w:pPr>
    </w:p>
    <w:p>
      <w:pPr>
        <w:jc w:val="both"/>
        <w:ind w:left="4"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jc w:val="both"/>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means any of the events specified in Section 8;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requirement for the giving of notice, the lapse of time, or both, has been satisfied.</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and Exchange Act of 1934, as amended.</w:t>
      </w:r>
    </w:p>
    <w:p>
      <w:pPr>
        <w:spacing w:after="0" w:line="225" w:lineRule="exact"/>
        <w:rPr>
          <w:sz w:val="20"/>
          <w:szCs w:val="20"/>
          <w:color w:val="auto"/>
        </w:rPr>
      </w:pPr>
    </w:p>
    <w:p>
      <w:pPr>
        <w:jc w:val="both"/>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means, for any day with respect to any currency (other than Dollars), the rate at which such currency may be exchanged into Dollars, as set forth at 11:00 A.M., London time, on such day on the applicable Reuters currency page with respect to such currency on such day. In the event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4"/>
          </w:cols>
          <w:pgMar w:left="436" w:top="270" w:right="439" w:bottom="1440" w:gutter="0" w:footer="0" w:header="0"/>
        </w:sectPr>
      </w:pPr>
    </w:p>
    <w:bookmarkStart w:id="20" w:name="page21"/>
    <w:bookmarkEnd w:id="20"/>
    <w:p>
      <w:pPr>
        <w:jc w:val="both"/>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that such rate does not appear on the applicable Reuters currency page, the Exchange Rate with respect to such currency shall be determined by reference to such other publicly available service for displaying exchange rates as may be agreed upon by the Administrative Agent and the Company or, in the absence of such agreement, such Exchange Rate shall instead be the spot rate of exchange of the Administrative Agent in the London interbank market or other market where its foreign currency exchange operations in respect of such currency are then being conducted, at or about 11:00 A.M., London time, on such day for the purchase of Dollars with such currency, for delivery two Business Days later;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at the time of any such determination, for any reason, no such spot rate is being quoted, the Administrative Agent may use any reasonable method it deems appropriate to determine such rate, and such determination shall be conclusive absent manifest error.</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means (a) GM Holdings, (b) each of the Initial Excluded Subsidiaries, (c) each Subsidiary of the Company that</w:t>
      </w:r>
    </w:p>
    <w:p>
      <w:pPr>
        <w:spacing w:after="0" w:line="27" w:lineRule="exact"/>
        <w:rPr>
          <w:sz w:val="20"/>
          <w:szCs w:val="20"/>
          <w:color w:val="auto"/>
        </w:rPr>
      </w:pPr>
    </w:p>
    <w:p>
      <w:pPr>
        <w:jc w:val="both"/>
        <w:ind w:left="4" w:hanging="4"/>
        <w:spacing w:after="0" w:line="250" w:lineRule="auto"/>
        <w:tabs>
          <w:tab w:leader="none" w:pos="24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prohibited by any applicable requirement of law or Governmental Authority from guaranteeing the obligations of the Loan Parties or (ii) is acquired after the Closing Date and, at the time of acquisition, is a party to, or is bound by, any contract, agreement, instrument, indenture or other Contractual Obligation pursuant to which such Subsidiary’s agreement to guarantee the obligations of the Loan Parties is prohibited by, or would constitute a default or breach of, or would result in the termination of, such contract, agreement, instrument, indenture or other Contractual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contract, agreement, instrument, indenture or other Contractual Obligation shall not have been entered into in contemplation of such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Subsidiary shall cease to be an Excluded Subsidiary upon the termination of such contract, agreement, instrument, indenture or other Contractual Obligation, and will become a Subsidiary Guarantor only if required by and pursuant to this Agreement,</w:t>
      </w:r>
    </w:p>
    <w:p>
      <w:pPr>
        <w:spacing w:after="0" w:line="2"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28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Foreign Subsidiary, (e) each Subsidiary of a Foreign Subsidiary, (f) each Foreign Subsidiary Holding Company, (g) each Unconsolidated Subsidiary, (h) each Finance Subsidiary of the Company, (i) each Subsidiary that is a dealership and (j) each Subsidiary acquired or formed after the Closing Date primarily to operate an Excluded Subsidiary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Subsidiary shall cease to be an Excluded Subsidiary if such Subsidiary no longer operates an Excluded Subsidiary Business or the Company elects, in its sole discretion, in writing to the Administrative Agent that it no longer intends that such Subsidiary shall do so.</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 Businesses</w:t>
      </w:r>
      <w:r>
        <w:rPr>
          <w:rFonts w:ascii="Times New Roman" w:cs="Times New Roman" w:eastAsia="Times New Roman" w:hAnsi="Times New Roman"/>
          <w:sz w:val="18"/>
          <w:szCs w:val="18"/>
          <w:color w:val="auto"/>
        </w:rPr>
        <w:t xml:space="preserve">” means the businesses and/or Subsidiaries indicated on </w:t>
      </w:r>
      <w:r>
        <w:rPr>
          <w:rFonts w:ascii="Times New Roman" w:cs="Times New Roman" w:eastAsia="Times New Roman" w:hAnsi="Times New Roman"/>
          <w:sz w:val="18"/>
          <w:szCs w:val="18"/>
          <w:u w:val="single" w:color="auto"/>
          <w:color w:val="auto"/>
        </w:rPr>
        <w:t>Schedule 1.1E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withheld or deducted from a payment to a Recipient, (a) Taxes imposed on or measured by income or profits (including franchise taxes imposed in lieu of or in addition to net income Taxes) imposed as a result of a present or former connection between the Recipient and the jurisdiction of the Governmental Authority imposing such Tax or any political subdivision or taxing authority thereof or therein (other than any such connection arising solely from the Recipient having executed, delivered or performed its obligations or received a payment under, or enforced, this Agreement or any other Loan Document), (b) any branch profit Taxes imposed by the United States or any similar Tax imposed by any other Governmental Authority in a jurisdiction described in clause</w:t>
      </w:r>
    </w:p>
    <w:p>
      <w:pPr>
        <w:spacing w:after="0" w:line="5" w:lineRule="exact"/>
        <w:rPr>
          <w:sz w:val="20"/>
          <w:szCs w:val="20"/>
          <w:color w:val="auto"/>
        </w:rPr>
      </w:pPr>
    </w:p>
    <w:p>
      <w:pPr>
        <w:jc w:val="both"/>
        <w:ind w:left="4" w:right="20" w:hanging="4"/>
        <w:spacing w:after="0" w:line="252" w:lineRule="auto"/>
        <w:tabs>
          <w:tab w:leader="none" w:pos="2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(c) in the case of a Lender,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Company under Section 2.24) or (ii) such Lender changes its Applicable Lending Office, except in each case to the extent that, pursuant to Section 2.21, amounts with respect to such Taxes were payable either to such Lender’s assignor immediately before such Lender became a party hereto or to such Lender immediately before it changed its lending office, (d) Taxes attributable to such Recipient’s failure to comply with Section 2.21(d) to the extent such Recipient is legally entitled to so comply and (e) any Taxes imposed under FATCA.</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4"/>
          </w:cols>
          <w:pgMar w:left="436" w:top="270" w:right="439" w:bottom="1440" w:gutter="0" w:footer="0" w:header="0"/>
        </w:sectPr>
      </w:pPr>
    </w:p>
    <w:bookmarkStart w:id="21" w:name="page22"/>
    <w:bookmarkEnd w:id="21"/>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“Existing 364-Day Credit Agreement”</w:t>
      </w:r>
      <w:r>
        <w:rPr>
          <w:rFonts w:ascii="Times New Roman" w:cs="Times New Roman" w:eastAsia="Times New Roman" w:hAnsi="Times New Roman"/>
          <w:sz w:val="18"/>
          <w:szCs w:val="18"/>
          <w:color w:val="auto"/>
        </w:rPr>
        <w:t xml:space="preserve"> has the meaning assigned to such term in the recitals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Loan</w:t>
      </w:r>
      <w:r>
        <w:rPr>
          <w:rFonts w:ascii="Times New Roman" w:cs="Times New Roman" w:eastAsia="Times New Roman" w:hAnsi="Times New Roman"/>
          <w:sz w:val="18"/>
          <w:szCs w:val="18"/>
          <w:color w:val="auto"/>
        </w:rPr>
        <w:t>” means any “Loan” under and as defined in the Existing 364-Day Credit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Required Lenders</w:t>
      </w:r>
      <w:r>
        <w:rPr>
          <w:rFonts w:ascii="Times New Roman" w:cs="Times New Roman" w:eastAsia="Times New Roman" w:hAnsi="Times New Roman"/>
          <w:sz w:val="18"/>
          <w:szCs w:val="18"/>
          <w:color w:val="auto"/>
        </w:rPr>
        <w:t>” means the “Required Lenders” under and as defined in the Existing 364-Day Credit Agreement.</w:t>
      </w:r>
    </w:p>
    <w:p>
      <w:pPr>
        <w:spacing w:after="0" w:line="225"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Extensions of Credit</w:t>
      </w:r>
      <w:r>
        <w:rPr>
          <w:rFonts w:ascii="Times New Roman" w:cs="Times New Roman" w:eastAsia="Times New Roman" w:hAnsi="Times New Roman"/>
          <w:sz w:val="18"/>
          <w:szCs w:val="18"/>
          <w:color w:val="auto"/>
        </w:rPr>
        <w:t>” means, as to any Lender at any time, (a) prior to the Termination Date, an amount equal to the aggregate principal amount of all Loans held by such Lender then outstanding and (b) thereafter, the aggregate unpaid principal amount of all Converted Term Loans held by such Lender then outstanding.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means the Commitments and the extensions of credit made thereunder.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Fee</w:t>
      </w:r>
      <w:r>
        <w:rPr>
          <w:rFonts w:ascii="Times New Roman" w:cs="Times New Roman" w:eastAsia="Times New Roman" w:hAnsi="Times New Roman"/>
          <w:sz w:val="18"/>
          <w:szCs w:val="18"/>
          <w:color w:val="auto"/>
        </w:rPr>
        <w:t>” has the meaning assigned to such term in Section 2.10(a).</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Fee Rate</w:t>
      </w:r>
      <w:r>
        <w:rPr>
          <w:rFonts w:ascii="Times New Roman" w:cs="Times New Roman" w:eastAsia="Times New Roman" w:hAnsi="Times New Roman"/>
          <w:sz w:val="18"/>
          <w:szCs w:val="18"/>
          <w:color w:val="auto"/>
        </w:rPr>
        <w:t>” means, for any day relating to the Facility, with respect to the Facility Fees payable hereunder, the applicable rate per annum set forth under the column heading “Facility Fee Rate” in the Applicable Pricing Grid, based upon the Applicable Rating in effect on such day.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Rating</w:t>
      </w:r>
      <w:r>
        <w:rPr>
          <w:rFonts w:ascii="Times New Roman" w:cs="Times New Roman" w:eastAsia="Times New Roman" w:hAnsi="Times New Roman"/>
          <w:sz w:val="18"/>
          <w:szCs w:val="18"/>
          <w:color w:val="auto"/>
        </w:rPr>
        <w:t>” means, as of any date, the credit rating provided by Moody’s, S&amp;P or Fitch, as applicable, for the Facility provided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w:t>
      </w:r>
    </w:p>
    <w:p>
      <w:pPr>
        <w:spacing w:after="0" w:line="207" w:lineRule="exact"/>
        <w:rPr>
          <w:sz w:val="20"/>
          <w:szCs w:val="20"/>
          <w:color w:val="auto"/>
        </w:rPr>
      </w:pPr>
    </w:p>
    <w:p>
      <w:pPr>
        <w:jc w:val="both"/>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including any regulations or official interpretations thereof whether issued before or after the date of this Agreement, any agreements entered into pursuant to Section 1471(b)(1) of the Code, any intergovernmental agreements entered into between the United States and any other Governmental Authority in connection with the implementation of such Section of the Code (or any such amended or successor version thereof) and any law, regulation, rule, promulgation or official agreement implementing an official governmental agreement with respect to the foregoing.</w:t>
      </w:r>
    </w:p>
    <w:p>
      <w:pPr>
        <w:spacing w:after="0" w:line="183"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Federal Funds Effective Rate shall be less than zero, such rate shall be deemed to be zero for purposes of this Agreement.</w:t>
      </w:r>
    </w:p>
    <w:p>
      <w:pPr>
        <w:spacing w:after="0" w:line="180"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Payment Date</w:t>
      </w:r>
      <w:r>
        <w:rPr>
          <w:rFonts w:ascii="Times New Roman" w:cs="Times New Roman" w:eastAsia="Times New Roman" w:hAnsi="Times New Roman"/>
          <w:sz w:val="18"/>
          <w:szCs w:val="18"/>
          <w:color w:val="auto"/>
        </w:rPr>
        <w:t>” means (a) the first day of each January, April, July and October (or, if any such day is not a Business Day, the next succeeding Business Day) and (b) the last day of the final Fee Payment Period.</w:t>
      </w:r>
    </w:p>
    <w:p>
      <w:pPr>
        <w:spacing w:after="0" w:line="162"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Payment Period</w:t>
      </w:r>
      <w:r>
        <w:rPr>
          <w:rFonts w:ascii="Times New Roman" w:cs="Times New Roman" w:eastAsia="Times New Roman" w:hAnsi="Times New Roman"/>
          <w:sz w:val="18"/>
          <w:szCs w:val="18"/>
          <w:color w:val="auto"/>
        </w:rPr>
        <w:t>” means, initially, the period from and including the Closing Date to but excluding the first Fee Payment Period End Date to occur after the Closing Date, and thereafter, each period commencing on and including a Fee Payment Period End Date to but excluding the succeeding Fee Payment Period End Date (except that the final Fee Payment Period for any Lender shall end on the date on which the Commitment of such Lender terminates and its Extensions of Credit have been paid in full).</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22" w:name="page23"/>
    <w:bookmarkEnd w:id="2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Fee Payment Period End Date</w:t>
      </w:r>
      <w:r>
        <w:rPr>
          <w:rFonts w:ascii="Times New Roman" w:cs="Times New Roman" w:eastAsia="Times New Roman" w:hAnsi="Times New Roman"/>
          <w:sz w:val="18"/>
          <w:szCs w:val="18"/>
          <w:color w:val="auto"/>
        </w:rPr>
        <w:t>” means the fifteenth day of each March, June, September and December of each year.</w:t>
      </w:r>
    </w:p>
    <w:p>
      <w:pPr>
        <w:spacing w:after="0" w:line="225" w:lineRule="exact"/>
        <w:rPr>
          <w:sz w:val="20"/>
          <w:szCs w:val="20"/>
          <w:color w:val="auto"/>
        </w:rPr>
      </w:pPr>
    </w:p>
    <w:p>
      <w:pPr>
        <w:jc w:val="both"/>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Finance Subsidiary</w:t>
      </w:r>
      <w:r>
        <w:rPr>
          <w:rFonts w:ascii="Times New Roman" w:cs="Times New Roman" w:eastAsia="Times New Roman" w:hAnsi="Times New Roman"/>
          <w:sz w:val="18"/>
          <w:szCs w:val="18"/>
          <w:color w:val="auto"/>
        </w:rPr>
        <w:t>” means, with respect to any Person, any Subsidiary of such Person which is primarily engaged in leasing or financing activities including (a) lease and purchase financing provided by such Subsidiary to dealers and consumers, (b) leasing or financing of installment receivables or otherwise providing banking, financial or insurance services, including vehicle service contracts, to the Company and/or its affiliates or others or (c) financing the Company’s and/or its affiliates’ operations. For the avoidance of doubt, GM Global Treasury Centre Limited shall not be considered a Finance Subsidiary.</w:t>
      </w:r>
    </w:p>
    <w:p>
      <w:pPr>
        <w:spacing w:after="0" w:line="183"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with respect to any Person, the chief financial officer, principal accounting officer, a financial vice president, treasurer, assistant treasurer, or controller of such Person.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Ratings, a business segment of Fitch Group, Inc. and its successors.</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the benchmark rate floor, if any, provided in this Agreement initially (as of the execution of this Agreement, the modification, amendment or renewal of this Agreement or otherwise) with respect to the Term SOFR Rate or the Daily Simple SOFR, as applicable. For the avoidance of doubt, the initial Floor for each of the Term SOFR Rate or the Daily Simple SOFR shall be 0.00%.</w:t>
      </w:r>
    </w:p>
    <w:p>
      <w:pPr>
        <w:spacing w:after="0" w:line="176"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with respect to any Person, any Subsidiary of such Person that is organized under the laws of any jurisdiction outside the United States. Unless otherwise qualified, all references to a “Foreign Subsidiary” or to “Foreign Subsidiaries” in this Agreement shall refer to a Foreign Subsidiary or Foreign Subsidiaries of the Company.</w:t>
      </w:r>
    </w:p>
    <w:p>
      <w:pPr>
        <w:spacing w:after="0" w:line="176"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 Holding Company</w:t>
      </w:r>
      <w:r>
        <w:rPr>
          <w:rFonts w:ascii="Times New Roman" w:cs="Times New Roman" w:eastAsia="Times New Roman" w:hAnsi="Times New Roman"/>
          <w:sz w:val="18"/>
          <w:szCs w:val="18"/>
          <w:color w:val="auto"/>
        </w:rPr>
        <w:t>” means a Subsidiary substantially all of the Net Book Value of whose assets consists of Capital Stock (or other interests that could reasonably be characterized as equity for U.S. federal income tax purposes) or indebtedness of one or more Foreign Subsidiaries or other Foreign Subsidiary Holding Companies.</w:t>
      </w:r>
    </w:p>
    <w:p>
      <w:pPr>
        <w:spacing w:after="0" w:line="176"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Office</w:t>
      </w:r>
      <w:r>
        <w:rPr>
          <w:rFonts w:ascii="Times New Roman" w:cs="Times New Roman" w:eastAsia="Times New Roman" w:hAnsi="Times New Roman"/>
          <w:sz w:val="18"/>
          <w:szCs w:val="18"/>
          <w:color w:val="auto"/>
        </w:rPr>
        <w:t>” means the office of the Administrative Agent specified in Section 10.2 or such other office as may be specified from time to time by the Administrative Agent as its funding office with respect to the Facility by written notice to the Company, any relevant Subsidiary Borrower and the applicable Lenders.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as in effect from time to time in the United States.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GM Holdings</w:t>
      </w:r>
      <w:r>
        <w:rPr>
          <w:rFonts w:ascii="Times New Roman" w:cs="Times New Roman" w:eastAsia="Times New Roman" w:hAnsi="Times New Roman"/>
          <w:sz w:val="18"/>
          <w:szCs w:val="18"/>
          <w:color w:val="auto"/>
        </w:rPr>
        <w:t>” means General Motors Holdings LLC, a Delaware limited liability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GMF</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provincial, municipal or other governmental department, commission, board, bureau, agency or instrumentality, or any federal, state or municipal court, in each case whether of the United States or a foreign jurisdiction, including any applicable supranational bodies (such as the European Union or European Central Bank).</w:t>
      </w:r>
    </w:p>
    <w:p>
      <w:pPr>
        <w:spacing w:after="0" w:line="176"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means the Eighth Amended and Restated Guarantee Agreement to be executed and delivered by the Company, substantially in the form of Exhibit A.</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23" w:name="page24"/>
    <w:bookmarkEnd w:id="2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Guarantee Joinder</w:t>
      </w:r>
      <w:r>
        <w:rPr>
          <w:rFonts w:ascii="Times New Roman" w:cs="Times New Roman" w:eastAsia="Times New Roman" w:hAnsi="Times New Roman"/>
          <w:sz w:val="18"/>
          <w:szCs w:val="18"/>
          <w:color w:val="auto"/>
        </w:rPr>
        <w:t>” means a joinder agreement substantially in the form of Annex I to the Guarantee.</w:t>
      </w:r>
    </w:p>
    <w:p>
      <w:pPr>
        <w:spacing w:after="0" w:line="225" w:lineRule="exact"/>
        <w:rPr>
          <w:sz w:val="20"/>
          <w:szCs w:val="20"/>
          <w:color w:val="auto"/>
        </w:rPr>
      </w:pPr>
    </w:p>
    <w:p>
      <w:pPr>
        <w:jc w:val="both"/>
        <w:ind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 Obligation</w:t>
      </w:r>
      <w:r>
        <w:rPr>
          <w:rFonts w:ascii="Times New Roman" w:cs="Times New Roman" w:eastAsia="Times New Roman" w:hAnsi="Times New Roman"/>
          <w:sz w:val="18"/>
          <w:szCs w:val="18"/>
          <w:color w:val="auto"/>
        </w:rPr>
        <w:t>” means, as to any Person (the “</w:t>
      </w:r>
      <w:r>
        <w:rPr>
          <w:rFonts w:ascii="Times New Roman" w:cs="Times New Roman" w:eastAsia="Times New Roman" w:hAnsi="Times New Roman"/>
          <w:sz w:val="18"/>
          <w:szCs w:val="18"/>
          <w:u w:val="single" w:color="auto"/>
          <w:color w:val="auto"/>
        </w:rPr>
        <w:t>guaranteeing person</w:t>
      </w:r>
      <w:r>
        <w:rPr>
          <w:rFonts w:ascii="Times New Roman" w:cs="Times New Roman" w:eastAsia="Times New Roman" w:hAnsi="Times New Roman"/>
          <w:sz w:val="18"/>
          <w:szCs w:val="18"/>
          <w:color w:val="auto"/>
        </w:rPr>
        <w:t>”), if the primary purpose or intent thereof is to provide assurance that the Indebtedness of another Person will be paid or discharged, any obligation of the guaranteeing Person that guarantees or in effect guarantees, or which is given to induce the creation of a separate obligation by another Person (including any bank under any letter of credit) that guarantees or in effect guarantees, any Indebtedness (the “</w:t>
      </w:r>
      <w:r>
        <w:rPr>
          <w:rFonts w:ascii="Times New Roman" w:cs="Times New Roman" w:eastAsia="Times New Roman" w:hAnsi="Times New Roman"/>
          <w:sz w:val="18"/>
          <w:szCs w:val="18"/>
          <w:u w:val="single" w:color="auto"/>
          <w:color w:val="auto"/>
        </w:rPr>
        <w:t>primary obligations</w:t>
      </w:r>
      <w:r>
        <w:rPr>
          <w:rFonts w:ascii="Times New Roman" w:cs="Times New Roman" w:eastAsia="Times New Roman" w:hAnsi="Times New Roman"/>
          <w:sz w:val="18"/>
          <w:szCs w:val="18"/>
          <w:color w:val="auto"/>
        </w:rPr>
        <w:t>”) of any other third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xml:space="preserve">”) in any manner, whether directly or indirectly, including any obligation of the guaranteeing person, whether or not contingent, (a) to advance or supply funds for the purchase or payment of any such primary obligation, (b) to purchase property, securities or services primarily for the purpose of assuring the owner of any such primary obligation of the ability of the primary obligor to make payment of such primary obligation or (c) otherwise to assure or hold harmless the owner of any such primary obligation against loss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 “Guarantee Obligation” shall not include endorsements of instruments for deposit or collection in the ordinary course of business. The amount of any Guarantee Obligation of any guaranteeing person shall be deemed to be the lower of (i) an amount equal to the stated or determinable amount of the primary obligation in respect of which such Guarantee Obligation is made and (ii)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reasonably anticipated liability in respect thereof as determined by such guaranteeing person in accordance with GAAP.</w:t>
      </w:r>
    </w:p>
    <w:p>
      <w:pPr>
        <w:spacing w:after="0" w:line="197" w:lineRule="exact"/>
        <w:rPr>
          <w:sz w:val="20"/>
          <w:szCs w:val="20"/>
          <w:color w:val="auto"/>
        </w:rPr>
      </w:pPr>
    </w:p>
    <w:p>
      <w:pPr>
        <w:jc w:val="both"/>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means, collectively, the Company (with respect to the Obligations of any Subsidiary Borrower) and any Subsidiary Guarantors (if applicable). For the avoidance of doubt, GM Holdings does not and shall not constitute a Guarantor.</w:t>
      </w:r>
    </w:p>
    <w:p>
      <w:pPr>
        <w:spacing w:after="0" w:line="162"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Hedging Obligations</w:t>
      </w:r>
      <w:r>
        <w:rPr>
          <w:rFonts w:ascii="Times New Roman" w:cs="Times New Roman" w:eastAsia="Times New Roman" w:hAnsi="Times New Roman"/>
          <w:sz w:val="18"/>
          <w:szCs w:val="18"/>
          <w:color w:val="auto"/>
        </w:rPr>
        <w:t>” means any of the following: (a) a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 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(including any option with respect to any of these transactions) or (b) which is a type of transaction that is similar to any transaction referred to in clause (a) above that is currently, or in the future becomes, recurrently entered into in the financial markets (including terms and conditions incorporated by reference in such agreement) and which is a forward, swap, future, option or other derivative on one or more rates, currencies, commodities, equity securities or other equity instruments, debt securities or other debt instruments, economic indices or measures of economic risk or value, or other benchmarks against which payments or deliveries are to be made.</w:t>
      </w:r>
    </w:p>
    <w:p>
      <w:pPr>
        <w:spacing w:after="0" w:line="194"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Commitment</w:t>
      </w:r>
      <w:r>
        <w:rPr>
          <w:rFonts w:ascii="Times New Roman" w:cs="Times New Roman" w:eastAsia="Times New Roman" w:hAnsi="Times New Roman"/>
          <w:sz w:val="18"/>
          <w:szCs w:val="18"/>
          <w:color w:val="auto"/>
        </w:rPr>
        <w:t>” means, as to each Incremental Lender, in respect of any Commitment Increase, the obligation of such Incremental Lender on and after the applicable Commitment Increase Date to make Incremental Loans under this Facility in a principal amount equal to the amount set forth under the heading “Incremental Commitment” opposite such Incremental Lender’s name on the applicable Incremental Loan Activation Notice.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24" w:name="page25"/>
    <w:bookmarkEnd w:id="24"/>
    <w:p>
      <w:pPr>
        <w:ind w:left="4" w:right="8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Incremental Lender</w:t>
      </w:r>
      <w:r>
        <w:rPr>
          <w:rFonts w:ascii="Times New Roman" w:cs="Times New Roman" w:eastAsia="Times New Roman" w:hAnsi="Times New Roman"/>
          <w:sz w:val="18"/>
          <w:szCs w:val="18"/>
          <w:color w:val="auto"/>
        </w:rPr>
        <w:t xml:space="preserve">” means (a) any Lender designated by the Company, (b) any other bank, financial institution or other Person that does not have an investment grade rating from two of S&amp;P, Moody’s and Fitch at the time of such Commitment Increase which becomes a signatory to an Incremental Loan Activation Notice with the consent of the Company (in its sole discretion) and the Administrative Agent and (c) each Lender which has made, or acquired pursuant to an assignment made in accordance with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an Incremental Commitment.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Loan Activation Notice</w:t>
      </w:r>
      <w:r>
        <w:rPr>
          <w:rFonts w:ascii="Times New Roman" w:cs="Times New Roman" w:eastAsia="Times New Roman" w:hAnsi="Times New Roman"/>
          <w:sz w:val="18"/>
          <w:szCs w:val="18"/>
          <w:color w:val="auto"/>
        </w:rPr>
        <w:t>” means a notice substantially in the form of Exhibit 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at any date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acceptances, letters of credit, surety bonds or similar arrangements, (g) all Guarantee Obligations of such Person in respect of (x) solely for purposes of Section 7.2, obligations of the kind referred to in clause (a) above and (y) for all other purposes, obligations of the kind referred to in clauses (a) through</w:t>
      </w:r>
    </w:p>
    <w:p>
      <w:pPr>
        <w:spacing w:after="0" w:line="1" w:lineRule="exact"/>
        <w:rPr>
          <w:sz w:val="20"/>
          <w:szCs w:val="20"/>
          <w:color w:val="auto"/>
        </w:rPr>
      </w:pPr>
    </w:p>
    <w:p>
      <w:pPr>
        <w:jc w:val="both"/>
        <w:ind w:left="4" w:right="20" w:hanging="4"/>
        <w:spacing w:after="0" w:line="253" w:lineRule="auto"/>
        <w:tabs>
          <w:tab w:leader="none" w:pos="2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(h) all obligations of the kind referred to in clauses (a) through (g)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(i) all obligations of such Person in respect of Hedging Obligations.</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has the meaning assigned to such term in Section 10.5(c).</w:t>
      </w:r>
    </w:p>
    <w:p>
      <w:pPr>
        <w:spacing w:after="0" w:line="225" w:lineRule="exact"/>
        <w:rPr>
          <w:sz w:val="20"/>
          <w:szCs w:val="20"/>
          <w:color w:val="auto"/>
        </w:rPr>
      </w:pPr>
    </w:p>
    <w:p>
      <w:pPr>
        <w:jc w:val="both"/>
        <w:ind w:left="4"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the Company or any other Loan Party under any Loan Document and (b) to the extent not otherwise described in (a), Other Taxes.</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has the meaning assigned to such term in Section 10.5(c).</w:t>
      </w:r>
    </w:p>
    <w:p>
      <w:pPr>
        <w:spacing w:after="0" w:line="225" w:lineRule="exact"/>
        <w:rPr>
          <w:sz w:val="20"/>
          <w:szCs w:val="20"/>
          <w:color w:val="auto"/>
        </w:rPr>
      </w:pPr>
    </w:p>
    <w:p>
      <w:pPr>
        <w:jc w:val="both"/>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Index Debt Rating</w:t>
      </w:r>
      <w:r>
        <w:rPr>
          <w:rFonts w:ascii="Times New Roman" w:cs="Times New Roman" w:eastAsia="Times New Roman" w:hAnsi="Times New Roman"/>
          <w:sz w:val="18"/>
          <w:szCs w:val="18"/>
          <w:color w:val="auto"/>
        </w:rPr>
        <w:t>” means, as of any date, the credit rating provided by Moody’s, S&amp;P or Fitch, as applicable, for senior, unsecured, long-term Indebtedness of the Company.</w:t>
      </w:r>
    </w:p>
    <w:p>
      <w:pPr>
        <w:spacing w:after="0" w:line="162" w:lineRule="exact"/>
        <w:rPr>
          <w:sz w:val="20"/>
          <w:szCs w:val="20"/>
          <w:color w:val="auto"/>
        </w:rPr>
      </w:pPr>
    </w:p>
    <w:p>
      <w:pPr>
        <w:jc w:val="both"/>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Assignee</w:t>
      </w:r>
      <w:r>
        <w:rPr>
          <w:rFonts w:ascii="Times New Roman" w:cs="Times New Roman" w:eastAsia="Times New Roman" w:hAnsi="Times New Roman"/>
          <w:sz w:val="18"/>
          <w:szCs w:val="18"/>
          <w:color w:val="auto"/>
        </w:rPr>
        <w:t>” means (a) any Person that is a hedge fund or a captive finance company, (b) any Person, or affiliate of any such Person, which is a captive finance company of, or which is engaged in, automotive vehicle manufacturing, automotive vehicle distribution, automotive vehicle parts manufacturing or automotive vehicle parts distribution irrespective of whether such Person (or an affiliate thereof) is a direct competitor of the Company or any of its Subsidiaries, (c) any CLO, (d) any person that is not a commercial bank, (e) holding company, investment vehicle or trust for, or owned and operated for the primary benefit of a natural person or (f) any Defaulting Lender. For purposes of determining if a Person is an Ineligible Assignee,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4"/>
          </w:cols>
          <w:pgMar w:left="436" w:top="270" w:right="439" w:bottom="1440" w:gutter="0" w:footer="0" w:header="0"/>
        </w:sectPr>
      </w:pPr>
    </w:p>
    <w:bookmarkStart w:id="25" w:name="page26"/>
    <w:bookmarkEnd w:id="25"/>
    <w:p>
      <w:pPr>
        <w:jc w:val="both"/>
        <w:ind w:left="4"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Ineligible Participant</w:t>
      </w:r>
      <w:r>
        <w:rPr>
          <w:rFonts w:ascii="Times New Roman" w:cs="Times New Roman" w:eastAsia="Times New Roman" w:hAnsi="Times New Roman"/>
          <w:sz w:val="18"/>
          <w:szCs w:val="18"/>
          <w:color w:val="auto"/>
        </w:rPr>
        <w:t>” means any Person that is engaged in automotive vehicle manufacturing, automotive vehicle distribution, automotive vehicle parts manufacturing or automotive vehicle parts distribution and is a direct competitor of the Company or any of its Subsidiaries or any captive finance company controlled by such Person. For purposes of determining if a Person is an Ineligible Participant,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Excluded Subsidiary</w:t>
      </w:r>
      <w:r>
        <w:rPr>
          <w:rFonts w:ascii="Times New Roman" w:cs="Times New Roman" w:eastAsia="Times New Roman" w:hAnsi="Times New Roman"/>
          <w:sz w:val="18"/>
          <w:szCs w:val="18"/>
          <w:color w:val="auto"/>
        </w:rPr>
        <w:t xml:space="preserve">” means each Subsidiary listed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the collective reference to all rights, priorities and privileges with respect to intellectual property, arising under the laws of the United States or any State thereof,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means a request by the applicable Borrower to convert or continue a Borrowing in accordance with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2.14.</w:t>
      </w:r>
    </w:p>
    <w:p>
      <w:pPr>
        <w:spacing w:after="0" w:line="207" w:lineRule="exact"/>
        <w:rPr>
          <w:sz w:val="20"/>
          <w:szCs w:val="20"/>
          <w:color w:val="auto"/>
        </w:rPr>
      </w:pPr>
    </w:p>
    <w:p>
      <w:pPr>
        <w:jc w:val="both"/>
        <w:ind w:left="4" w:right="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as to any ABR Loan, the fifteenth day of each March, June, September and December to occur while such Loan is outstanding and the final maturity date of such Loan, (b) with respect to any Daily Simple SOFR Loan, (1) initially the date that is one week after the date of the borrowing of such Daily Simple SOFR Loan and, thereafter, each successive date that is on the same weekday as such initial date (provided that if such initial date or any such successive date is a day other than a Business Day, the applicable Interest Payment Date shall be extended to the next succeeding Business Day unless such next succeeding Business Day would fall in the next calendar week, in which case such Interest Payment Date shall occur on the next preceding Business Day), (2) the Termination Date and (3) the Converted Term Loan Maturity Date,</w:t>
      </w:r>
    </w:p>
    <w:p>
      <w:pPr>
        <w:spacing w:after="0" w:line="5" w:lineRule="exact"/>
        <w:rPr>
          <w:sz w:val="20"/>
          <w:szCs w:val="20"/>
          <w:color w:val="auto"/>
        </w:rPr>
      </w:pPr>
    </w:p>
    <w:p>
      <w:pPr>
        <w:jc w:val="both"/>
        <w:ind w:left="4" w:hanging="4"/>
        <w:spacing w:after="0" w:line="253"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the Termination Date and the Converted Term Loan Maturity Date and (d) as to any Loan, the date of any repayment or prepayment made in respect thereof (to the extent of such repayment or prepayment).</w:t>
      </w:r>
    </w:p>
    <w:p>
      <w:pPr>
        <w:spacing w:after="0" w:line="189" w:lineRule="exact"/>
        <w:rPr>
          <w:sz w:val="20"/>
          <w:szCs w:val="20"/>
          <w:color w:val="auto"/>
        </w:rPr>
      </w:pPr>
    </w:p>
    <w:p>
      <w:pPr>
        <w:jc w:val="both"/>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means, as to any Term Benchmark Loan (i), the period commencing on the borrowing or conversion date, as the case may be, with respect to such Loan and ending on the numerically corresponding day in the calendar month that is one, three or six months thereafter (in each case, subject to the availability for the Benchmark applicable to the relevant Loan or Commitment), as selected by the Company or relevant Subsidiary Borrower in its notice of borrowing or notice of conversion, as the case may be, given with respect thereto; and (ii) thereafter, each period commencing on the last day of the next preceding Interest Period applicable to such Loan and ending one, three or six months thereafter (in each case, subject to the availability for the Benchmark applicable to the relevant Loan or Commitment), as selected by the Company or relevant Subsidiary Borrower by irrevocable notice to the Administrative Agent not later than 1:00 P.M., New York City time, on the date that is three Business Days prior to the last day of the then current Interest Period with respect thereto; provided, that all of the foregoing provisions relating to Interest Periods are subject to the following:</w:t>
      </w:r>
    </w:p>
    <w:p>
      <w:pPr>
        <w:spacing w:after="0" w:line="80" w:lineRule="exact"/>
        <w:rPr>
          <w:sz w:val="20"/>
          <w:szCs w:val="20"/>
          <w:color w:val="auto"/>
        </w:rPr>
      </w:pPr>
    </w:p>
    <w:p>
      <w:pPr>
        <w:ind w:left="984" w:right="20" w:firstLine="408"/>
        <w:spacing w:after="0" w:line="282" w:lineRule="auto"/>
        <w:tabs>
          <w:tab w:leader="none" w:pos="168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Interest Period would otherwise end on a day that is not a Business Day, such Interest Period shall be extended to the next succeeding Business Day unless the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4"/>
          </w:cols>
          <w:pgMar w:left="436" w:top="270" w:right="439" w:bottom="1440" w:gutter="0" w:footer="0" w:header="0"/>
        </w:sectPr>
      </w:pPr>
    </w:p>
    <w:bookmarkStart w:id="26" w:name="page27"/>
    <w:bookmarkEnd w:id="26"/>
    <w:p>
      <w:pPr>
        <w:ind w:left="980"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result of such extension would be to carry such Interest Period into another calendar month in which event such Interest Period shall end on the immediately preceding Business Day;</w:t>
      </w:r>
    </w:p>
    <w:p>
      <w:pPr>
        <w:spacing w:after="0" w:line="54" w:lineRule="exact"/>
        <w:rPr>
          <w:sz w:val="20"/>
          <w:szCs w:val="20"/>
          <w:color w:val="auto"/>
        </w:rPr>
      </w:pPr>
    </w:p>
    <w:p>
      <w:pPr>
        <w:jc w:val="both"/>
        <w:ind w:left="980" w:firstLine="408"/>
        <w:spacing w:after="0" w:line="261" w:lineRule="auto"/>
        <w:tabs>
          <w:tab w:leader="none" w:pos="167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relevant Subsidiary Borrower may not select an Interest Period under the Facility that would extend beyond the earliest Termination Date then in effect for the Facility unless the Loans are converted into Converted Term Loans pursuant to Section 2.28, in which case the applicable Borrower may not select an Interest Period that would extend beyond the Converted Term Loan Maturity Date;</w:t>
      </w:r>
    </w:p>
    <w:p>
      <w:pPr>
        <w:spacing w:after="0" w:line="71"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68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begins on the last Business Day of a calendar month (or on a day for which there is no numerically corresponding day in the calendar month at the end of such Interest Period) shall end on the last Business Day of a calendar month; and</w:t>
      </w:r>
    </w:p>
    <w:p>
      <w:pPr>
        <w:spacing w:after="0" w:line="53" w:lineRule="exact"/>
        <w:rPr>
          <w:rFonts w:ascii="Times New Roman" w:cs="Times New Roman" w:eastAsia="Times New Roman" w:hAnsi="Times New Roman"/>
          <w:sz w:val="18"/>
          <w:szCs w:val="18"/>
          <w:color w:val="auto"/>
        </w:rPr>
      </w:pPr>
    </w:p>
    <w:p>
      <w:pPr>
        <w:jc w:val="both"/>
        <w:ind w:left="980" w:right="20" w:firstLine="408"/>
        <w:spacing w:after="0" w:line="266" w:lineRule="auto"/>
        <w:tabs>
          <w:tab w:leader="none" w:pos="17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tenor that has been removed from this definition pursuant to Section 2.18(e)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JPMorgan Fee Letter</w:t>
      </w:r>
      <w:r>
        <w:rPr>
          <w:rFonts w:ascii="Times New Roman" w:cs="Times New Roman" w:eastAsia="Times New Roman" w:hAnsi="Times New Roman"/>
          <w:sz w:val="18"/>
          <w:szCs w:val="18"/>
          <w:color w:val="auto"/>
        </w:rPr>
        <w:t>” means that certain fee letter dated as of February 6, 2026 between the Company and JPMorgan Chase Bank, N.A.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has the meaning assigned to such term in Section 10.13.</w:t>
      </w:r>
    </w:p>
    <w:p>
      <w:pPr>
        <w:spacing w:after="0" w:line="225" w:lineRule="exact"/>
        <w:rPr>
          <w:sz w:val="20"/>
          <w:szCs w:val="20"/>
          <w:color w:val="auto"/>
        </w:rPr>
      </w:pPr>
    </w:p>
    <w:p>
      <w:pPr>
        <w:jc w:val="both"/>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Insolvency Event</w:t>
      </w:r>
      <w:r>
        <w:rPr>
          <w:rFonts w:ascii="Times New Roman" w:cs="Times New Roman" w:eastAsia="Times New Roman" w:hAnsi="Times New Roman"/>
          <w:sz w:val="18"/>
          <w:szCs w:val="18"/>
          <w:color w:val="auto"/>
        </w:rPr>
        <w:t>” means, with respect to any Lender, that such Lender or its direct or indirect parent company is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For the avoidance of doubt, a Lender that participates in a government support program will not be considered to be the subject of a proceeding of the types described in this definition solely by reason of its participation in such government support program.</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any losses, claims (including interparty claims), demands, damages or liabilities of any kind.</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lien, security interest, charge, conditional sale or other title retention agreement or other similar encumbrance.</w:t>
      </w:r>
    </w:p>
    <w:p>
      <w:pPr>
        <w:spacing w:after="0" w:line="162"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 the Guarantee, the Notes, each Borrower Joinder Agreement, each Guarantee Joinder and any amendment, waiver, supplement or other modification to any of the foregoing.</w:t>
      </w:r>
    </w:p>
    <w:p>
      <w:pPr>
        <w:spacing w:after="0" w:line="162"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xml:space="preserve">” means, collectively, the Company, each Subsidiary Borrower and each Subsidiary Guarantor (if 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term “Loan Parties” shall not include any such</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27" w:name="page28"/>
    <w:bookmarkEnd w:id="2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Person from and after the date such Person ceases to be a party to the Loan Documents in accordance with the terms thereof until the date such Person becomes or is required to become a party to any Loan Document.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and advances made by the Lenders pursuant to this Agreement.</w:t>
      </w:r>
    </w:p>
    <w:p>
      <w:pPr>
        <w:spacing w:after="0" w:line="225" w:lineRule="exact"/>
        <w:rPr>
          <w:sz w:val="20"/>
          <w:szCs w:val="20"/>
          <w:color w:val="auto"/>
        </w:rPr>
      </w:pPr>
    </w:p>
    <w:p>
      <w:pPr>
        <w:jc w:val="both"/>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Marketable Securities</w:t>
      </w:r>
      <w:r>
        <w:rPr>
          <w:rFonts w:ascii="Times New Roman" w:cs="Times New Roman" w:eastAsia="Times New Roman" w:hAnsi="Times New Roman"/>
          <w:sz w:val="18"/>
          <w:szCs w:val="18"/>
          <w:color w:val="auto"/>
        </w:rPr>
        <w:t>” means, with respect to any Person, investments by such Person in fixed income securities with original maturities greater than 90 days that have a determinable fair value, are liquid and are readily convertible into cash. For avoidance of doubt, (i) such investments are passive investments, purchased by such Person in the ordinary course of business as part of its liquidity and/or cash management activities, and (ii) for all purposes of the Loan Documents, the amount of Marketable Securities of the Company and its Subsidiaries as of the last day of any fiscal quarter or fiscal year of the Company is equal to the amount reported on the Company’s Annual Report on Form 10-K and Quarterly Report on Form 10-Q consolidated balance sheet for such fiscal quarter or fiscal year, as the case may be, as the line “Marketable Securities”, less any adjustment for securities that do not satisfy the requirements of the first sentence of this definition.</w:t>
      </w:r>
    </w:p>
    <w:p>
      <w:pPr>
        <w:spacing w:after="0" w:line="189"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financial condition of the Company and its Domestic Subsidiaries, taken as a whole or (b) the validity or enforceability of the Loan Documents, taken as a whole, or the rights and remedies of the Administrative Agent and the Lenders hereunder or thereunder, taken as a whole.</w:t>
      </w:r>
    </w:p>
    <w:p>
      <w:pPr>
        <w:spacing w:after="0" w:line="176"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with respect to the Company or any Principal Domestic Subsidiary, indebtedness for borrowed money of, or guaranteed by, such Person having an aggregate principal amount, individually or in the aggregate, the Dollar Equivalent of which exceeds $1 billion.</w:t>
      </w:r>
    </w:p>
    <w:p>
      <w:pPr>
        <w:spacing w:after="0" w:line="162"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Loan Party</w:t>
      </w:r>
      <w:r>
        <w:rPr>
          <w:rFonts w:ascii="Times New Roman" w:cs="Times New Roman" w:eastAsia="Times New Roman" w:hAnsi="Times New Roman"/>
          <w:sz w:val="18"/>
          <w:szCs w:val="18"/>
          <w:color w:val="auto"/>
        </w:rPr>
        <w:t>” means, (a) the Company and (b) any Subsidiary Guarantor (if any) that, at the time of determination, has Consolidated Total Assets equal to at least 10% of the Consolidated Total Assets of the Company at such time, as reflected initially in the 2025 10-K and thereafter in the most recent annual consolidated financial statements of the Company delivered or deemed delivered pursuant to Section 6.1.</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has the meaning specified in Section 10.22.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its successors.</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defined as such in Section 4001(a)(3) or Section 3(37) of ERISA to which contributions are required to be made by the Company or any ERISA Affiliate or to which the Company or any ERISA Affiliate may have any direct or indirect liability or obligation contingent or otherwise.</w:t>
      </w:r>
    </w:p>
    <w:p>
      <w:pPr>
        <w:spacing w:after="0" w:line="176"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Book Value</w:t>
      </w:r>
      <w:r>
        <w:rPr>
          <w:rFonts w:ascii="Times New Roman" w:cs="Times New Roman" w:eastAsia="Times New Roman" w:hAnsi="Times New Roman"/>
          <w:sz w:val="18"/>
          <w:szCs w:val="18"/>
          <w:color w:val="auto"/>
        </w:rPr>
        <w:t xml:space="preserve">” means with respect to any asset of any Person (a) other than accounts receivable, the gross book value of such asset on the balance sheet of such Person,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depreciation in respect of such asset on such balance sheet and (b) with respect to accounts receivable, the gross book value thereof,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any specific reserves attributable thereto.</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Lender</w:t>
      </w:r>
      <w:r>
        <w:rPr>
          <w:rFonts w:ascii="Times New Roman" w:cs="Times New Roman" w:eastAsia="Times New Roman" w:hAnsi="Times New Roman"/>
          <w:sz w:val="18"/>
          <w:szCs w:val="18"/>
          <w:color w:val="auto"/>
        </w:rPr>
        <w:t>” means any lender that is not a U.S. person.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has the meaning assigned to such term in Section 2.19(g).</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70" w:right="439" w:bottom="1440" w:gutter="0" w:footer="0" w:header="0"/>
        </w:sectPr>
      </w:pPr>
    </w:p>
    <w:bookmarkStart w:id="28" w:name="page29"/>
    <w:bookmarkEnd w:id="28"/>
    <w:p>
      <w:pPr>
        <w:jc w:val="both"/>
        <w:ind w:left="4"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NYFRB Rate</w:t>
      </w:r>
      <w:r>
        <w:rPr>
          <w:rFonts w:ascii="Times New Roman" w:cs="Times New Roman" w:eastAsia="Times New Roman" w:hAnsi="Times New Roman"/>
          <w:sz w:val="18"/>
          <w:szCs w:val="18"/>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any of the aforesaid rates shall be less than zero, such rate shall be deemed to be zero for purposes of this Agreement.</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NYFRB’s Website</w:t>
      </w:r>
      <w:r>
        <w:rPr>
          <w:rFonts w:ascii="Times New Roman" w:cs="Times New Roman" w:eastAsia="Times New Roman" w:hAnsi="Times New Roman"/>
          <w:sz w:val="18"/>
          <w:szCs w:val="18"/>
          <w:color w:val="auto"/>
        </w:rPr>
        <w:t>” means the website of the NYFRB at http://www.newyorkfed.org, or any successor source.</w:t>
      </w:r>
    </w:p>
    <w:p>
      <w:pPr>
        <w:spacing w:after="0" w:line="225" w:lineRule="exact"/>
        <w:rPr>
          <w:sz w:val="20"/>
          <w:szCs w:val="20"/>
          <w:color w:val="auto"/>
        </w:rPr>
      </w:pPr>
    </w:p>
    <w:p>
      <w:pPr>
        <w:jc w:val="both"/>
        <w:ind w:left="4"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collectively, the unpaid principal of and interest on the Loans and all other obligations and liabilities of the Company, any other Borrower and any Subsidiary Guarantor (including interest accruing at the then applicable rate provided in this Agreement after the maturity of the Loans and Post-Petition Interest) to the Administrative Agent or any Lender hereunder, whether direct or indirect, absolute or contingent, due or to become due, or now existing or hereafter incurred, which may arise under, out of, or in connection with, the Loan Documents, in each case whether on account of principal, interest, reimbursement obligations, fees, prepayment premiums, indemnities, costs, expenses or otherwise (including all fees and disbursements of counsel to the Administrative Agent or the Lenders that are required to be paid by the Company, any of the Subsidiary Borrowers or any of the Subsidiary Guarantors pursuant to the terms of any of the Loan Documents).</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U.S. Department of the Treasury’s Office of Foreign Assets Control.</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Currency</w:t>
      </w:r>
      <w:r>
        <w:rPr>
          <w:rFonts w:ascii="Times New Roman" w:cs="Times New Roman" w:eastAsia="Times New Roman" w:hAnsi="Times New Roman"/>
          <w:sz w:val="18"/>
          <w:szCs w:val="18"/>
          <w:color w:val="auto"/>
        </w:rPr>
        <w:t>” has the meaning assigned to such term in Section 10.13.</w:t>
      </w:r>
    </w:p>
    <w:p>
      <w:pPr>
        <w:spacing w:after="0" w:line="225" w:lineRule="exact"/>
        <w:rPr>
          <w:sz w:val="20"/>
          <w:szCs w:val="20"/>
          <w:color w:val="auto"/>
        </w:rPr>
      </w:pPr>
    </w:p>
    <w:p>
      <w:pPr>
        <w:jc w:val="both"/>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any and all present or future stamp or documentary Taxes and any other excise or property, intangible or mortgage recording Taxes, charges or similar levies arising from any payment made hereunder or from the execution, delivery or enforcement of, or otherwise with respect to, this Agreement or any other Loan Document, except any such Taxes imposed with respect to an assignment (other than an assignment made pursuant to Section 2.24) as a result of a present or former connection between the recipient of such payment and the jurisdiction imposing such Taxes.</w:t>
      </w:r>
    </w:p>
    <w:p>
      <w:pPr>
        <w:spacing w:after="0" w:line="183" w:lineRule="exact"/>
        <w:rPr>
          <w:sz w:val="20"/>
          <w:szCs w:val="20"/>
          <w:color w:val="auto"/>
        </w:rPr>
      </w:pPr>
    </w:p>
    <w:p>
      <w:pPr>
        <w:jc w:val="both"/>
        <w:ind w:left="4"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Outbound Investment Rules</w:t>
      </w:r>
      <w:r>
        <w:rPr>
          <w:rFonts w:ascii="Times New Roman" w:cs="Times New Roman" w:eastAsia="Times New Roman" w:hAnsi="Times New Roman"/>
          <w:sz w:val="18"/>
          <w:szCs w:val="18"/>
          <w:color w:val="auto"/>
        </w:rPr>
        <w:t>”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Amount</w:t>
      </w:r>
      <w:r>
        <w:rPr>
          <w:rFonts w:ascii="Times New Roman" w:cs="Times New Roman" w:eastAsia="Times New Roman" w:hAnsi="Times New Roman"/>
          <w:sz w:val="18"/>
          <w:szCs w:val="18"/>
          <w:color w:val="auto"/>
        </w:rPr>
        <w:t>” means (a) with respect to indebtedness for borrowed money, the aggregate outstanding principal amount thereof,</w:t>
      </w:r>
    </w:p>
    <w:p>
      <w:pPr>
        <w:spacing w:after="0" w:line="27" w:lineRule="exact"/>
        <w:rPr>
          <w:sz w:val="20"/>
          <w:szCs w:val="20"/>
          <w:color w:val="auto"/>
        </w:rPr>
      </w:pPr>
    </w:p>
    <w:p>
      <w:pPr>
        <w:ind w:left="4" w:right="20" w:hanging="4"/>
        <w:spacing w:after="0" w:line="260" w:lineRule="auto"/>
        <w:tabs>
          <w:tab w:leader="none" w:pos="27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Hedging Obligations, the aggregate amount recorded by the applicable obligor as its termination liability thereunder and (c) with respect to any other obligations, the aggregate outstanding amount thereof.</w:t>
      </w:r>
    </w:p>
    <w:p>
      <w:pPr>
        <w:spacing w:after="0" w:line="181" w:lineRule="exact"/>
        <w:rPr>
          <w:sz w:val="20"/>
          <w:szCs w:val="20"/>
          <w:color w:val="auto"/>
        </w:rPr>
      </w:pPr>
    </w:p>
    <w:p>
      <w:pPr>
        <w:jc w:val="both"/>
        <w:ind w:left="4"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xml:space="preserve">”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Overnight Bank Funding Rate shall be less than zero, such rate shall be deemed to be zero for purposes of this Agreement.</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assigned to such term in Section 10.6(c)(i).</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4"/>
          </w:cols>
          <w:pgMar w:left="436" w:top="270" w:right="439" w:bottom="1440" w:gutter="0" w:footer="0" w:header="0"/>
        </w:sectPr>
      </w:pPr>
    </w:p>
    <w:bookmarkStart w:id="29" w:name="page30"/>
    <w:bookmarkEnd w:id="2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assigned to such term in Section 10.6(c)(i).</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has the meaning assigned to it in Section 9.13(c).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has the meaning assigned to it in Section 9.13(c).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established pursuant to Subtitle A of Title IV of ERISA.</w:t>
      </w:r>
    </w:p>
    <w:p>
      <w:pPr>
        <w:spacing w:after="0" w:line="225"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Percentage</w:t>
      </w:r>
      <w:r>
        <w:rPr>
          <w:rFonts w:ascii="Times New Roman" w:cs="Times New Roman" w:eastAsia="Times New Roman" w:hAnsi="Times New Roman"/>
          <w:sz w:val="18"/>
          <w:szCs w:val="18"/>
          <w:color w:val="auto"/>
        </w:rPr>
        <w:t>” means as to any Lender at any time, the percentage which such Lender’s Commitment then constitutes of the aggregate amount of the Commitments then in effect or, at any time after the Commitments shall have expired or terminated, the percentage which the aggregate Outstanding Amount of Extensions of Credit of such Lender then outstanding constitutes of the aggregate Outstanding Amount of Extensions of Credit of the Lenders then outstanding.</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jc w:val="both"/>
        <w:ind w:left="980" w:right="20" w:firstLine="408"/>
        <w:spacing w:after="0" w:line="261" w:lineRule="auto"/>
        <w:tabs>
          <w:tab w:leader="none" w:pos="162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for Taxes, assessments, governmental charges and utility charges, in each case that (i) are not yet delinquent, (ii) are not yet subject to penalties or interest for non-payment, (iii) are due, but the Liens imposed for such Taxes, assessments or charges are unenforceable or (iv) are being contested in good faith by appropriate actions or proceedings,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and to the extent required by GAAP, adequate reserves with respect thereto are maintained on the books of the relevant Person in conformity with GAAP;</w:t>
      </w:r>
    </w:p>
    <w:p>
      <w:pPr>
        <w:spacing w:after="0" w:line="71" w:lineRule="exact"/>
        <w:rPr>
          <w:rFonts w:ascii="Times New Roman" w:cs="Times New Roman" w:eastAsia="Times New Roman" w:hAnsi="Times New Roman"/>
          <w:sz w:val="18"/>
          <w:szCs w:val="18"/>
          <w:color w:val="auto"/>
        </w:rPr>
      </w:pPr>
    </w:p>
    <w:p>
      <w:pPr>
        <w:jc w:val="both"/>
        <w:ind w:left="980" w:right="20" w:firstLine="408"/>
        <w:spacing w:after="0" w:line="266" w:lineRule="auto"/>
        <w:tabs>
          <w:tab w:leader="none" w:pos="16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materialmen’s, repairmen’s, supplier’s, landlord’s or other like Liens imposed by law or arising in the ordinary course of business (including deposits made to obtain the release of such Liens) that are not overdue for a period of more than 60 days or that are being contested in good faith by appropriate actions or proceedings;</w:t>
      </w:r>
    </w:p>
    <w:p>
      <w:pPr>
        <w:spacing w:after="0" w:line="6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Hedging Obligations not entered into for speculative purposes;</w:t>
      </w:r>
    </w:p>
    <w:p>
      <w:pPr>
        <w:spacing w:after="0" w:line="117" w:lineRule="exact"/>
        <w:rPr>
          <w:rFonts w:ascii="Times New Roman" w:cs="Times New Roman" w:eastAsia="Times New Roman" w:hAnsi="Times New Roman"/>
          <w:sz w:val="18"/>
          <w:szCs w:val="18"/>
          <w:color w:val="auto"/>
        </w:rPr>
      </w:pPr>
    </w:p>
    <w:p>
      <w:pPr>
        <w:jc w:val="both"/>
        <w:ind w:left="980" w:right="20" w:firstLine="408"/>
        <w:spacing w:after="0" w:line="266" w:lineRule="auto"/>
        <w:tabs>
          <w:tab w:leader="none" w:pos="164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common law or customary Liens (or similar rights) in favor of trustees and escrow agents, and netting and statutory or common law Liens, set-off rights, banker’s Liens, Liens arising under Section 4-210 of the UCC and the like in favor of counterparties to financial obligations and instruments;</w:t>
      </w:r>
    </w:p>
    <w:p>
      <w:pPr>
        <w:spacing w:after="0" w:line="67" w:lineRule="exact"/>
        <w:rPr>
          <w:rFonts w:ascii="Times New Roman" w:cs="Times New Roman" w:eastAsia="Times New Roman" w:hAnsi="Times New Roman"/>
          <w:sz w:val="18"/>
          <w:szCs w:val="18"/>
          <w:color w:val="auto"/>
        </w:rPr>
      </w:pPr>
    </w:p>
    <w:p>
      <w:pPr>
        <w:jc w:val="both"/>
        <w:ind w:left="980" w:firstLine="408"/>
        <w:spacing w:after="0" w:line="258" w:lineRule="auto"/>
        <w:tabs>
          <w:tab w:leader="none" w:pos="16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licenses, leases or subleases granted to others, encroachments, covenants, use agreements, easements, rights-of-way, reservations of rights, title defects, servitudes, zoning and environmental restrictions, other restrictions and other similar encumbrances and other agreements incurred or entered into in the ordinary course of business or imposed by law that, individually or in the aggregate, do not in any case materially detract from the value of the property subject thereto or materially interfere with the ordinary conduct of the business of the Company and the Principal Domestic Subsidiaries, taken as a whole;</w:t>
      </w:r>
    </w:p>
    <w:p>
      <w:pPr>
        <w:spacing w:after="0" w:line="75"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under leases or subleases of real or personal property that do not, individually or in the aggregate, materially interfere with the ordinary conduct of business of the Company and the Principal Domestic Subsidiaries, taken as a whole;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70" w:right="439" w:bottom="1440" w:gutter="0" w:footer="0" w:header="0"/>
        </w:sectPr>
      </w:pPr>
    </w:p>
    <w:bookmarkStart w:id="30" w:name="page31"/>
    <w:bookmarkEnd w:id="30"/>
    <w:p>
      <w:pPr>
        <w:jc w:val="both"/>
        <w:ind w:left="-20" w:firstLine="408"/>
        <w:spacing w:after="0" w:line="256" w:lineRule="auto"/>
        <w:tabs>
          <w:tab w:leader="none" w:pos="63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pledges or deposits made in the ordinary course of business or imposed by law in connection with workers’ compensation, unemployment or other insurance (including self-insurance arrangements) or other types of social security or pension benefits or to secure the performance of bids, tenders, sales, contracts (other than for the repayment of borrowed money), licenses, leases (other than capital lease obligations), statutory or regulatory obligations and surety, appeal, customs or performance bonds and similar obligations, or deposits as security for contested taxes or import or customs duties or similar obligations or for the payment of rent, in each case, incurred in the ordinary course of business;</w:t>
      </w:r>
    </w:p>
    <w:p>
      <w:pPr>
        <w:spacing w:after="0" w:line="79" w:lineRule="exact"/>
        <w:rPr>
          <w:rFonts w:ascii="Times New Roman" w:cs="Times New Roman" w:eastAsia="Times New Roman" w:hAnsi="Times New Roman"/>
          <w:sz w:val="18"/>
          <w:szCs w:val="18"/>
          <w:color w:val="auto"/>
        </w:rPr>
      </w:pPr>
    </w:p>
    <w:p>
      <w:pPr>
        <w:jc w:val="both"/>
        <w:ind w:left="-20" w:firstLine="408"/>
        <w:spacing w:after="0" w:line="266" w:lineRule="auto"/>
        <w:tabs>
          <w:tab w:leader="none" w:pos="63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UCC financing statement filings (or similar filings) regarding or otherwise arising under (i) leases entered into by the Company or any Principal Domestic Subsidiary in the ordinary course of business or (ii) sales of accounts, payment intangibles, chattel paper, receivables and/or instruments;</w:t>
      </w:r>
    </w:p>
    <w:p>
      <w:pPr>
        <w:spacing w:after="0" w:line="67" w:lineRule="exact"/>
        <w:rPr>
          <w:rFonts w:ascii="Times New Roman" w:cs="Times New Roman" w:eastAsia="Times New Roman" w:hAnsi="Times New Roman"/>
          <w:sz w:val="18"/>
          <w:szCs w:val="18"/>
          <w:color w:val="auto"/>
        </w:rPr>
      </w:pPr>
    </w:p>
    <w:p>
      <w:pPr>
        <w:jc w:val="both"/>
        <w:ind w:left="-20" w:firstLine="408"/>
        <w:spacing w:after="0" w:line="255" w:lineRule="auto"/>
        <w:tabs>
          <w:tab w:leader="none" w:pos="62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Liens granted by the Company or any Principal Domestic Subsidiary and Liens in respect of Capital Lease Obligations (including the interest of a lessor under any Capital Lease Obligation and purchase money Liens to which any property is subject at the time, on or after the date hereof, of the Company or such Principal Domestic Subsidiary’s acquisition thereof including acquisitions through amalgamation, merger or consolidation) limited, in each case, to the property purchased with the proceeds of such purchase money indebtedness or subject to such Capital Lease Obligations, or Liens granted to secure Indebtedness provided or guaranteed by a Governmental Authority to finance research and development, limited to the property purchased or developed with the proceeds of such Indebtedness;</w:t>
      </w:r>
    </w:p>
    <w:p>
      <w:pPr>
        <w:spacing w:after="0" w:line="80" w:lineRule="exact"/>
        <w:rPr>
          <w:rFonts w:ascii="Times New Roman" w:cs="Times New Roman" w:eastAsia="Times New Roman" w:hAnsi="Times New Roman"/>
          <w:sz w:val="18"/>
          <w:szCs w:val="18"/>
          <w:color w:val="auto"/>
        </w:rPr>
      </w:pPr>
    </w:p>
    <w:p>
      <w:pPr>
        <w:jc w:val="both"/>
        <w:ind w:left="-20" w:right="20" w:firstLine="408"/>
        <w:spacing w:after="0" w:line="266" w:lineRule="auto"/>
        <w:tabs>
          <w:tab w:leader="none" w:pos="6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 existence on the Closing Date and listed on </w:t>
      </w:r>
      <w:r>
        <w:rPr>
          <w:rFonts w:ascii="Times New Roman" w:cs="Times New Roman" w:eastAsia="Times New Roman" w:hAnsi="Times New Roman"/>
          <w:sz w:val="18"/>
          <w:szCs w:val="18"/>
          <w:u w:val="single" w:color="auto"/>
          <w:color w:val="auto"/>
        </w:rPr>
        <w:t>Schedule 1.1D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Lien is spread to cover any unrelated property acquired by the Company or any Principal Domestic Subsidiary after the Closing Date and that the amount of Indebtedness or other obligations secured thereby is not increased (except as otherwise permitted by this Agreement);</w:t>
      </w:r>
    </w:p>
    <w:p>
      <w:pPr>
        <w:spacing w:after="0" w:line="67" w:lineRule="exact"/>
        <w:rPr>
          <w:rFonts w:ascii="Times New Roman" w:cs="Times New Roman" w:eastAsia="Times New Roman" w:hAnsi="Times New Roman"/>
          <w:sz w:val="18"/>
          <w:szCs w:val="18"/>
          <w:color w:val="auto"/>
        </w:rPr>
      </w:pPr>
    </w:p>
    <w:p>
      <w:pPr>
        <w:jc w:val="both"/>
        <w:ind w:left="-20" w:right="20" w:firstLine="408"/>
        <w:spacing w:after="0" w:line="266" w:lineRule="auto"/>
        <w:tabs>
          <w:tab w:leader="none" w:pos="63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or Capital Stock of a Person at the time such Person becomes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Liens are not created, incurred or assumed in connection with, or in contemplation of, such other Person becoming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Lien may not extend to any other property owned by the Company or any Principal Domestic Subsidiary;</w:t>
      </w:r>
    </w:p>
    <w:p>
      <w:pPr>
        <w:spacing w:after="0" w:line="67" w:lineRule="exact"/>
        <w:rPr>
          <w:rFonts w:ascii="Times New Roman" w:cs="Times New Roman" w:eastAsia="Times New Roman" w:hAnsi="Times New Roman"/>
          <w:sz w:val="18"/>
          <w:szCs w:val="18"/>
          <w:color w:val="auto"/>
        </w:rPr>
      </w:pPr>
    </w:p>
    <w:p>
      <w:pPr>
        <w:jc w:val="both"/>
        <w:ind w:left="-20" w:firstLine="408"/>
        <w:spacing w:after="0" w:line="261" w:lineRule="auto"/>
        <w:tabs>
          <w:tab w:leader="none" w:pos="60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at the time the Company or any Principal Domestic Subsidiary acquires the property, including any acquisition by means of a merger or consolidation with or into the Company or such Principal Domestic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Liens are not created, incurred or assumed in connection with, or in contemplation of, such acquisition;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Liens may not extend to any other property owned by the Company or any Principal Domestic Subsidiary;</w:t>
      </w:r>
    </w:p>
    <w:p>
      <w:pPr>
        <w:spacing w:after="0" w:line="71" w:lineRule="exact"/>
        <w:rPr>
          <w:rFonts w:ascii="Times New Roman" w:cs="Times New Roman" w:eastAsia="Times New Roman" w:hAnsi="Times New Roman"/>
          <w:sz w:val="18"/>
          <w:szCs w:val="18"/>
          <w:color w:val="auto"/>
        </w:rPr>
      </w:pPr>
    </w:p>
    <w:p>
      <w:pPr>
        <w:jc w:val="both"/>
        <w:ind w:left="-20" w:firstLine="408"/>
        <w:spacing w:after="0" w:line="266" w:lineRule="auto"/>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securing the renewal, extension, refinancing, replacing, amending, extending, modifying or refunding of any indebtedness or obligation secured by any Lien permitted by clause (i), (j), (k), (l) or (p) or this clause (m) without any change in the assets subject to such Lien;</w:t>
      </w:r>
    </w:p>
    <w:p>
      <w:pPr>
        <w:spacing w:after="0" w:line="1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020"/>
          </w:cols>
          <w:pgMar w:left="1440" w:top="270" w:right="439" w:bottom="1440" w:gutter="0" w:footer="0" w:header="0"/>
        </w:sectPr>
      </w:pPr>
    </w:p>
    <w:bookmarkStart w:id="31" w:name="page32"/>
    <w:bookmarkEnd w:id="31"/>
    <w:p>
      <w:pPr>
        <w:ind w:left="-7" w:right="20" w:firstLine="408"/>
        <w:spacing w:after="0" w:line="282" w:lineRule="auto"/>
        <w:tabs>
          <w:tab w:leader="none" w:pos="65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Lien arising out of claims under a judgment rendered, decree or claim filed so long as such judgments, decrees or claims do not constitute an Event of Default;</w:t>
      </w:r>
    </w:p>
    <w:p>
      <w:pPr>
        <w:spacing w:after="0" w:line="53" w:lineRule="exact"/>
        <w:rPr>
          <w:rFonts w:ascii="Times New Roman" w:cs="Times New Roman" w:eastAsia="Times New Roman" w:hAnsi="Times New Roman"/>
          <w:sz w:val="18"/>
          <w:szCs w:val="18"/>
          <w:color w:val="auto"/>
        </w:rPr>
      </w:pPr>
    </w:p>
    <w:p>
      <w:pPr>
        <w:ind w:left="653" w:hanging="252"/>
        <w:spacing w:after="0"/>
        <w:tabs>
          <w:tab w:leader="none" w:pos="65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consisting of rights reserved to or vested in any Governmental Authority by any statutory provision;</w:t>
      </w:r>
    </w:p>
    <w:p>
      <w:pPr>
        <w:spacing w:after="0" w:line="117" w:lineRule="exact"/>
        <w:rPr>
          <w:rFonts w:ascii="Times New Roman" w:cs="Times New Roman" w:eastAsia="Times New Roman" w:hAnsi="Times New Roman"/>
          <w:sz w:val="18"/>
          <w:szCs w:val="18"/>
          <w:color w:val="auto"/>
        </w:rPr>
      </w:pPr>
    </w:p>
    <w:p>
      <w:pPr>
        <w:ind w:left="653" w:hanging="252"/>
        <w:spacing w:after="0"/>
        <w:tabs>
          <w:tab w:leader="none" w:pos="65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lessors pursuant to Sale/Leaseback Transactions;</w:t>
      </w:r>
    </w:p>
    <w:p>
      <w:pPr>
        <w:spacing w:after="0" w:line="117" w:lineRule="exact"/>
        <w:rPr>
          <w:rFonts w:ascii="Times New Roman" w:cs="Times New Roman" w:eastAsia="Times New Roman" w:hAnsi="Times New Roman"/>
          <w:sz w:val="18"/>
          <w:szCs w:val="18"/>
          <w:color w:val="auto"/>
        </w:rPr>
      </w:pPr>
    </w:p>
    <w:p>
      <w:pPr>
        <w:jc w:val="both"/>
        <w:ind w:left="-7" w:right="20" w:firstLine="408"/>
        <w:spacing w:after="0" w:line="253" w:lineRule="auto"/>
        <w:tabs>
          <w:tab w:leader="none" w:pos="68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or other obligations comprising or Guarantee Obligations with respect to (i) letters of credit, bankers’ acceptances and similar instruments issued in the ordinary course of business in respect of the financing of insurance premiums, customs, stay, performance, bid, surety or appeal bonds and similar obligations, (ii) completion guaranties, (iii) “take or pay” obligations in supply agreements, (iv) reimbursement obligations regarding workers’ compensation claims, (v) indemnification, adjustment of purchase price and similar obligations incurred in connection with (A) the acquisition or disposition of any business or assets or (B) sales contracts, (vi) coverage of long term counterparty risk in respect of insurance companies, (vii) purchasing and supply agreements,</w:t>
      </w:r>
    </w:p>
    <w:p>
      <w:pPr>
        <w:spacing w:after="0" w:line="5" w:lineRule="exact"/>
        <w:rPr>
          <w:rFonts w:ascii="Times New Roman" w:cs="Times New Roman" w:eastAsia="Times New Roman" w:hAnsi="Times New Roman"/>
          <w:sz w:val="18"/>
          <w:szCs w:val="18"/>
          <w:color w:val="auto"/>
        </w:rPr>
      </w:pPr>
    </w:p>
    <w:p>
      <w:pPr>
        <w:ind w:left="413" w:hanging="413"/>
        <w:spacing w:after="0"/>
        <w:tabs>
          <w:tab w:leader="none" w:pos="41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rental deposits, (ix) judicial appeals and (x) service contracts;</w:t>
      </w:r>
    </w:p>
    <w:p>
      <w:pPr>
        <w:spacing w:after="0" w:line="98" w:lineRule="exact"/>
        <w:rPr>
          <w:rFonts w:ascii="Times New Roman" w:cs="Times New Roman" w:eastAsia="Times New Roman" w:hAnsi="Times New Roman"/>
          <w:sz w:val="18"/>
          <w:szCs w:val="18"/>
          <w:color w:val="auto"/>
        </w:rPr>
      </w:pPr>
    </w:p>
    <w:p>
      <w:pPr>
        <w:ind w:left="633" w:hanging="232"/>
        <w:spacing w:after="0"/>
        <w:tabs>
          <w:tab w:leader="none" w:pos="63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or other obligations of a Subsidiary owing to the Company or any Principal Domestic Subsidiary;</w:t>
      </w:r>
    </w:p>
    <w:p>
      <w:pPr>
        <w:spacing w:after="0" w:line="117" w:lineRule="exact"/>
        <w:rPr>
          <w:rFonts w:ascii="Times New Roman" w:cs="Times New Roman" w:eastAsia="Times New Roman" w:hAnsi="Times New Roman"/>
          <w:sz w:val="18"/>
          <w:szCs w:val="18"/>
          <w:color w:val="auto"/>
        </w:rPr>
      </w:pPr>
    </w:p>
    <w:p>
      <w:pPr>
        <w:jc w:val="both"/>
        <w:ind w:left="-7" w:firstLine="408"/>
        <w:spacing w:after="0" w:line="266" w:lineRule="auto"/>
        <w:tabs>
          <w:tab w:leader="none" w:pos="63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and other Liens incurred or pledges or deposits made in favor of a Governmental Authority to secure the performance of obligations of the Company or any Subsidiary of the Company under Environmental Laws to which any assets of the Company or such Subsidiary are subject;</w:t>
      </w:r>
    </w:p>
    <w:p>
      <w:pPr>
        <w:spacing w:after="0" w:line="67" w:lineRule="exact"/>
        <w:rPr>
          <w:rFonts w:ascii="Times New Roman" w:cs="Times New Roman" w:eastAsia="Times New Roman" w:hAnsi="Times New Roman"/>
          <w:sz w:val="18"/>
          <w:szCs w:val="18"/>
          <w:color w:val="auto"/>
        </w:rPr>
      </w:pPr>
    </w:p>
    <w:p>
      <w:pPr>
        <w:jc w:val="both"/>
        <w:ind w:left="-7" w:right="20" w:firstLine="408"/>
        <w:spacing w:after="0" w:line="261" w:lineRule="auto"/>
        <w:tabs>
          <w:tab w:leader="none" w:pos="62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or other obligations incurred in the ordinary course of business in connection with banking, cash management (including automated clearinghouse transactions), custody and deposit accounts and operations, netting services, employee credit card programs and similar arrangements and Liens securing indebtedness arising from the honoring by a bank or other financial institution of a check, draft or similar instrument drawn against insufficient funds in the ordinary course of business;</w:t>
      </w:r>
    </w:p>
    <w:p>
      <w:pPr>
        <w:spacing w:after="0" w:line="71" w:lineRule="exact"/>
        <w:rPr>
          <w:rFonts w:ascii="Times New Roman" w:cs="Times New Roman" w:eastAsia="Times New Roman" w:hAnsi="Times New Roman"/>
          <w:sz w:val="18"/>
          <w:szCs w:val="18"/>
          <w:color w:val="auto"/>
        </w:rPr>
      </w:pPr>
    </w:p>
    <w:p>
      <w:pPr>
        <w:ind w:left="653" w:hanging="252"/>
        <w:spacing w:after="0"/>
        <w:tabs>
          <w:tab w:leader="none" w:pos="65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under industrial revenue, municipal or similar bonds;</w:t>
      </w:r>
    </w:p>
    <w:p>
      <w:pPr>
        <w:spacing w:after="0" w:line="117" w:lineRule="exact"/>
        <w:rPr>
          <w:rFonts w:ascii="Times New Roman" w:cs="Times New Roman" w:eastAsia="Times New Roman" w:hAnsi="Times New Roman"/>
          <w:sz w:val="18"/>
          <w:szCs w:val="18"/>
          <w:color w:val="auto"/>
        </w:rPr>
      </w:pPr>
    </w:p>
    <w:p>
      <w:pPr>
        <w:jc w:val="both"/>
        <w:ind w:left="-7" w:firstLine="408"/>
        <w:spacing w:after="0" w:line="266" w:lineRule="auto"/>
        <w:tabs>
          <w:tab w:leader="none" w:pos="68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agreements, development agreements, site plan agreements and other agreements with Governmental Authorities pertaining to the use or development of any of the properties and assets of the Company or any Principal Domestic Subsidiary consisting of real or personal property;</w:t>
      </w:r>
    </w:p>
    <w:p>
      <w:pPr>
        <w:spacing w:after="0" w:line="67" w:lineRule="exact"/>
        <w:rPr>
          <w:rFonts w:ascii="Times New Roman" w:cs="Times New Roman" w:eastAsia="Times New Roman" w:hAnsi="Times New Roman"/>
          <w:sz w:val="18"/>
          <w:szCs w:val="18"/>
          <w:color w:val="auto"/>
        </w:rPr>
      </w:pPr>
    </w:p>
    <w:p>
      <w:pPr>
        <w:ind w:left="-7" w:firstLine="408"/>
        <w:spacing w:after="0" w:line="282" w:lineRule="auto"/>
        <w:tabs>
          <w:tab w:leader="none" w:pos="68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security interests granted by Persons who are not affiliates of the Company or any Subsidiary in such Person’s co-ownership interest in Intellectual Property that such Person co-owns together with the Company or any Subsidiary;</w:t>
      </w:r>
    </w:p>
    <w:p>
      <w:pPr>
        <w:spacing w:after="0" w:line="53" w:lineRule="exact"/>
        <w:rPr>
          <w:rFonts w:ascii="Times New Roman" w:cs="Times New Roman" w:eastAsia="Times New Roman" w:hAnsi="Times New Roman"/>
          <w:sz w:val="18"/>
          <w:szCs w:val="18"/>
          <w:color w:val="auto"/>
        </w:rPr>
      </w:pPr>
    </w:p>
    <w:p>
      <w:pPr>
        <w:ind w:left="-7" w:right="20" w:firstLine="408"/>
        <w:spacing w:after="0" w:line="282" w:lineRule="auto"/>
        <w:tabs>
          <w:tab w:leader="none" w:pos="65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under licensing agreements for use of Intellectual Property or licenses or sublicenses of Intellectual Property, in each case, entered into in the ordinary course of business;</w:t>
      </w:r>
    </w:p>
    <w:p>
      <w:pPr>
        <w:spacing w:after="0" w:line="94"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033"/>
          </w:cols>
          <w:pgMar w:left="1427" w:top="270" w:right="439" w:bottom="1440" w:gutter="0" w:footer="0" w:header="0"/>
        </w:sectPr>
      </w:pPr>
    </w:p>
    <w:bookmarkStart w:id="32" w:name="page33"/>
    <w:bookmarkEnd w:id="32"/>
    <w:p>
      <w:pPr>
        <w:ind w:left="980" w:firstLine="408"/>
        <w:spacing w:after="0" w:line="282" w:lineRule="auto"/>
        <w:tabs>
          <w:tab w:leader="none" w:pos="1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of sellers of goods to any Loan Party arising under Article 2 of the UCC or similar provisions of applicable law in the ordinary course of business; and</w:t>
      </w:r>
    </w:p>
    <w:p>
      <w:pPr>
        <w:spacing w:after="0" w:line="53" w:lineRule="exact"/>
        <w:rPr>
          <w:rFonts w:ascii="Times New Roman" w:cs="Times New Roman" w:eastAsia="Times New Roman" w:hAnsi="Times New Roman"/>
          <w:sz w:val="18"/>
          <w:szCs w:val="18"/>
          <w:color w:val="auto"/>
        </w:rPr>
      </w:pPr>
    </w:p>
    <w:p>
      <w:pPr>
        <w:jc w:val="both"/>
        <w:ind w:left="980" w:right="20" w:firstLine="408"/>
        <w:spacing w:after="0" w:line="261" w:lineRule="auto"/>
        <w:tabs>
          <w:tab w:leader="none" w:pos="16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Event of Default shall have occurred and be continuing, Liens in favor of any finance party granted by the Company or any Principal Domestic Subsidiary on company cars and receivables (and other Collateral evidencing, securing, or relating to such company cars or receivables including Supporting Obligations and Letter-of-Credit Rights, in each case, as such terms are defined in the UCC).</w:t>
      </w:r>
    </w:p>
    <w:p>
      <w:pPr>
        <w:spacing w:after="0" w:line="180"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Principal Trade Name Transfer</w:t>
      </w:r>
      <w:r>
        <w:rPr>
          <w:rFonts w:ascii="Times New Roman" w:cs="Times New Roman" w:eastAsia="Times New Roman" w:hAnsi="Times New Roman"/>
          <w:sz w:val="18"/>
          <w:szCs w:val="18"/>
          <w:color w:val="auto"/>
        </w:rPr>
        <w:t>” means the transfer of the Designated Principal Trade Name to a Qualified IP Holding Company so long as, immediately prior to and after giving effect to such transfer, no Default or Event of Default shall have occurred and be continuing.</w:t>
      </w:r>
    </w:p>
    <w:p>
      <w:pPr>
        <w:spacing w:after="0" w:line="162" w:lineRule="exact"/>
        <w:rPr>
          <w:sz w:val="20"/>
          <w:szCs w:val="20"/>
          <w:color w:val="auto"/>
        </w:rPr>
      </w:pPr>
    </w:p>
    <w:p>
      <w:pPr>
        <w:jc w:val="both"/>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limited liability company, business trust, joint stock company, trust, unincorporated association, joint venture, Governmental Authority or other entity of whatever nature.</w:t>
      </w:r>
    </w:p>
    <w:p>
      <w:pPr>
        <w:spacing w:after="0" w:line="162" w:lineRule="exact"/>
        <w:rPr>
          <w:sz w:val="20"/>
          <w:szCs w:val="20"/>
          <w:color w:val="auto"/>
        </w:rPr>
      </w:pPr>
    </w:p>
    <w:p>
      <w:pPr>
        <w:jc w:val="both"/>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at a particular time, an employee pension benefit plan covered by Title IV of ERISA or Section 412 of the Code or Section 303 of ERISA, but excluding any Multiemployer Plan, (a) which is sponsored, established, contributed to or maintained by the Company or any ERISA Affiliate, (b) for which the Company or any ERISA Affiliate could have any liability, whether actual or contingent (whether pursuant to Section 4069 of ERISA or otherwise) or (c) for which the Company or any ERISA Affiliate is (or, if such Plan were terminated, would under Section 4062 or Section 4069 of ERISA be deemed to be) an “employer” as defined in Section 3(5) of ERISA.</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Asset Regulations</w:t>
      </w:r>
      <w:r>
        <w:rPr>
          <w:rFonts w:ascii="Times New Roman" w:cs="Times New Roman" w:eastAsia="Times New Roman" w:hAnsi="Times New Roman"/>
          <w:sz w:val="18"/>
          <w:szCs w:val="18"/>
          <w:color w:val="auto"/>
        </w:rPr>
        <w:t>” means of 29 CFR § 2510.3-101 et seq., as modified by Section 3(42) of ERISA, as amended from time to time.</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Post-Petition Interest</w:t>
      </w:r>
      <w:r>
        <w:rPr>
          <w:rFonts w:ascii="Times New Roman" w:cs="Times New Roman" w:eastAsia="Times New Roman" w:hAnsi="Times New Roman"/>
          <w:sz w:val="18"/>
          <w:szCs w:val="18"/>
          <w:color w:val="auto"/>
        </w:rPr>
        <w:t>” shall mean all interest (or entitlement to fees or expenses or other charges) accruing or that would have accrued after the commencement of any bankruptcy, insolvency or reorganization proceeding, irrespective of whether a claim for post-filing or petition interest (or entitlement to fees or expenses or other charges) is allowed in any such bankruptcy, insolvency or reorganization proceeding.</w:t>
      </w:r>
    </w:p>
    <w:p>
      <w:pPr>
        <w:spacing w:after="0" w:line="176" w:lineRule="exact"/>
        <w:rPr>
          <w:sz w:val="20"/>
          <w:szCs w:val="20"/>
          <w:color w:val="auto"/>
        </w:rPr>
      </w:pPr>
    </w:p>
    <w:p>
      <w:pPr>
        <w:jc w:val="both"/>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per annum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83" w:lineRule="exact"/>
        <w:rPr>
          <w:sz w:val="20"/>
          <w:szCs w:val="20"/>
          <w:color w:val="auto"/>
        </w:rPr>
      </w:pPr>
    </w:p>
    <w:p>
      <w:pPr>
        <w:jc w:val="both"/>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Domestic Subsidiary</w:t>
      </w:r>
      <w:r>
        <w:rPr>
          <w:rFonts w:ascii="Times New Roman" w:cs="Times New Roman" w:eastAsia="Times New Roman" w:hAnsi="Times New Roman"/>
          <w:sz w:val="18"/>
          <w:szCs w:val="18"/>
          <w:color w:val="auto"/>
        </w:rPr>
        <w:t>” means (a) GM Holdings, (b) each Subsidiary Guarantor (if any) and (c) each Domestic Subsidiary of the Company, other than an Excluded Subsidiary, that (A) has Consolidated Total Assets with a Net Book Value in excess of $500 million as of the most recent audited annual financial statements delivered pursuant to Section 6.1 (or, prior to the first such required delivery, as of the 2025 10-K), (B) at least 80% or more of the Capital Stock or Voting Stock of such Domestic Subsidiary is owned, directly or indirectly, by the Company and (C) none of the Capital Stock of such Domestic Subsidiary is publicly held.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0" w:right="439" w:bottom="1440" w:gutter="0" w:footer="0" w:header="0"/>
        </w:sectPr>
      </w:pPr>
    </w:p>
    <w:bookmarkStart w:id="33" w:name="page34"/>
    <w:bookmarkEnd w:id="3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Principal Trade Names</w:t>
      </w:r>
      <w:r>
        <w:rPr>
          <w:rFonts w:ascii="Times New Roman" w:cs="Times New Roman" w:eastAsia="Times New Roman" w:hAnsi="Times New Roman"/>
          <w:sz w:val="18"/>
          <w:szCs w:val="18"/>
          <w:color w:val="auto"/>
        </w:rPr>
        <w:t>” means GM, GMC, Chevrolet, Cadillac, and Buick and any variation thereof.</w:t>
      </w:r>
    </w:p>
    <w:p>
      <w:pPr>
        <w:spacing w:after="0" w:line="225" w:lineRule="exact"/>
        <w:rPr>
          <w:sz w:val="20"/>
          <w:szCs w:val="20"/>
          <w:color w:val="auto"/>
        </w:rPr>
      </w:pPr>
    </w:p>
    <w:p>
      <w:pPr>
        <w:jc w:val="both"/>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5390(c)(8)(D).</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10.21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IP Holding Company</w:t>
      </w:r>
      <w:r>
        <w:rPr>
          <w:rFonts w:ascii="Times New Roman" w:cs="Times New Roman" w:eastAsia="Times New Roman" w:hAnsi="Times New Roman"/>
          <w:sz w:val="18"/>
          <w:szCs w:val="18"/>
          <w:color w:val="auto"/>
        </w:rPr>
        <w:t>” means any wholly-owned Foreign Subsidiary of the Company to which the Designated Principal Trade Name is transferred.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Receiving Party</w:t>
      </w:r>
      <w:r>
        <w:rPr>
          <w:rFonts w:ascii="Times New Roman" w:cs="Times New Roman" w:eastAsia="Times New Roman" w:hAnsi="Times New Roman"/>
          <w:sz w:val="18"/>
          <w:szCs w:val="18"/>
          <w:color w:val="auto"/>
        </w:rPr>
        <w:t>” has the meaning assigned to such term in Section 10.16.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 the Administrative Agent or (b) any Lender, as applicable.</w:t>
      </w:r>
    </w:p>
    <w:p>
      <w:pPr>
        <w:spacing w:after="0" w:line="225"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Time</w:t>
      </w:r>
      <w:r>
        <w:rPr>
          <w:rFonts w:ascii="Times New Roman" w:cs="Times New Roman" w:eastAsia="Times New Roman" w:hAnsi="Times New Roman"/>
          <w:sz w:val="18"/>
          <w:szCs w:val="18"/>
          <w:color w:val="auto"/>
        </w:rPr>
        <w:t>” with respect to any setting of the then-current Benchmark means (1) if such Benchmark is the Term SOFR Rate, 5:00 a.m. (Chicago time) on the day that is two U.S. Government Securities Business Days preceding the date of such setting, (2) if such Benchmark is Daily Simple SOFR, then two Business Days prior to such setting or (3) if such Benchmark is none of the Term SOFR Rate or Daily Simple SOFR, the time determined by the Administrative Agent in its reasonable discretion.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assigned to such term in Section 10.6(b)(iv).</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means Regulation D of the Board as in effect from time to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T</w:t>
      </w:r>
      <w:r>
        <w:rPr>
          <w:rFonts w:ascii="Times New Roman" w:cs="Times New Roman" w:eastAsia="Times New Roman" w:hAnsi="Times New Roman"/>
          <w:sz w:val="18"/>
          <w:szCs w:val="18"/>
          <w:color w:val="auto"/>
        </w:rPr>
        <w:t>” means Regulation T of the Board as in effect from time to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means Regulation U of the Board as in effect from time to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X</w:t>
      </w:r>
      <w:r>
        <w:rPr>
          <w:rFonts w:ascii="Times New Roman" w:cs="Times New Roman" w:eastAsia="Times New Roman" w:hAnsi="Times New Roman"/>
          <w:sz w:val="18"/>
          <w:szCs w:val="18"/>
          <w:color w:val="auto"/>
        </w:rPr>
        <w:t>” means Regulation X of the Board as in effect from time to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has the meaning assigned to such term in Section 10.16.</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officers, employees, agents and advisors of such Person and such Person’s Affiliates.</w:t>
      </w:r>
    </w:p>
    <w:p>
      <w:pPr>
        <w:spacing w:after="0" w:line="162"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Federal Reserve Board and/or the NYFRB, or a committee officially endorsed or convened by the Federal Reserve Board and/or the NYFRB or, in each case, any successor thereto.</w:t>
      </w:r>
    </w:p>
    <w:p>
      <w:pPr>
        <w:spacing w:after="0" w:line="162"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means (i) with respect to any Term Benchmark Borrowing, the Term SOFR Rate or (ii) with respect to any Daily Simple SOFR Borrowing, the Daily Simple SOFR, as applicable.</w:t>
      </w:r>
    </w:p>
    <w:p>
      <w:pPr>
        <w:spacing w:after="0" w:line="162"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means, at any time, the holders of more than 50% of the aggregate amount of the Total Commitments (or, at any time after the Commitments shall have expired or terminated, the holders of more than 50% of the sum of the Total Extensions of Credit).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70" w:right="439" w:bottom="1440" w:gutter="0" w:footer="0" w:header="0"/>
        </w:sectPr>
      </w:pPr>
    </w:p>
    <w:bookmarkStart w:id="34" w:name="page35"/>
    <w:bookmarkEnd w:id="34"/>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means as to any Person, any law, treaty, rule or regulation or determination of an arbitrator or a court of competent jurisdiction or other Governmental Authority, in each case applicable to and binding upon such Person and any of its property, and to which such Person and any of its property is subject.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the chief executive officer, president, chief accounting officer, chief financial officer, controller, assistant controller, treasurer or assistant treasurer of the Company.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Service and its successors.</w:t>
      </w:r>
    </w:p>
    <w:p>
      <w:pPr>
        <w:spacing w:after="0" w:line="225"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Sale/Leaseback Transaction</w:t>
      </w:r>
      <w:r>
        <w:rPr>
          <w:rFonts w:ascii="Times New Roman" w:cs="Times New Roman" w:eastAsia="Times New Roman" w:hAnsi="Times New Roman"/>
          <w:sz w:val="18"/>
          <w:szCs w:val="18"/>
          <w:color w:val="auto"/>
        </w:rPr>
        <w:t>” means any arrangement with any Person providing for the leasing by any Loan Party or Principal Domestic Subsidiary of real or personal property that has been or is to be sold or transferred by the applicable Loan Party or Principal Domestic Subsidiary to such Person, including any other Person to whom funds have been or are to be advanced by such Person on the security of such property or rental obligations of the applicable Loan Party or Principal Domestic Subsidiary.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has the meaning assigned to such term in Section 4.15.</w:t>
      </w:r>
    </w:p>
    <w:p>
      <w:pPr>
        <w:spacing w:after="0" w:line="225"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European Union or His Majesty’s Treasury of the United Kingdom.</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 List</w:t>
      </w:r>
      <w:r>
        <w:rPr>
          <w:rFonts w:ascii="Times New Roman" w:cs="Times New Roman" w:eastAsia="Times New Roman" w:hAnsi="Times New Roman"/>
          <w:sz w:val="18"/>
          <w:szCs w:val="18"/>
          <w:color w:val="auto"/>
        </w:rPr>
        <w:t>” has the meaning assigned to such term in Section 4.15.</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and any analogous Governmental Authority.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per annum equal to the secured overnight financing rate as administered by the SOFR Administrator.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means the NYFRB’s Website, currently at http://www.newyorkfed.org, or any successor source for the secured overnight financing rate identified as such by the SOFR Administrator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Determination Date</w:t>
      </w:r>
      <w:r>
        <w:rPr>
          <w:rFonts w:ascii="Times New Roman" w:cs="Times New Roman" w:eastAsia="Times New Roman" w:hAnsi="Times New Roman"/>
          <w:sz w:val="18"/>
          <w:szCs w:val="18"/>
          <w:color w:val="auto"/>
        </w:rPr>
        <w:t>” has the meaning specified in the definition of “Daily Simple SOFR”.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has the meaning specified in the definition of “Daily Simple SOFR”.</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partnership, limited liability company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(irrespective 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70" w:right="439" w:bottom="1440" w:gutter="0" w:footer="0" w:header="0"/>
        </w:sectPr>
      </w:pPr>
    </w:p>
    <w:bookmarkStart w:id="35" w:name="page36"/>
    <w:bookmarkEnd w:id="35"/>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whether or not at the time securities or other ownership interests of any other class or classes of such corporation, partnership or other entity have or shall have the right to have voting power by reason of the happening of any contingency) is at the time directly or indirectly, owned or controlled by such Person and/or one or more Subsidiaries of such Person. Unless otherwise qualified, all references to a “Subsidiary” or to “Subsidiaries” in this Agreement shall refer to a Subsidiary or Subsidiaries of the Company.</w:t>
      </w:r>
    </w:p>
    <w:p>
      <w:pPr>
        <w:spacing w:after="0" w:line="180"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Borrower</w:t>
      </w:r>
      <w:r>
        <w:rPr>
          <w:rFonts w:ascii="Times New Roman" w:cs="Times New Roman" w:eastAsia="Times New Roman" w:hAnsi="Times New Roman"/>
          <w:sz w:val="18"/>
          <w:szCs w:val="18"/>
          <w:color w:val="auto"/>
        </w:rPr>
        <w:t>” means GMF and any other Domestic Subsidiary that becomes a party hereto pursuant to Section 10.1(d) until such time as such Subsidiary Borrower is removed as a party hereto pursuant to Section 10.1(d).</w:t>
      </w:r>
    </w:p>
    <w:p>
      <w:pPr>
        <w:spacing w:after="0" w:line="162"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means each Principal Domestic Subsidiary that became a party to the Guarantee pursuant to Section 6.6(a) or Section 10.1(b).</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has the meaning assigned to it in Section 10.21.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taxes, charges or assessments, including but not limited to income, sales, use, transfer, rental, ad valorem, value-added, stamp, property, consumption, franchise, license, capital, net worth, gross receipts, excise, occupancy, intangibles or similar taxes, charges or assessments.</w:t>
      </w:r>
    </w:p>
    <w:p>
      <w:pPr>
        <w:spacing w:after="0" w:line="176"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Term SOFR Rate.</w:t>
      </w:r>
    </w:p>
    <w:p>
      <w:pPr>
        <w:spacing w:after="0" w:line="162"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 Tranche</w:t>
      </w:r>
      <w:r>
        <w:rPr>
          <w:rFonts w:ascii="Times New Roman" w:cs="Times New Roman" w:eastAsia="Times New Roman" w:hAnsi="Times New Roman"/>
          <w:sz w:val="18"/>
          <w:szCs w:val="18"/>
          <w:color w:val="auto"/>
        </w:rPr>
        <w:t>” means the collective reference to Term Benchmark Loans under the Facility, the then current Interest Periods with respect to all of which begin on the same date and end on the same later date (whether or not such Loans shall originally have been made on the same day) (it being understood that any such group of Term Benchmark Loans that constitutes one Term Benchmark Tranche pursuant to the foregoing shall be amalgamated and deemed to be one Term Benchmark Loan for all purposes of this Agreement).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has the meaning assigned to it under the definition of Term SOFR Reference Rate.</w:t>
      </w:r>
    </w:p>
    <w:p>
      <w:pPr>
        <w:spacing w:after="0" w:line="225" w:lineRule="exact"/>
        <w:rPr>
          <w:sz w:val="20"/>
          <w:szCs w:val="20"/>
          <w:color w:val="auto"/>
        </w:rPr>
      </w:pPr>
    </w:p>
    <w:p>
      <w:pPr>
        <w:jc w:val="both"/>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Rate</w:t>
      </w:r>
      <w:r>
        <w:rPr>
          <w:rFonts w:ascii="Times New Roman" w:cs="Times New Roman" w:eastAsia="Times New Roman" w:hAnsi="Times New Roman"/>
          <w:sz w:val="18"/>
          <w:szCs w:val="18"/>
          <w:color w:val="auto"/>
        </w:rPr>
        <w:t>” 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provided that if the Term SOFR Rate as so determined would be less than the Floor, such rate shall be deemed to be equal to the Floor for the purposes of this Agreement.</w:t>
      </w:r>
    </w:p>
    <w:p>
      <w:pPr>
        <w:spacing w:after="0" w:line="183" w:lineRule="exact"/>
        <w:rPr>
          <w:sz w:val="20"/>
          <w:szCs w:val="20"/>
          <w:color w:val="auto"/>
        </w:rPr>
      </w:pPr>
    </w:p>
    <w:p>
      <w:pPr>
        <w:jc w:val="both"/>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for any day and time (such day, the “Term SOFR Determination Day”), with respect to any Term Benchmark Borrowing denominated in Dollars and for any tenor comparable to the applicable Interest Period, the rate per annum published by the CME Term SOFR Administrator and identified by the Administrative Agent as the forward-looking term rate per annum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440" w:top="270" w:right="439" w:bottom="1440" w:gutter="0" w:footer="0" w:header="0"/>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176"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means March 22, 2027 which is the date which is 364 calendar days following the Closing Date (or, if such day is not a Business Day, the immediately preceding Business Day).</w:t>
      </w:r>
    </w:p>
    <w:p>
      <w:pPr>
        <w:spacing w:after="0" w:line="162"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Available Commitments</w:t>
      </w:r>
      <w:r>
        <w:rPr>
          <w:rFonts w:ascii="Times New Roman" w:cs="Times New Roman" w:eastAsia="Times New Roman" w:hAnsi="Times New Roman"/>
          <w:sz w:val="18"/>
          <w:szCs w:val="18"/>
          <w:color w:val="auto"/>
        </w:rPr>
        <w:t xml:space="preserve">” means, at any time, an amount equal to the excess, if any, of (a) the Total Commitments then in effect, </w:t>
      </w:r>
      <w:r>
        <w:rPr>
          <w:rFonts w:ascii="Times New Roman" w:cs="Times New Roman" w:eastAsia="Times New Roman" w:hAnsi="Times New Roman"/>
          <w:sz w:val="18"/>
          <w:szCs w:val="18"/>
          <w:u w:val="single" w:color="auto"/>
          <w:color w:val="auto"/>
        </w:rPr>
        <w:t>over</w:t>
      </w:r>
      <w:r>
        <w:rPr>
          <w:rFonts w:ascii="Times New Roman" w:cs="Times New Roman" w:eastAsia="Times New Roman" w:hAnsi="Times New Roman"/>
          <w:sz w:val="18"/>
          <w:szCs w:val="18"/>
          <w:color w:val="auto"/>
        </w:rPr>
        <w:t xml:space="preserve"> (b) the Total Extensions of Credit then outstanding.</w:t>
      </w:r>
    </w:p>
    <w:p>
      <w:pPr>
        <w:spacing w:after="0" w:line="162"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Commitments</w:t>
      </w:r>
      <w:r>
        <w:rPr>
          <w:rFonts w:ascii="Times New Roman" w:cs="Times New Roman" w:eastAsia="Times New Roman" w:hAnsi="Times New Roman"/>
          <w:sz w:val="18"/>
          <w:szCs w:val="18"/>
          <w:color w:val="auto"/>
        </w:rPr>
        <w:t>” means, at any time, the aggregate amount of the Commitments then in effect. The original amount of the Total Commitments is $2.0 billion.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Extensions of Credit</w:t>
      </w:r>
      <w:r>
        <w:rPr>
          <w:rFonts w:ascii="Times New Roman" w:cs="Times New Roman" w:eastAsia="Times New Roman" w:hAnsi="Times New Roman"/>
          <w:sz w:val="18"/>
          <w:szCs w:val="18"/>
          <w:color w:val="auto"/>
        </w:rPr>
        <w:t>” means, at any time, the aggregate Outstanding Amount of the Extensions of Credit of the Lenders at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means any Assignee or Participant.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means as to any Loan, its nature as an ABR Loan, a Term Benchmark Loan or a Daily Simple SOFR Loan.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in any applicable jurisdiction.</w:t>
      </w:r>
    </w:p>
    <w:p>
      <w:pPr>
        <w:spacing w:after="0" w:line="225"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w:t>
      </w:r>
    </w:p>
    <w:p>
      <w:pPr>
        <w:spacing w:after="0" w:line="207"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Kingdom</w:t>
      </w:r>
      <w:r>
        <w:rPr>
          <w:rFonts w:ascii="Times New Roman" w:cs="Times New Roman" w:eastAsia="Times New Roman" w:hAnsi="Times New Roman"/>
          <w:sz w:val="18"/>
          <w:szCs w:val="18"/>
          <w:color w:val="auto"/>
        </w:rPr>
        <w:t>” means the United Kingdom of Great Britain and Northern Ireland.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means the United States of America and its territories and possessions.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440" w:top="270" w:right="439" w:bottom="1440" w:gutter="0" w:footer="0" w:header="0"/>
        </w:sectPr>
      </w:pPr>
    </w:p>
    <w:bookmarkStart w:id="37" w:name="page38"/>
    <w:bookmarkEnd w:id="37"/>
    <w:p>
      <w:pPr>
        <w:jc w:val="both"/>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Unconsolidated Subsidiary</w:t>
      </w:r>
      <w:r>
        <w:rPr>
          <w:rFonts w:ascii="Times New Roman" w:cs="Times New Roman" w:eastAsia="Times New Roman" w:hAnsi="Times New Roman"/>
          <w:sz w:val="18"/>
          <w:szCs w:val="18"/>
          <w:color w:val="auto"/>
        </w:rPr>
        <w:t>” means a subsidiary of the Company or other Person whose financial results are not, in accordance with GAAP, included in the consolidated financial statements of the Company.</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has the meaning assigned to it in Section 10.21.</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has the meaning assigned to such term in Section 10.18.</w:t>
      </w:r>
    </w:p>
    <w:p>
      <w:pPr>
        <w:spacing w:after="0" w:line="225" w:lineRule="exact"/>
        <w:rPr>
          <w:sz w:val="20"/>
          <w:szCs w:val="20"/>
          <w:color w:val="auto"/>
        </w:rPr>
      </w:pPr>
    </w:p>
    <w:p>
      <w:pPr>
        <w:jc w:val="both"/>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with respect to any Person, such Person’s Capital Stock having the right to vote for election of directors (or the equivalent thereof) of such Person under ordinary circumstances.</w:t>
      </w:r>
    </w:p>
    <w:p>
      <w:pPr>
        <w:spacing w:after="0" w:line="162" w:lineRule="exact"/>
        <w:rPr>
          <w:sz w:val="20"/>
          <w:szCs w:val="20"/>
          <w:color w:val="auto"/>
        </w:rPr>
      </w:pPr>
    </w:p>
    <w:p>
      <w:pPr>
        <w:jc w:val="both"/>
        <w:ind w:left="4" w:right="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jc w:val="both"/>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Other Definitional Provisions</w:t>
      </w:r>
      <w:r>
        <w:rPr>
          <w:rFonts w:ascii="Times New Roman" w:cs="Times New Roman" w:eastAsia="Times New Roman" w:hAnsi="Times New Roman"/>
          <w:sz w:val="18"/>
          <w:szCs w:val="18"/>
          <w:color w:val="auto"/>
        </w:rPr>
        <w:t>. (a) Unless otherwise specified therein, all terms defined in this Agreement shall have the defined meanings when used in the other Loan Documents or any certificate or other document made or delivered pursuant hereto or thereto.</w:t>
      </w:r>
    </w:p>
    <w:p>
      <w:pPr>
        <w:spacing w:after="0" w:line="162" w:lineRule="exact"/>
        <w:rPr>
          <w:sz w:val="20"/>
          <w:szCs w:val="20"/>
          <w:color w:val="auto"/>
        </w:rPr>
      </w:pPr>
    </w:p>
    <w:p>
      <w:pPr>
        <w:ind w:left="1264" w:hanging="273"/>
        <w:spacing w:after="0"/>
        <w:tabs>
          <w:tab w:leader="none" w:pos="126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and in the other Loan Documents, and any certificate or other document made or delivered pursuant hereto or thereto,</w:t>
      </w:r>
    </w:p>
    <w:p>
      <w:pPr>
        <w:spacing w:after="0" w:line="27"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3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terms not defined in Section 1.1 and accounting terms partly defined in Section 1.1,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 agreements or other Contractual Obligations shall, unless otherwise specified, be deemed to refer to such agreements or Contractual Obligations as amended, supplemented, restated or otherwise modified from time to time, (vi) references to any Person shall include its successors and permitted assigns, (vii)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 and (viii) unless otherwise specified, references to fiscal periods shall be deemed to be references to fiscal periods of the Company.</w:t>
      </w:r>
    </w:p>
    <w:p>
      <w:pPr>
        <w:spacing w:after="0" w:line="192" w:lineRule="exact"/>
        <w:rPr>
          <w:rFonts w:ascii="Times New Roman" w:cs="Times New Roman" w:eastAsia="Times New Roman" w:hAnsi="Times New Roman"/>
          <w:sz w:val="18"/>
          <w:szCs w:val="18"/>
          <w:color w:val="auto"/>
        </w:rPr>
      </w:pPr>
    </w:p>
    <w:p>
      <w:pPr>
        <w:jc w:val="both"/>
        <w:ind w:left="4" w:right="20" w:firstLine="987"/>
        <w:spacing w:after="0" w:line="266" w:lineRule="auto"/>
        <w:tabs>
          <w:tab w:leader="none" w:pos="124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“herein” and “hereunder” and words of similar import, when used in this Agreement, shall refer to this Agreement as a whole (including the Schedules and Exhibits hereto) and not to any particular provision of this Agreement (or the Schedules and Exhibits hereto), and Section, Schedule and Exhibit references are to this Agreement unless otherwise specified.</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4"/>
          </w:cols>
          <w:pgMar w:left="436" w:top="270" w:right="439" w:bottom="1440" w:gutter="0" w:footer="0" w:header="0"/>
        </w:sectPr>
      </w:pPr>
    </w:p>
    <w:bookmarkStart w:id="38" w:name="page39"/>
    <w:bookmarkEnd w:id="38"/>
    <w:p>
      <w:pPr>
        <w:ind w:left="980" w:right="920" w:firstLine="7"/>
        <w:spacing w:after="0" w:line="500" w:lineRule="auto"/>
        <w:tabs>
          <w:tab w:leader="none" w:pos="12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meanings given to terms defined herein shall be equally applicable to both the singular and plural forms of such terms. 1.3 </w:t>
      </w:r>
      <w:r>
        <w:rPr>
          <w:rFonts w:ascii="Times New Roman" w:cs="Times New Roman" w:eastAsia="Times New Roman" w:hAnsi="Times New Roman"/>
          <w:sz w:val="18"/>
          <w:szCs w:val="18"/>
          <w:u w:val="single" w:color="auto"/>
          <w:color w:val="auto"/>
        </w:rPr>
        <w:t>Conversion of Foreign Currencies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both"/>
        <w:ind w:right="20" w:firstLine="987"/>
        <w:spacing w:after="0" w:line="261" w:lineRule="auto"/>
        <w:tabs>
          <w:tab w:leader="none" w:pos="12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determine the Dollar Equivalent of any amount as required hereby, and a determination thereof by the Administrative Agent shall be conclusive absent manifest error using the procedure set forth in the definition of “Dollar Equivalent” and Section 1.3(b). The Administrative Agent may, but shall not be obligated to, rely on any determination made by any Loan Party in any document delivered to the Administrative Agent.</w:t>
      </w:r>
    </w:p>
    <w:p>
      <w:pPr>
        <w:spacing w:after="0" w:line="179"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6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compliance with Section 7.2, with respect to any amount of any Indebtedness that is denominated in a currency other than Dollars, the Dollar Equivalent thereof shall be determined based on the Exchange Rate in effect at the time such Indebtedness was incurred unless the specific restriction or covenant provides a different method or time for valuation.</w:t>
      </w:r>
    </w:p>
    <w:p>
      <w:pPr>
        <w:spacing w:after="0" w:line="175"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4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set up appropriate rounding off mechanisms or otherwise round-off amounts hereunder to the nearest higher or lower amount in whole Dollar or cent to ensure amounts owing by any party hereunder or that otherwise need to be calculated or converted hereunder are expressed in whole Dollars or in whole cents, as may be necessary or appropriate.</w:t>
      </w:r>
    </w:p>
    <w:p>
      <w:pPr>
        <w:spacing w:after="0" w:line="176"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Other Interpretive Provisions</w:t>
      </w:r>
      <w:r>
        <w:rPr>
          <w:rFonts w:ascii="Times New Roman" w:cs="Times New Roman" w:eastAsia="Times New Roman" w:hAnsi="Times New Roman"/>
          <w:sz w:val="18"/>
          <w:szCs w:val="18"/>
          <w:color w:val="auto"/>
        </w:rPr>
        <w:t>. If a Lien satisfies the requirements of two or more clauses of the definition of Permitted Lien, the Company may, at any time and from time to time designate or redesignate such Lien as a Permitted Lien in any of such clauses and the Company need not classify such Lien solely by reference to one such clause.</w:t>
      </w:r>
    </w:p>
    <w:p>
      <w:pPr>
        <w:spacing w:after="0" w:line="176" w:lineRule="exact"/>
        <w:rPr>
          <w:sz w:val="20"/>
          <w:szCs w:val="20"/>
          <w:color w:val="auto"/>
        </w:rPr>
      </w:pPr>
    </w:p>
    <w:p>
      <w:pPr>
        <w:jc w:val="both"/>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Interest Rates; Benchmark Notification</w:t>
      </w:r>
      <w:r>
        <w:rPr>
          <w:rFonts w:ascii="Times New Roman" w:cs="Times New Roman" w:eastAsia="Times New Roman" w:hAnsi="Times New Roman"/>
          <w:sz w:val="18"/>
          <w:szCs w:val="18"/>
          <w:color w:val="auto"/>
        </w:rPr>
        <w:t>. The interest rate on a Loan denominated in dollars may be derived from an interest rate benchmark that may be discontinued or is, or may in the future become, the subject of regulatory reform. Upon the occurrence of a Benchmark Transition Event, Section 2.18(b)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6"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0"/>
          </w:cols>
          <w:pgMar w:left="440" w:top="270" w:right="439" w:bottom="1440" w:gutter="0" w:footer="0" w:header="0"/>
        </w:sectPr>
      </w:pPr>
    </w:p>
    <w:bookmarkStart w:id="39" w:name="page40"/>
    <w:bookmarkEnd w:id="39"/>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2. AMOUNT AND TERMS OF COMMITMENTS</w:t>
      </w:r>
    </w:p>
    <w:p>
      <w:pPr>
        <w:spacing w:after="0" w:line="225" w:lineRule="exact"/>
        <w:rPr>
          <w:sz w:val="20"/>
          <w:szCs w:val="20"/>
          <w:color w:val="auto"/>
        </w:rPr>
      </w:pPr>
    </w:p>
    <w:p>
      <w:pPr>
        <w:jc w:val="both"/>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(a) Subject to the terms and conditions hereof, each Lender severally agrees to make (or cause its Applicable Lending Office to make) revolving loans (“</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xml:space="preserve">”) in Dollars to the Company or any Subsidiary Borrower from time to time during the Commitment Period of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after giving effect to such borrowing and the use of proceeds thereof, (i) such Lender’s Extensions of Credit do not exceed the amount of such Lender’s Commitments and (ii) the Total Extensions of Credit shall not exceed the Total Commitments then in effect. During the Commitment Period of the applicable Lenders for the Facility, the Company and any Subsidiary Borrower may use the Commitments by borrowing, prepaying the Loans in whole or in part, and reborrowing, all in accordance with the terms and conditions hereof. The Loans may from time to time be Term Benchmark Loans, Daily Simple SOFR Loans or ABR Loans or any combination of the foregoing, as determined by the Company or the relevant Subsidiary Borrower and notified to the Administrative Agent in accordance with Section 2.2 and 2.14.</w:t>
      </w:r>
    </w:p>
    <w:p>
      <w:pPr>
        <w:spacing w:after="0" w:line="192" w:lineRule="exact"/>
        <w:rPr>
          <w:sz w:val="20"/>
          <w:szCs w:val="20"/>
          <w:color w:val="auto"/>
        </w:rPr>
      </w:pPr>
    </w:p>
    <w:p>
      <w:pPr>
        <w:jc w:val="both"/>
        <w:ind w:firstLine="987"/>
        <w:spacing w:after="0" w:line="261" w:lineRule="auto"/>
        <w:tabs>
          <w:tab w:leader="none" w:pos="12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to the extent of its borrowings, any relevant Subsidiary Borrower shall repay all outstanding Loans of a Lender on the Termination Date for such Lender under the Facility unless Loans are converted into Converted Term Loans pursuant to Section 2.28, in which case the Company and, to the extent of its borrowings, any relevant Subsidiary Borrower shall repay all outstanding Converted Term Loans of a Lender on the Converted Term Loan Maturity Date.</w:t>
      </w:r>
    </w:p>
    <w:p>
      <w:pPr>
        <w:spacing w:after="0" w:line="180" w:lineRule="exact"/>
        <w:rPr>
          <w:sz w:val="20"/>
          <w:szCs w:val="20"/>
          <w:color w:val="auto"/>
        </w:rPr>
      </w:pPr>
    </w:p>
    <w:p>
      <w:pPr>
        <w:jc w:val="both"/>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Procedure for Borrowing</w:t>
      </w:r>
      <w:r>
        <w:rPr>
          <w:rFonts w:ascii="Times New Roman" w:cs="Times New Roman" w:eastAsia="Times New Roman" w:hAnsi="Times New Roman"/>
          <w:sz w:val="18"/>
          <w:szCs w:val="18"/>
          <w:color w:val="auto"/>
        </w:rPr>
        <w:t xml:space="preserve">. The Company and any Subsidiary Borrower may borrow under the Commitments during the Commitment Period on any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or the relevant Subsidiary Borrower shall give the Administrative Agent a written Borrowing Request prior to (a) in the case of Term Benchmark Loans, 11:00 a.m., New York City time, three U.S. Government Securities Business Days prior to the requested Borrowing Date, (b) in the case of Daily Simple SOFR Loans, 11:00 a.m., New York City time, three U.S. Government Securities Business Days prior to the requested Borrowing Date or (c) in the case of ABR Loans, 11:00 a.m., New York City time, on the date of the proposed borrowing, specifying (i) the amount and Type of Loans to be borrowed, (ii) the requested Borrowing Date and (iii) in the case of Term Benchmark Loans, the respective lengths of the initial Interest Period(s)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such Borrowing Request submitted by a Subsidiary Borrower shall include the written consent of the Company. If no election as to the Type of a Loan is specified in any such notice, then the requested borrowing shall be an ABR Loan. If no Interest Period with respect to a Term Benchmark Loan is specified in any such notice, then the Company or the relevant Subsidiary Borrower shall be deemed to have selected an Interest Period of one month’s duration. Each borrowing under the Commitments shall be in an amount equal to $25 million (or, if the Total Available Commitments at such time are less than $25 million, such lesser amount) or a whole multiple of $5 million in excess thereof. Upon receipt of any such notice from the Company or the relevant Subsidiary Borrower, the Administrative Agent shall promptly notify each Lender thereof. Each Lender will make (or cause its Applicable Lending Office to make) the amount of its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of each such borrowing available to the Administrative Agent for the account of the Company or the relevant Subsidiary Borrower at the Funding Office prior to 1:00 P.M. (or, in the case of an ABR Loan requested on the proposed Borrowing Date, 3:00 P.M.), New York City time, on the Borrowing Date requested (or deemed requested) by the Company or the relevant Subsidiary Borrower in funds immediately available to the Administrative Agent. Such borrowing will then be made available to the Company or the relevant Subsidiary Borrower by the Administrative Agent crediting the account of the Company or the relevant Subsidiary Borrower on the books of such office or such other account as the Company or the relevant Subsidiary Borrower may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70" w:right="439" w:bottom="1440" w:gutter="0" w:footer="0" w:header="0"/>
        </w:sectPr>
      </w:pPr>
    </w:p>
    <w:bookmarkStart w:id="40" w:name="page41"/>
    <w:bookmarkEnd w:id="40"/>
    <w:p>
      <w:pPr>
        <w:jc w:val="both"/>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specify to the Administrative Agent with the aggregate of the amounts made available to the Administrative Agent by the Lenders and in like funds as received by the Administrative Agent.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Facility Fees, etc.</w:t>
      </w:r>
      <w:r>
        <w:rPr>
          <w:rFonts w:ascii="Times New Roman" w:cs="Times New Roman" w:eastAsia="Times New Roman" w:hAnsi="Times New Roman"/>
          <w:sz w:val="18"/>
          <w:szCs w:val="18"/>
          <w:color w:val="auto"/>
        </w:rPr>
        <w:t xml:space="preserve"> (a) The Company agrees to pay to the Administrative Agent a facility fee (the “</w:t>
      </w:r>
      <w:r>
        <w:rPr>
          <w:rFonts w:ascii="Times New Roman" w:cs="Times New Roman" w:eastAsia="Times New Roman" w:hAnsi="Times New Roman"/>
          <w:sz w:val="18"/>
          <w:szCs w:val="18"/>
          <w:u w:val="single" w:color="auto"/>
          <w:color w:val="auto"/>
        </w:rPr>
        <w:t>Facility Fee</w:t>
      </w:r>
      <w:r>
        <w:rPr>
          <w:rFonts w:ascii="Times New Roman" w:cs="Times New Roman" w:eastAsia="Times New Roman" w:hAnsi="Times New Roman"/>
          <w:sz w:val="18"/>
          <w:szCs w:val="18"/>
          <w:color w:val="auto"/>
        </w:rPr>
        <w:t>”) for the account of each Lender for the period from and including the Closing Date (or such later date as of which such Lender shall become a Lender) to the date on which all Extensions of Credit of such Lender under the Facility have been paid in full and the Commitments of such Lender under the Facility have been terminated, computed at the Facility Fee Rate on the average daily amount of the Commitments of such Lender (whether used or unused) under the Facility, or, if such Commitments have been terminated, on the daily average Extensions of Credit of such Lender under the Facility during the related Fee Payment Period for which payment is made, payable in arrears on each Fee Payment Date, commencing on the first such date to occur after the Closing Date.</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The Company agrees to pay to the Administrative Agent the fees in the amounts and on the dates as set forth in the JPMorgan Fee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w:t>
      </w:r>
    </w:p>
    <w:p>
      <w:pPr>
        <w:spacing w:after="0" w:line="207"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Termination and Reduction of Commitments</w:t>
      </w:r>
      <w:r>
        <w:rPr>
          <w:rFonts w:ascii="Times New Roman" w:cs="Times New Roman" w:eastAsia="Times New Roman" w:hAnsi="Times New Roman"/>
          <w:sz w:val="18"/>
          <w:szCs w:val="18"/>
          <w:color w:val="auto"/>
        </w:rPr>
        <w:t xml:space="preserve">. The Company shall have the right, upon not less than three Business Days’ notice to the Administrative Agent, to terminate the Commitments under the Facility or, from time to time, to reduce the amount of Commitments under the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termination or reduction of such Commitments shall be permitted if, after giving effect thereto and to any prepayments of the Loans (if applicable) made on the effective date thereof, (x) the Total Extensions of Credit would exceed the Total Commitments then in effect or (y) the Extensions of Credit of any Lender would exceed such Lender’s Commitment then in effect. In the event that the Administrative Agent receives such notice, the Administrative Agent shall give notice thereof to the relevant Lenders as soon as practicable thereafter. Any such reduction shall be in an amount equal to $25 million or a whole multiple of $10 million in excess thereof and shall reduce permanently the Commitments then in effect under the Facility. Each notice delivered by the Company pursuant to this Section 2.11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notice to terminate any Commitments delivered by the Company may state that such notice is conditioned upon the effectiveness of other credit facilities or a Change of Control, in which case, such notice may be revoked by the Company (by notice to the Administrative Agent on or prior to the specified effective date) if such condition is not satisfied. Notwithstanding the foregoing, the revocation of a termination notice shall not affect the Company’s obligation to indemnify any Lender in accordance with Section 2.22 for any loss or expense sustained or incurred as a consequence thereof.</w:t>
      </w:r>
    </w:p>
    <w:p>
      <w:pPr>
        <w:spacing w:after="0" w:line="190"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Optional Prepayments</w:t>
      </w:r>
      <w:r>
        <w:rPr>
          <w:rFonts w:ascii="Times New Roman" w:cs="Times New Roman" w:eastAsia="Times New Roman" w:hAnsi="Times New Roman"/>
          <w:sz w:val="18"/>
          <w:szCs w:val="18"/>
          <w:color w:val="auto"/>
        </w:rPr>
        <w:t>. The Company and any relevant Subsidiary Borrower may at any time and from time to time prepay the Loans, in whole or in part, without premium or penalty, upon irrevocable notice delivered to the Administrative Agent no later than 11:00 a.m., New York City time,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440" w:top="270" w:right="439" w:bottom="1440" w:gutter="0" w:footer="0" w:header="0"/>
        </w:sectPr>
      </w:pPr>
    </w:p>
    <w:bookmarkStart w:id="41" w:name="page42"/>
    <w:bookmarkEnd w:id="41"/>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three Business Days prior thereto, in the case of Term Benchmark Loans and Daily Simple SOFR Loans, and no later than 11:00 a.m., New York City time, on the day of such prepayment, in the case of ABR Loans, in each case which notice shall specify the date and amount of prepayment and whether the prepayment is of Term Benchmark Loans, Daily Simple SOFR Loans or ABR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Term Benchmark Loan is prepaid on any day other than the last day of the Interest Period applicable thereto, the Company or the relevant Subsidiary Borrower shall also pay any amounts owing pursuant to Section 2.22;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notice to prepay the Loans delivered by the Company may state that such notice is conditioned upon the effectiveness of other credit facilities or a Change of Control, in either case, which such notice may be revoked by the Company (by further notice to the Administrative Agent on or prior to the specified effective date) if such condition is not satisfied. Notwithstanding the foregoing, the revocation of a prepayment notice shall not affect the Company’s or any relevant Subsidiary Borrower’s obligation to indemnify any Lender in accordance with Section 2.22 for any loss or expense sustained or incurred as a consequence thereof. Upon receipt of any such notice the Administrative Agent shall promptly notify each relevant Lender thereof. If any such notice is given (and not revoked as provided herein), the amount specified in such notice shall be due and payable on the date specified therein, together with (except in the case of ABR Loans) accrued interest to such date on the amount prepaid. Partial prepayments of Loans shall be in an integral multiple of $1 million and no less than $25 million. Optional prepayments of Converted Term Loans may not be reborrowed.</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Conversion and Continuation Options.</w:t>
      </w:r>
      <w:r>
        <w:rPr>
          <w:rFonts w:ascii="Times New Roman" w:cs="Times New Roman" w:eastAsia="Times New Roman" w:hAnsi="Times New Roman"/>
          <w:sz w:val="18"/>
          <w:szCs w:val="18"/>
          <w:color w:val="auto"/>
        </w:rPr>
        <w:t xml:space="preserve"> (a) The Company or any Subsidiary Borrower may elect from time to time to convert Term Benchmark Loans in Dollars to Daily Simple SOFR Loans or ABR Loans by giving the Administrative Agent prior irrevocable notice of such election no later than 1:00 P.M., New York City time, on the third Business Day preceding the proposed conversion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conversion of Term Benchmark Loans that is not made on the last day of an Interest Period with respect thereto shall be subject to Section 2.22. The Company or any Subsidiary Borrower may elect from time to time to convert (x) Daily Simple SOFR Loans to ABR Loans or (y) ABR Loans to Daily Simple SOFR Loans, in each case, by giving the Administrative Agent prior irrevocable notice of such election no later than 1:00 P.M., New York City time, on the third Business Day preceding the proposed conversion date. The Company or any Subsidiary Borrower may elect from time to time to convert ABR Loans or Daily Simple SOFR Loans to Term Benchmark Loans by giving the Administrative Agent prior irrevocable notice of such election no later than 1:00 P.M., New York City time, on the third Business Day preceding the proposed conversion date (which notice shall specify the length of the initial Interest Period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ABR Loan may be converted into a Term Benchmark Loan when (after giving effect to such Loan and to the application of proceeds thereof) any Event of Default has occurred and is continuing and the Administrative Agent has or the Required Lenders have determined in its or their sole discretion not to permit such conversions (and the Administrative Agent shall notify the Company within a reasonable amount of time of any such determination). Upon receipt of any such conversion notice, the Administrative Agent shall promptly notify each relevant Lender, the Company and any relevant Subsidiary Borrower thereof.</w:t>
      </w:r>
    </w:p>
    <w:p>
      <w:pPr>
        <w:spacing w:after="0" w:line="197" w:lineRule="exact"/>
        <w:rPr>
          <w:sz w:val="20"/>
          <w:szCs w:val="20"/>
          <w:color w:val="auto"/>
        </w:rPr>
      </w:pPr>
    </w:p>
    <w:p>
      <w:pPr>
        <w:jc w:val="both"/>
        <w:ind w:firstLine="987"/>
        <w:spacing w:after="0" w:line="254" w:lineRule="auto"/>
        <w:tabs>
          <w:tab w:leader="none" w:pos="125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 Benchmark Loan may be continued as such upon the expiration of the then current Interest Period with respect thereto by the Company or relevant Subsidiary Borrower giving irrevocable notice to the Administrative Agent, in accordance with the applicable provisions of the term “Interest Period” set forth in Section 1.1, of the length of the next Interest Period(s) to be applicable to such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 contrary provision hereof, if (after giving effect to such Loan and to the application of proceeds thereof) an Event of Default has occurred and is continuing and the Administrative Agent, at the request of the Required Lenders or in its sole discretion, so notifies the Company, then, so long as an Event of Default is continuing, other than to the extent repaid, each Term Benchmark Loan under the Facility shall be converted to an ABR Loan at the end of the Interest Period applicable thereto;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Company or such Subsidiary Borrower shall fail to give any required notice as described above in this paragraph such Loans shall be automatically continued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0"/>
          </w:cols>
          <w:pgMar w:left="440" w:top="270" w:right="439" w:bottom="1440" w:gutter="0" w:footer="0" w:header="0"/>
        </w:sectPr>
      </w:pPr>
    </w:p>
    <w:bookmarkStart w:id="42" w:name="page43"/>
    <w:bookmarkEnd w:id="42"/>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a Term Benchmark Loan, on the last day of such then expiring Interest Period and shall have an Interest Period of the same duration as the expiring Interest Period. Upon receipt of any such continuation notice (or any such automatic continuation), the Administrative Agent shall promptly notify each relevant Lender, the Company and any relevant Subsidiary Borrower thereof.</w:t>
      </w:r>
    </w:p>
    <w:p>
      <w:pPr>
        <w:spacing w:after="0" w:line="176" w:lineRule="exact"/>
        <w:rPr>
          <w:sz w:val="20"/>
          <w:szCs w:val="20"/>
          <w:color w:val="auto"/>
        </w:rPr>
      </w:pPr>
    </w:p>
    <w:p>
      <w:pPr>
        <w:jc w:val="both"/>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Limitations on Term Benchmark Tranches and Daily Simple SOFR Borrowings</w:t>
      </w:r>
      <w:r>
        <w:rPr>
          <w:rFonts w:ascii="Times New Roman" w:cs="Times New Roman" w:eastAsia="Times New Roman" w:hAnsi="Times New Roman"/>
          <w:sz w:val="18"/>
          <w:szCs w:val="18"/>
          <w:color w:val="auto"/>
        </w:rPr>
        <w:t>. Notwithstanding anything to the contrary in this Agreement, all borrowings, conversions and continuations of Term Benchmark Loans and all selections of Interest Periods shall be in such amounts and be made pursuant to such elections so that no more than ten (10) Term Benchmark Tranches shall be outstanding at any one time. Notwithstanding anything to the contrary in this Agreement, all borrowings, conversions and continuations of Daily Simple SOFR Loans shall be in such amounts and be made pursuant to such elections so that no more than ten (10) Daily Simple SOFR Borrowings shall be outstanding at any one time.</w:t>
      </w:r>
    </w:p>
    <w:p>
      <w:pPr>
        <w:spacing w:after="0" w:line="183"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Interest Rates and Payment Dates</w:t>
      </w:r>
      <w:r>
        <w:rPr>
          <w:rFonts w:ascii="Times New Roman" w:cs="Times New Roman" w:eastAsia="Times New Roman" w:hAnsi="Times New Roman"/>
          <w:sz w:val="18"/>
          <w:szCs w:val="18"/>
          <w:color w:val="auto"/>
        </w:rPr>
        <w:t xml:space="preserve">. (a) Each (x) Term Benchmark Loan shall bear interest for each day during each Interest Period with respect thereto at a rate per annum equal to the Term SOFR Rate determined for such Interest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and (y) Daily Simple SOFR Loan shall bear interest for each day at a rate per annum equal to the Daily Simple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w:t>
      </w:r>
    </w:p>
    <w:p>
      <w:pPr>
        <w:spacing w:after="0" w:line="176" w:lineRule="exact"/>
        <w:rPr>
          <w:sz w:val="20"/>
          <w:szCs w:val="20"/>
          <w:color w:val="auto"/>
        </w:rPr>
      </w:pPr>
    </w:p>
    <w:p>
      <w:pPr>
        <w:ind w:left="1240" w:hanging="253"/>
        <w:spacing w:after="0"/>
        <w:tabs>
          <w:tab w:leader="none" w:pos="1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ABR Loan shall bear interest at a rate per annum equal to the ABR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w:t>
      </w:r>
    </w:p>
    <w:p>
      <w:pPr>
        <w:spacing w:after="0" w:line="225" w:lineRule="exact"/>
        <w:rPr>
          <w:rFonts w:ascii="Times New Roman" w:cs="Times New Roman" w:eastAsia="Times New Roman" w:hAnsi="Times New Roman"/>
          <w:sz w:val="18"/>
          <w:szCs w:val="18"/>
          <w:color w:val="auto"/>
        </w:rPr>
      </w:pPr>
    </w:p>
    <w:p>
      <w:pPr>
        <w:jc w:val="both"/>
        <w:ind w:firstLine="987"/>
        <w:spacing w:after="0" w:line="256" w:lineRule="auto"/>
        <w:tabs>
          <w:tab w:leader="none" w:pos="1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If all or a portion of the principal amount of any Loan shall not be paid when due (whether at the stated maturity, by acceleration or otherwise), such overdue amount shall bear interest at a rate per annum equal to the rate that would otherwise be applicable thereto pursuant to the foregoing provisions of this Section 2.16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per annum and (ii) if all or a portion of any interest payable on any Loan or any Facility Fee payable hereunder shall not be paid when due (whether at the stated maturity, by acceleration or otherwise), such overdue amount shall bear interest at a rate per annum equal to the rate then applicable to ABR Loans, in each case, with respect to clauses (i) and (ii) above, from the date of such nonpayment until such amount is paid in full (after as well as before judgment).</w:t>
      </w:r>
    </w:p>
    <w:p>
      <w:pPr>
        <w:spacing w:after="0" w:line="187" w:lineRule="exact"/>
        <w:rPr>
          <w:rFonts w:ascii="Times New Roman" w:cs="Times New Roman" w:eastAsia="Times New Roman" w:hAnsi="Times New Roman"/>
          <w:sz w:val="18"/>
          <w:szCs w:val="18"/>
          <w:color w:val="auto"/>
        </w:rPr>
      </w:pPr>
    </w:p>
    <w:p>
      <w:pPr>
        <w:ind w:right="20" w:firstLine="987"/>
        <w:spacing w:after="0" w:line="282" w:lineRule="auto"/>
        <w:tabs>
          <w:tab w:leader="none" w:pos="125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shall be payable in arrears on each Interest 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interest accruing pursuant to Section 2.16(c) shall be payable from time to time on demand.</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hereunder shall be paid in Dollars.</w:t>
      </w:r>
    </w:p>
    <w:p>
      <w:pPr>
        <w:spacing w:after="0" w:line="225"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2.17 </w:t>
      </w:r>
      <w:r>
        <w:rPr>
          <w:rFonts w:ascii="Times New Roman" w:cs="Times New Roman" w:eastAsia="Times New Roman" w:hAnsi="Times New Roman"/>
          <w:sz w:val="18"/>
          <w:szCs w:val="18"/>
          <w:u w:val="single" w:color="auto"/>
          <w:color w:val="auto"/>
        </w:rPr>
        <w:t>Computation of Interest and Fees.</w:t>
      </w:r>
      <w:r>
        <w:rPr>
          <w:rFonts w:ascii="Times New Roman" w:cs="Times New Roman" w:eastAsia="Times New Roman" w:hAnsi="Times New Roman"/>
          <w:sz w:val="18"/>
          <w:szCs w:val="18"/>
          <w:color w:val="auto"/>
        </w:rPr>
        <w:t xml:space="preserve"> (a) Interest and fees payable pursuant hereto shall be calculated on the basis of a 360-day year for the actual days elapsed, except that interest computed by reference to ABR at times when ABR is based on the Prime Rate shall be computed on the basis of a year of 365 days (or 366 days in a leap year), and shall be payable for the actual number of days elapsed. All interest hereunder on any Loan shall be computed on a daily basis based upon the outstanding principal amount of such Loan as of the applicable date of determination. The applicable ABR, Term SOFR Rate or Daily Simple SOFR shall be determined by the Administrative Agent, and such determination shall be conclusive absent manifest error. The Administrative Agent shall as soon as practicable notify the Company or relevant Subsidiary Borrower and the Lenders of each determination of the Term SOFR Rate. Any change in the interest rate resulting from a change in the ABR shall become effective as of the opening of business on the day on which such change becomes effective. The Administrative Agent shall as soon as practicable notify the Company or relevant Subsidiary Borrower and the relevant Lenders of the effective date and the amount of each such change in interest rate. The Administrative Agent shall, at the request of the Company, or any Subsidiary Borrower, deliver to the Company or such Subsidiary Borrower a statement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70" w:right="439" w:bottom="1440" w:gutter="0" w:footer="0" w:header="0"/>
        </w:sectPr>
      </w:pPr>
    </w:p>
    <w:bookmarkStart w:id="43" w:name="page44"/>
    <w:bookmarkEnd w:id="4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showing the quotations used by the Administrative Agent in determining any interest rate pursuant to this Section 2.17.</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u w:val="single" w:color="auto"/>
          <w:color w:val="auto"/>
        </w:rPr>
        <w:t>Alternate Rate of Interest.</w:t>
      </w:r>
      <w:r>
        <w:rPr>
          <w:rFonts w:ascii="Times New Roman" w:cs="Times New Roman" w:eastAsia="Times New Roman" w:hAnsi="Times New Roman"/>
          <w:sz w:val="18"/>
          <w:szCs w:val="18"/>
          <w:color w:val="auto"/>
        </w:rPr>
        <w:t xml:space="preserve"> (a) Subject to clauses (b), (c), (d), (e) and (f) of this Section 2.18, if:</w:t>
      </w:r>
    </w:p>
    <w:p>
      <w:pPr>
        <w:spacing w:after="0" w:line="117" w:lineRule="exact"/>
        <w:rPr>
          <w:sz w:val="20"/>
          <w:szCs w:val="20"/>
          <w:color w:val="auto"/>
        </w:rPr>
      </w:pPr>
    </w:p>
    <w:p>
      <w:pPr>
        <w:ind w:left="4" w:firstLine="987"/>
        <w:spacing w:after="0" w:line="261" w:lineRule="auto"/>
        <w:tabs>
          <w:tab w:leader="none" w:pos="121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determines (which determination shall be conclusive absent manifest error) (A) prior to the commencement of any Interest Period for a Term Benchmark Borrowing, that adequate and reasonable means do not exist for ascertaining the Term SOFR Rate (including because the Term SOFR Reference Rate is not available or published on a current basis), for such Interest Period or (B) at any time, that adequate and reasonable means do not exist for ascertaining the applicable Daily Simple SOFR; or</w:t>
      </w:r>
    </w:p>
    <w:p>
      <w:pPr>
        <w:spacing w:after="0" w:line="179" w:lineRule="exact"/>
        <w:rPr>
          <w:rFonts w:ascii="Times New Roman" w:cs="Times New Roman" w:eastAsia="Times New Roman" w:hAnsi="Times New Roman"/>
          <w:sz w:val="18"/>
          <w:szCs w:val="18"/>
          <w:color w:val="auto"/>
        </w:rPr>
      </w:pPr>
    </w:p>
    <w:p>
      <w:pPr>
        <w:ind w:left="4" w:right="320" w:firstLine="987"/>
        <w:spacing w:after="0" w:line="261" w:lineRule="auto"/>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is advised by the Required Lenders that (A) prior to the commencement of any Interest Period for a Term Benchmark Borrowing, the Term SOFR Rate for such Interest Period will not adequately and fairly reflect the cost to such Lenders of making or maintaining their Loans included in such Borrowing for such Interest Period or (B) at any time, Daily Simple SOFR will not adequately and fairly reflect the cost to such Lenders (or Lender) of making or maintaining their Loans (or its Loan) included in such Borrowing;</w:t>
      </w:r>
    </w:p>
    <w:p>
      <w:pPr>
        <w:spacing w:after="0" w:line="180" w:lineRule="exact"/>
        <w:rPr>
          <w:sz w:val="20"/>
          <w:szCs w:val="20"/>
          <w:color w:val="auto"/>
        </w:rPr>
      </w:pPr>
    </w:p>
    <w:p>
      <w:pPr>
        <w:ind w:left="4" w:right="20"/>
        <w:spacing w:after="0" w:line="268" w:lineRule="auto"/>
        <w:rPr>
          <w:sz w:val="20"/>
          <w:szCs w:val="20"/>
          <w:color w:val="auto"/>
        </w:rPr>
      </w:pPr>
      <w:r>
        <w:rPr>
          <w:rFonts w:ascii="Times New Roman" w:cs="Times New Roman" w:eastAsia="Times New Roman" w:hAnsi="Times New Roman"/>
          <w:sz w:val="17"/>
          <w:szCs w:val="17"/>
          <w:color w:val="auto"/>
        </w:rPr>
        <w:t>then the Administrative Agent shall give notice thereof to the Company and any relevant Subsidiary Borrower and the Lenders by telephone, telecopy or electronic mail as promptly as practicable thereafter and, until (x) the Administrative Agent notifies the Company and any relevant Subsidiary Borrower and the Lenders that the circumstances giving rise to such notice no longer exist with respect to the relevant Benchmark and (y) the relevant Borrower delivers a new Interest Election Request in accordance with the terms of Section 2.14 or a new Borrowing Request in accordance with the terms of Section 2.2, (1)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(x) a Daily Simple SOFR Borrowing so long as the Daily Simple SOFR is not also the subject of Section 2.18(a)</w:t>
      </w:r>
    </w:p>
    <w:p>
      <w:pPr>
        <w:spacing w:after="0" w:line="2" w:lineRule="exact"/>
        <w:rPr>
          <w:sz w:val="20"/>
          <w:szCs w:val="20"/>
          <w:color w:val="auto"/>
        </w:rPr>
      </w:pPr>
    </w:p>
    <w:p>
      <w:pPr>
        <w:ind w:left="4" w:right="20" w:hanging="4"/>
        <w:spacing w:after="0" w:line="250" w:lineRule="auto"/>
        <w:tabs>
          <w:tab w:leader="none" w:pos="2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above or (y) an ABR Borrowing if the Daily Simple SOFR also is the subject of Section 2.18(a)(i) or (ii) above and (2) any Borrowing Request that requests a Daily Simple SOFR Borrowing shall instead be deemed to be a Borrowing Request for an ABR Borrowing; provided that if the circumstances giving rise to such notice affect only one Type of Borrowings, then all other Types of Borrowings shall be permitted. Furthermore, if any Term Benchmark Loan or Daily Simple SOFR Loan is outstanding on the date of the Company’s receipt of the notice from the Administrative Agent referred to in this Section 2.18(a) with respect to a Relevant Rate applicable to such Term Benchmark Loan or Daily Simple SOFR Loan, then until</w:t>
      </w:r>
    </w:p>
    <w:p>
      <w:pPr>
        <w:spacing w:after="0" w:line="1" w:lineRule="exact"/>
        <w:rPr>
          <w:rFonts w:ascii="Times New Roman" w:cs="Times New Roman" w:eastAsia="Times New Roman" w:hAnsi="Times New Roman"/>
          <w:sz w:val="18"/>
          <w:szCs w:val="18"/>
          <w:color w:val="auto"/>
        </w:rPr>
      </w:pPr>
    </w:p>
    <w:p>
      <w:pPr>
        <w:ind w:left="4" w:right="180" w:hanging="4"/>
        <w:spacing w:after="0" w:line="252" w:lineRule="auto"/>
        <w:tabs>
          <w:tab w:leader="none" w:pos="25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notifies the Borrower and the Lenders that the circumstances giving rise to such notice no longer exist with respect to the relevant Benchmark and (y) the Borrower delivers a new Interest Election Request in accordance with the terms of Section 2.14 or a new Borrowing Request in accordance with the terms of Section 2.2, (1) any Term Benchmark Loan shall on the last day of the Interest Period applicable to such Loan (or the next succeeding Business Day if such day is not a Business Day), be converted by the Administrative Agent to, and shall constitute, (x) a Daily Simple SOFR Borrowing so long as the Daily Simple SOFR is not also the subject of Section 2.18(a)(i) or (ii) above or (y) an ABR Loan if the Daily Simple SOFR also is the subject of Section 2.18(a)(i) or (ii) above, on such day and (2) any Daily Simple SOFR Loan shall on and from such day be converted by the Administrative Agent to, and shall constitute an ABR Loan.</w:t>
      </w:r>
    </w:p>
    <w:p>
      <w:pPr>
        <w:spacing w:after="0" w:line="188" w:lineRule="exact"/>
        <w:rPr>
          <w:rFonts w:ascii="Times New Roman" w:cs="Times New Roman" w:eastAsia="Times New Roman" w:hAnsi="Times New Roman"/>
          <w:sz w:val="18"/>
          <w:szCs w:val="18"/>
          <w:color w:val="auto"/>
        </w:rPr>
      </w:pPr>
    </w:p>
    <w:p>
      <w:pPr>
        <w:ind w:left="4" w:right="60" w:firstLine="987"/>
        <w:spacing w:after="0" w:line="266" w:lineRule="auto"/>
        <w:tabs>
          <w:tab w:leader="none" w:pos="125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if a Benchmark Transition Event and its related Benchmark Replacement Date have occurred prior to the Reference Time in respect of any setting of the then-current Benchmark, then such Benchmark Replacement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4"/>
          </w:cols>
          <w:pgMar w:left="436" w:top="270" w:right="439" w:bottom="1440" w:gutter="0" w:footer="0" w:header="0"/>
        </w:sectPr>
      </w:pPr>
    </w:p>
    <w:bookmarkStart w:id="44" w:name="page45"/>
    <w:bookmarkEnd w:id="44"/>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80" w:lineRule="exact"/>
        <w:rPr>
          <w:sz w:val="20"/>
          <w:szCs w:val="20"/>
          <w:color w:val="auto"/>
        </w:rPr>
      </w:pPr>
    </w:p>
    <w:p>
      <w:pPr>
        <w:jc w:val="both"/>
        <w:ind w:right="20" w:firstLine="987"/>
        <w:spacing w:after="0" w:line="261" w:lineRule="auto"/>
        <w:tabs>
          <w:tab w:leader="none" w:pos="124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79" w:lineRule="exact"/>
        <w:rPr>
          <w:rFonts w:ascii="Times New Roman" w:cs="Times New Roman" w:eastAsia="Times New Roman" w:hAnsi="Times New Roman"/>
          <w:sz w:val="18"/>
          <w:szCs w:val="18"/>
          <w:color w:val="auto"/>
        </w:rPr>
      </w:pPr>
    </w:p>
    <w:p>
      <w:pPr>
        <w:jc w:val="both"/>
        <w:ind w:firstLine="987"/>
        <w:spacing w:after="0" w:line="254" w:lineRule="auto"/>
        <w:tabs>
          <w:tab w:leader="none" w:pos="128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will promptly notify the Company and any relevant Subsidiary Borrower and the Lenders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2.18,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2.18.</w:t>
      </w:r>
    </w:p>
    <w:p>
      <w:pPr>
        <w:spacing w:after="0" w:line="191" w:lineRule="exact"/>
        <w:rPr>
          <w:rFonts w:ascii="Times New Roman" w:cs="Times New Roman" w:eastAsia="Times New Roman" w:hAnsi="Times New Roman"/>
          <w:sz w:val="18"/>
          <w:szCs w:val="18"/>
          <w:color w:val="auto"/>
        </w:rPr>
      </w:pPr>
    </w:p>
    <w:p>
      <w:pPr>
        <w:jc w:val="both"/>
        <w:ind w:right="20" w:firstLine="987"/>
        <w:spacing w:after="0" w:line="253" w:lineRule="auto"/>
        <w:tabs>
          <w:tab w:leader="none" w:pos="127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94" w:lineRule="exact"/>
        <w:rPr>
          <w:rFonts w:ascii="Times New Roman" w:cs="Times New Roman" w:eastAsia="Times New Roman" w:hAnsi="Times New Roman"/>
          <w:sz w:val="18"/>
          <w:szCs w:val="18"/>
          <w:color w:val="auto"/>
        </w:rPr>
      </w:pPr>
    </w:p>
    <w:p>
      <w:pPr>
        <w:jc w:val="both"/>
        <w:ind w:firstLine="987"/>
        <w:spacing w:after="0" w:line="255" w:lineRule="auto"/>
        <w:tabs>
          <w:tab w:leader="none" w:pos="122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Company’s and any relevant Subsidiary Borrower’s receipt of notice of the commencement of a Benchmark Unavailability Period, the applicable Borrower may revoke any request for a Term Benchmark Borrowing or Daily Simple SOFR Borrowing of, or any request for the conversion to or continuation of Term Benchmark Loans to be made, converted or continued during any Benchmark Unavailability Period and, failing that, such Borrower will be deemed to have converted any request for (1) a Term Benchmark Borrowing into a request for a Borrowing of or conversion to (i) a Daily Simple SOFR Borrowing so long as the Daily Simple SOFR is not the subject of a Benchmark Transition Event or (ii) an ABR Borrowing if the Daily Simple SOFR is the subject of a Benchmark Transition Event and (2) a Daily Simple SOFR Borrowing into a request for a Borrowing of or conversion to an ABR Borrowing. During any Benchmark Unavailability Period or at any time that a tenor for the then-current Benchmark is not an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440" w:top="270" w:right="439" w:bottom="1440" w:gutter="0" w:footer="0" w:header="0"/>
        </w:sectPr>
      </w:pPr>
    </w:p>
    <w:bookmarkStart w:id="45" w:name="page46"/>
    <w:bookmarkEnd w:id="45"/>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Available Tenor, the component of ABR based upon the then-current Benchmark or such tenor for such Benchmark, as applicable, will not be used in any determination of ABR. Furthermore, if any Term Benchmark Loan or Daily Simple SOFR Loan is outstanding on the date of the Company’s and any relevant Subsidiary Borrower’s receipt of notice of the commencement of a Benchmark Unavailability Period with respect to the Relevant Rate applicable to such Term Benchmark Loan or Daily Simple SOFR Loan, then until such time as a Benchmark Replacement is implemented pursuant to this Section 2.18, (1) any Term Benchmark Loan shall on the last day of the Interest Period applicable to such Loan (or the next succeeding Business Day if such day is not a Business Day), be converted by the Administrative Agent to, and shall constitute, (x) a Daily Simple SOFR Borrowing so long as the Daily Simple SOFR is not the subject of a Benchmark Transition Event or (y) an ABR Loan if the Daily Simple SOFR is the subject of a Benchmark Transition Event, on such day and (2) any Daily Simple SOFR Loan shall on and from such day be converted by the Administrative Agent to, and shall constitute, an ABR Loan.</w:t>
      </w:r>
    </w:p>
    <w:p>
      <w:pPr>
        <w:spacing w:after="0" w:line="188"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2.19 </w:t>
      </w:r>
      <w:r>
        <w:rPr>
          <w:rFonts w:ascii="Times New Roman" w:cs="Times New Roman" w:eastAsia="Times New Roman" w:hAnsi="Times New Roman"/>
          <w:sz w:val="18"/>
          <w:szCs w:val="18"/>
          <w:u w:val="single" w:color="auto"/>
          <w:color w:val="auto"/>
        </w:rPr>
        <w:t>Pro Rata Treatment and Payments; Evidence of Debt.</w:t>
      </w:r>
      <w:r>
        <w:rPr>
          <w:rFonts w:ascii="Times New Roman" w:cs="Times New Roman" w:eastAsia="Times New Roman" w:hAnsi="Times New Roman"/>
          <w:sz w:val="18"/>
          <w:szCs w:val="18"/>
          <w:color w:val="auto"/>
        </w:rPr>
        <w:t xml:space="preserve"> (a) Each borrowing of Loans under the Facility by the Company or any Subsidiary Borrower from the Lenders under the Facility, each payment by the Company or any Subsidiary Borrower on account of any Facility Fee and any reduction of the Commitments of the Lenders under the Facility shall be made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according to the respective Percentages under the Facility, of the relevant Lenders in the Facility except to the extent required or permitted pursuant to Sections 2.11, 2.24 and 2.25.</w:t>
      </w:r>
    </w:p>
    <w:p>
      <w:pPr>
        <w:spacing w:after="0" w:line="180" w:lineRule="exact"/>
        <w:rPr>
          <w:sz w:val="20"/>
          <w:szCs w:val="20"/>
          <w:color w:val="auto"/>
        </w:rPr>
      </w:pPr>
    </w:p>
    <w:p>
      <w:pPr>
        <w:jc w:val="both"/>
        <w:ind w:right="20" w:firstLine="987"/>
        <w:spacing w:after="0" w:line="261" w:lineRule="auto"/>
        <w:tabs>
          <w:tab w:leader="none" w:pos="124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payment (including each prepayment) by the Company or any Subsidiary Borrower on account of principal of and interest on the Loans under the Facility shall be made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to the Lenders under the Facility according to the respective outstanding principal amounts of the Loans under the Facility then held by the Lenders under the Facility except to the extent required or permitted pursuant to Sections 2.11, 2.24 and 2.25. Each such payment shall be paid in Dollars.</w:t>
      </w:r>
    </w:p>
    <w:p>
      <w:pPr>
        <w:spacing w:after="0" w:line="179" w:lineRule="exact"/>
        <w:rPr>
          <w:rFonts w:ascii="Times New Roman" w:cs="Times New Roman" w:eastAsia="Times New Roman" w:hAnsi="Times New Roman"/>
          <w:sz w:val="18"/>
          <w:szCs w:val="18"/>
          <w:color w:val="auto"/>
        </w:rPr>
      </w:pPr>
    </w:p>
    <w:p>
      <w:pPr>
        <w:jc w:val="both"/>
        <w:ind w:firstLine="987"/>
        <w:spacing w:after="0" w:line="253" w:lineRule="auto"/>
        <w:tabs>
          <w:tab w:leader="none" w:pos="12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(including prepayments) to be made by the Company or any Subsidiary Borrower hereunder, whether on account of principal, interest, fees or otherwise, shall be made without setoff or counterclaim and shall be made prior to 3:00 P.M., New York time, on the due date thereof to the Administrative Agent, for the account of the applicable Lenders, at the Funding Office, in Dollars and in immediately available funds. The Administrative Agent shall distribute such payments to the applicable Lenders promptly upon receipt in like funds as received. If any payment hereunder becomes due and payable on a day other than a Business Day, such payment shall be extended to the next succeeding Business Day, except as otherwise provided with respect to the payment of interest at the expiration of an Interest Period for a Term Benchmark Loan as provided in the proviso to the definition of Interest Period. If any payment on a Term Benchmark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94" w:lineRule="exact"/>
        <w:rPr>
          <w:rFonts w:ascii="Times New Roman" w:cs="Times New Roman" w:eastAsia="Times New Roman" w:hAnsi="Times New Roman"/>
          <w:sz w:val="18"/>
          <w:szCs w:val="18"/>
          <w:color w:val="auto"/>
        </w:rPr>
      </w:pPr>
    </w:p>
    <w:p>
      <w:pPr>
        <w:jc w:val="both"/>
        <w:ind w:right="20" w:firstLine="987"/>
        <w:spacing w:after="0" w:line="255" w:lineRule="auto"/>
        <w:tabs>
          <w:tab w:leader="none" w:pos="12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Company or any Subsidiary Borrower a corresponding amount. If such amount is not made available to the Administrative Agent by the required time on the Borrowing Date therefor, such Lender shall pay to the Administrative Agent, on demand, such amount with interest thereon, at a rate up to the greater of (i) the Federal Funds Effective Rate and (ii) a rate reasonably determined by the Administrative Agent in accordance with banking industry rules 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0"/>
          </w:cols>
          <w:pgMar w:left="440" w:top="270" w:right="439" w:bottom="1440" w:gutter="0" w:footer="0" w:header="0"/>
        </w:sectPr>
      </w:pPr>
    </w:p>
    <w:bookmarkStart w:id="46" w:name="page47"/>
    <w:bookmarkEnd w:id="46"/>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interbank compensation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at the rate per annum applicable to ABR Loans under the Facility, on demand, from the Company or the relevant Subsidiary Borrower.</w:t>
      </w:r>
    </w:p>
    <w:p>
      <w:pPr>
        <w:spacing w:after="0" w:line="183" w:lineRule="exact"/>
        <w:rPr>
          <w:sz w:val="20"/>
          <w:szCs w:val="20"/>
          <w:color w:val="auto"/>
        </w:rPr>
      </w:pPr>
    </w:p>
    <w:p>
      <w:pPr>
        <w:jc w:val="both"/>
        <w:ind w:right="20" w:firstLine="987"/>
        <w:spacing w:after="0" w:line="254" w:lineRule="auto"/>
        <w:tabs>
          <w:tab w:leader="none" w:pos="124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Administrative Agent shall have been notified in writing by the Company or relevant Subsidiary Borrower prior to the date of any payment due to be made by the Company or such Subsidiary Borrower under the Facility that the Company or such Subsidiary Borrower will not make such payment to the Administrative Agent, the Administrative Agent may assume that the Company or such Subsidiary Borrower is making such payment, and the Administrative Agent may, but shall not be required to, in reliance upon such assumption, make available to the Lenders under the Facility their respective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shares of a corresponding amount. If such payment is not made to the Administrative Agent by the Company or relevant Subsidiary Borrower within three Business Days after such due date, the Administrative Agent shall be entitled to recover, on demand, from each such Lender to which any amount was made available pursuant to the preceding sentence, such amount with interest thereon at the rate per annum equal to the daily average Federal Funds Effective Rate. Nothing herein shall be deemed to limit the rights of the Administrative Agent or any Lender against the Company or any Subsidiary Borrower.</w:t>
      </w:r>
    </w:p>
    <w:p>
      <w:pPr>
        <w:spacing w:after="0" w:line="188"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3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all of the Obligations have become due and payable (whether at the stated maturity, by acceleration or otherwise), payments under the Guarantee shall be applied to the Obligations in such order of application as the Company may from time to time specify, subject however, to the provisions of Sections 2.19(a) and (b) (applied as if such payments were made by the Company) and Section 10.7.</w:t>
      </w:r>
    </w:p>
    <w:p>
      <w:pPr>
        <w:spacing w:after="0" w:line="175" w:lineRule="exact"/>
        <w:rPr>
          <w:rFonts w:ascii="Times New Roman" w:cs="Times New Roman" w:eastAsia="Times New Roman" w:hAnsi="Times New Roman"/>
          <w:sz w:val="18"/>
          <w:szCs w:val="18"/>
          <w:color w:val="auto"/>
        </w:rPr>
      </w:pPr>
    </w:p>
    <w:p>
      <w:pPr>
        <w:jc w:val="both"/>
        <w:ind w:firstLine="987"/>
        <w:spacing w:after="0" w:line="261" w:lineRule="auto"/>
        <w:tabs>
          <w:tab w:leader="none" w:pos="126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Subsidiary Borrowers agrees that, upon the request to the Administrative Agent by any Lender, the Company or the applicable Subsidiary Borrower shall promptly execute and deliver to such Lender a promissory note of the Company and/or such Subsidiary Borrower evidencing the Loans of such Lender, substantially in the forms of Exhibit K (a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with appropriate insertions as to date and principal amount.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2.20 </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If any Change in Law shall:</w:t>
      </w:r>
    </w:p>
    <w:p>
      <w:pPr>
        <w:spacing w:after="0" w:line="225" w:lineRule="exact"/>
        <w:rPr>
          <w:sz w:val="20"/>
          <w:szCs w:val="20"/>
          <w:color w:val="auto"/>
        </w:rPr>
      </w:pPr>
    </w:p>
    <w:p>
      <w:pPr>
        <w:jc w:val="both"/>
        <w:ind w:firstLine="987"/>
        <w:spacing w:after="0" w:line="266" w:lineRule="auto"/>
        <w:tabs>
          <w:tab w:leader="none" w:pos="121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Term SOFR Rate; or</w:t>
      </w:r>
    </w:p>
    <w:p>
      <w:pPr>
        <w:spacing w:after="0" w:line="175"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such Lender or any interbank market any other condition;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the result of any of the foregoing is to increase the cost to the Administrative Agent or such Lender (or its affiliate, as the case may be), by an amount that the Administrative Agent or such Lender reasonably deems material, of making, converting into, continuing or maintaining Term Benchmark Loans or to reduce any amount receivable hereunder in respect thereof, then, in any such case, the Company and any relevant Subsidiary Borrower shall pay the Administrative Agent or such Lender, within 15 Business Days of receipt of notice from the Administrative Agent or the relevant Lender as described below, any additional amounts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440" w:top="270" w:right="439" w:bottom="1440" w:gutter="0" w:footer="0" w:header="0"/>
        </w:sectPr>
      </w:pPr>
    </w:p>
    <w:bookmarkStart w:id="47" w:name="page48"/>
    <w:bookmarkEnd w:id="47"/>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necessary to compensate the Administrative Agent or such Lender for such increased cost or reduced amount receivable (it being understood that the provisions set forth in this Section 2.20(a) are not intended to derogate from the Company’s rights provided in Section 2.23 and Section 2.24). If the Administrative Agent or any Lender becomes entitled to claim any additional amounts pursuant to this paragraph, it shall promptly notify the Company or the relevant Subsidiary Borrower (with a copy to the Administrative Agent) of the event by reason of which it has become so entitled (including a reasonably detailed calculation of such amounts).</w:t>
      </w:r>
    </w:p>
    <w:p>
      <w:pPr>
        <w:spacing w:after="0" w:line="183" w:lineRule="exact"/>
        <w:rPr>
          <w:sz w:val="20"/>
          <w:szCs w:val="20"/>
          <w:color w:val="auto"/>
        </w:rPr>
      </w:pPr>
    </w:p>
    <w:p>
      <w:pPr>
        <w:jc w:val="both"/>
        <w:ind w:firstLine="987"/>
        <w:spacing w:after="0" w:line="254" w:lineRule="auto"/>
        <w:tabs>
          <w:tab w:leader="none" w:pos="12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shall have determined that any Change in Law regarding capital or liquidity requirements has or would have the effect of reducing the rate of return on such Lender’s or an entity controlling such Lender’s capital as a consequence of its obligations hereunder to a level below that which such Lender or such entity could have achieved but for such Change in Law (taking into consideration such Lender’s or such entity’s policies with respect to capital adequacy or liquidity) by an amount deemed by such Lender to be material, then from time to time, within 15 Business Days after submission by such Lender to the Company and any relevant Subsidiary Borrower (with a copy to the Administrative Agent) of a written request therefor (together with a reasonably detailed description and calculation of such amounts), the Company and any relevant Subsidiary Borrower shall pay to such Lender such additional amount or amounts as will compensate such Lender or such entity for such reduction (it being understood that the provisions set forth in this Section 2.20(b) are not intended to derogate from the Company’s rights provided in Sections 2.23 and 2.24).</w:t>
      </w:r>
    </w:p>
    <w:p>
      <w:pPr>
        <w:spacing w:after="0" w:line="191" w:lineRule="exact"/>
        <w:rPr>
          <w:rFonts w:ascii="Times New Roman" w:cs="Times New Roman" w:eastAsia="Times New Roman" w:hAnsi="Times New Roman"/>
          <w:sz w:val="18"/>
          <w:szCs w:val="18"/>
          <w:color w:val="auto"/>
        </w:rPr>
      </w:pPr>
    </w:p>
    <w:p>
      <w:pPr>
        <w:jc w:val="both"/>
        <w:ind w:firstLine="987"/>
        <w:spacing w:after="0" w:line="253" w:lineRule="auto"/>
        <w:tabs>
          <w:tab w:leader="none" w:pos="12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as to any additional amounts payable pursuant to this Section 2.20 submitted by the Administrative Agent or any Lender to the Company and any relevant Subsidiary Borrower (with a copy to the Administrative Agent) shall be prima facie evidence of the amount owing in the absence of manifest error. Notwithstanding anything to the contrary in this Agreement, (i) neither the Administrative Agent nor any Lender shall be entitled to request any payment or amount under this Section 2.20 unless the Administrative Agent or such Lender is generally demanding payment (and certifies to the Company that it is generally demanding payment) under comparable provisions of its agreements with similarly situated borrowers of similar credit quality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under any obligation to verify any such request of a Lender) and (ii) the Company and any relevant Subsidiary Borrower shall not be required to compensate the Administrative Agent or a Lender pursuant to this Section 2.20 for any amounts incurred more than 90 days prior to the date that the Administrative Agent or such Lender notifies the Company or relevant Subsidiary Borrower of the Administrative Agent’s or such Lender’s intention to claim compensation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circumstances giving rise to such claim have a retroactive effect, then such 90 day period shall be extended to include the period of such retroactive effect, but not more than 180 days prior to the date that such notice was received by the Company and the relevant Subsidiary Borrower, if any. The obligations of the Company and the Subsidiary Borrowers pursuant to this Section 2.20 shall survive the termination of this Agreement and the payment of the Loans and all interest thereon and fees payable hereunder.</w:t>
      </w:r>
    </w:p>
    <w:p>
      <w:pPr>
        <w:spacing w:after="0" w:line="187" w:lineRule="exact"/>
        <w:rPr>
          <w:sz w:val="20"/>
          <w:szCs w:val="20"/>
          <w:color w:val="auto"/>
        </w:rPr>
      </w:pPr>
    </w:p>
    <w:p>
      <w:pPr>
        <w:jc w:val="both"/>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(a) All payments made by or on behalf of any Loan Party under this Agreement or any other Loan Document shall be made free and clear of, and without deduction or withholding for or on account of, any present or future Taxes, except as required by law. If any Taxes are required to be deducted or withheld from any such amounts payable, as determined in good faith by the applicable withholding agent, the applicable withholding agent shall make such deductions or withholdings and shall pay the full amount deducted or withheld to the relevant Governmental Authority in accordance with applicable laws. If such Tax is an Indemnified Tax, the amounts so payable by the applicable Loan Party shall be increased to the extent necessary so that after such deduction or withholding has been made, the applicable Recipient receives an amount equal to the sum which would have been received had no such deduction or withholding been made.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0"/>
          </w:cols>
          <w:pgMar w:left="440" w:top="270" w:right="439" w:bottom="1440" w:gutter="0" w:footer="0" w:header="0"/>
        </w:sectPr>
      </w:pPr>
    </w:p>
    <w:bookmarkStart w:id="48" w:name="page49"/>
    <w:bookmarkEnd w:id="48"/>
    <w:p>
      <w:pPr>
        <w:ind w:left="1244" w:hanging="253"/>
        <w:spacing w:after="0"/>
        <w:tabs>
          <w:tab w:leader="none" w:pos="124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each Loan Party shall pay any Other Taxes over to the relevant Governmental Authority in accordance with applicable law.</w:t>
      </w:r>
    </w:p>
    <w:p>
      <w:pPr>
        <w:spacing w:after="0" w:line="225" w:lineRule="exact"/>
        <w:rPr>
          <w:rFonts w:ascii="Times New Roman" w:cs="Times New Roman" w:eastAsia="Times New Roman" w:hAnsi="Times New Roman"/>
          <w:sz w:val="18"/>
          <w:szCs w:val="18"/>
          <w:color w:val="auto"/>
        </w:rPr>
      </w:pPr>
    </w:p>
    <w:p>
      <w:pPr>
        <w:jc w:val="both"/>
        <w:ind w:left="4" w:firstLine="987"/>
        <w:spacing w:after="0" w:line="257" w:lineRule="auto"/>
        <w:tabs>
          <w:tab w:leader="none" w:pos="125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any Indemnified Taxes are payable by any Loan Party, as promptly as practicable thereafter such Loan Party shall send to the Administrative Agent for its own account or for the account of the relevant Lender, as the case may be, a certified copy of an original official receipt received by such Loan Party (or other evidence reasonably satisfactory to the Administrative Agent or the relevant Lender) showing payment thereof. If</w:t>
      </w:r>
    </w:p>
    <w:p>
      <w:pPr>
        <w:spacing w:after="0" w:line="1"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26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fails to pay any Indemnified Taxes when due to the appropriate taxing authority, (ii) any Loan Party fails to remit to the Administrative Agent the required receipts or other required documentary evidence or (iii) any Indemnified Taxes are imposed directly upon the Administrative Agent or any Lender, the Loan Parties shall indemnify the Administrative Agent and the Lenders for such amount and any incremental taxes, interest, additions to tax, expenses or penalties that may become payable by the Administrative Agent or any Lender as a result of any such failure in the case of clauses (i) and (ii), or any such direct imposition in the case of clause (iii). The indemnification payment under this Section 2.21 shall be made within 30 days after the date the Administrative Agent makes a written demand therefor (together with a reasonably detailed calculation of such amounts).</w:t>
      </w:r>
    </w:p>
    <w:p>
      <w:pPr>
        <w:spacing w:after="0" w:line="188" w:lineRule="exact"/>
        <w:rPr>
          <w:rFonts w:ascii="Times New Roman" w:cs="Times New Roman" w:eastAsia="Times New Roman" w:hAnsi="Times New Roman"/>
          <w:sz w:val="18"/>
          <w:szCs w:val="18"/>
          <w:color w:val="auto"/>
        </w:rPr>
      </w:pPr>
    </w:p>
    <w:p>
      <w:pPr>
        <w:jc w:val="both"/>
        <w:ind w:left="4" w:firstLine="987"/>
        <w:spacing w:after="0" w:line="253" w:lineRule="auto"/>
        <w:tabs>
          <w:tab w:leader="none" w:pos="12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Lender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paragraphs (A), (B) and (D) of Section 2.21(d)(ii))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86" w:lineRule="exact"/>
        <w:rPr>
          <w:rFonts w:ascii="Times New Roman" w:cs="Times New Roman" w:eastAsia="Times New Roman" w:hAnsi="Times New Roman"/>
          <w:sz w:val="18"/>
          <w:szCs w:val="18"/>
          <w:color w:val="auto"/>
        </w:rPr>
      </w:pPr>
    </w:p>
    <w:p>
      <w:pPr>
        <w:ind w:left="1664" w:hanging="272"/>
        <w:spacing w:after="0"/>
        <w:tabs>
          <w:tab w:leader="none" w:pos="1664"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w:t>
      </w:r>
    </w:p>
    <w:p>
      <w:pPr>
        <w:spacing w:after="0" w:line="117" w:lineRule="exact"/>
        <w:rPr>
          <w:sz w:val="20"/>
          <w:szCs w:val="20"/>
          <w:color w:val="auto"/>
        </w:rPr>
      </w:pPr>
    </w:p>
    <w:p>
      <w:pPr>
        <w:jc w:val="both"/>
        <w:ind w:left="984" w:right="20" w:firstLine="408"/>
        <w:spacing w:after="0" w:line="254" w:lineRule="auto"/>
        <w:tabs>
          <w:tab w:leader="none" w:pos="168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Non-U.S. Lender shall deliver to the Company, any relevant Domestic Subsidiary Borrower and the Administrative Agent (or in the case of a Participant, to the Lender from which the related participation shall have been purchased) two copies of IRS Form W-8BEN, Form W-8BEN-E, Form W-8ECI or Form W-8IMY (together with any applicable underlying IRS forms), or, in the case of a Non-U.S. Lender claiming exemption from U.S. federal withholding tax under Section 871(h) or 881(c) of the Code with respect to payments of “portfolio interest”, a statement substantially in the form of Exhibit I-1, Exhibit I-2, Exhibit I-3 or Exhibit I-4, as applicable, and the applicable IRS Form W-8, or any subsequent versions thereof or successors thereto, properly completed and duly executed by such Non-U.S. Lender claiming complete exemption from U.S. federal withholding tax on all payments by the Company under this Agreement and the other Loan Documents and</w:t>
      </w:r>
    </w:p>
    <w:p>
      <w:pPr>
        <w:spacing w:after="0" w:line="83" w:lineRule="exact"/>
        <w:rPr>
          <w:rFonts w:ascii="Times New Roman" w:cs="Times New Roman" w:eastAsia="Times New Roman" w:hAnsi="Times New Roman"/>
          <w:sz w:val="18"/>
          <w:szCs w:val="18"/>
          <w:color w:val="auto"/>
        </w:rPr>
      </w:pPr>
    </w:p>
    <w:p>
      <w:pPr>
        <w:ind w:left="984" w:right="20" w:firstLine="408"/>
        <w:spacing w:after="0" w:line="282" w:lineRule="auto"/>
        <w:tabs>
          <w:tab w:leader="none" w:pos="172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is a U.S. Person shall deliver to the Company, any relevant Domestic Subsidiary Borrower and the Administrative Agent (or in the case of a Participant, to the Lender from which the related participation shall have been purchased)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4"/>
          </w:cols>
          <w:pgMar w:left="436" w:top="270" w:right="439" w:bottom="1440" w:gutter="0" w:footer="0" w:header="0"/>
        </w:sectPr>
      </w:pPr>
    </w:p>
    <w:bookmarkStart w:id="49" w:name="page50"/>
    <w:bookmarkEnd w:id="49"/>
    <w:p>
      <w:pPr>
        <w:ind w:left="9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two properly completed and duly executed copies of IRS Form W-9 certifying that such Lender is exempt from U.S. federal backup withholding tax.</w:t>
      </w:r>
    </w:p>
    <w:p>
      <w:pPr>
        <w:spacing w:after="0" w:line="54" w:lineRule="exact"/>
        <w:rPr>
          <w:sz w:val="20"/>
          <w:szCs w:val="20"/>
          <w:color w:val="auto"/>
        </w:rPr>
      </w:pPr>
    </w:p>
    <w:p>
      <w:pPr>
        <w:jc w:val="both"/>
        <w:ind w:left="980" w:firstLine="408"/>
        <w:spacing w:after="0" w:line="255" w:lineRule="auto"/>
        <w:tabs>
          <w:tab w:leader="none" w:pos="16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deliver to the Company, any relevant Domestic Subsidiary Borrower and the Administrative Agent, 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Company, any relevant Domestic Subsidiary Borrower and the Administrative Agent to determine the withholding or deduction required to be made. Each Lender shall promptly notify the Company and any relevant Domestic Subsidiary Borrower at any time it determines that it is no longer in a position to provide any previously delivered certificate to the Company (and any other form of certification adopted by the U.S. taxing authorities for such purpose).</w:t>
      </w:r>
    </w:p>
    <w:p>
      <w:pPr>
        <w:spacing w:after="0" w:line="80" w:lineRule="exact"/>
        <w:rPr>
          <w:rFonts w:ascii="Times New Roman" w:cs="Times New Roman" w:eastAsia="Times New Roman" w:hAnsi="Times New Roman"/>
          <w:sz w:val="18"/>
          <w:szCs w:val="18"/>
          <w:color w:val="auto"/>
        </w:rPr>
      </w:pPr>
    </w:p>
    <w:p>
      <w:pPr>
        <w:jc w:val="both"/>
        <w:ind w:left="980" w:firstLine="408"/>
        <w:spacing w:after="0" w:line="253" w:lineRule="auto"/>
        <w:tabs>
          <w:tab w:leader="none" w:pos="168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if a payment made to a Lender under this Agreement or the other Loan Documents would be subject to U.S. federal withholding tax imposed by FATCA if such Lender fails to comply with the applicable reporting requirements of FATCA (including those contained in Sections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Section 2.21(d), “FATCA” shall include any amendments made to FATCA after the date of this Agreement. Notwithstanding any other provision of this Section 2.21, a Lender shall not be required to deliver any form pursuant to this Section 2.21 (other than clause (ii) of the first sentence of this paragraph) that such Lender is not legally able to deliver.</w:t>
      </w:r>
    </w:p>
    <w:p>
      <w:pPr>
        <w:spacing w:after="0" w:line="84" w:lineRule="exact"/>
        <w:rPr>
          <w:sz w:val="20"/>
          <w:szCs w:val="20"/>
          <w:color w:val="auto"/>
        </w:rPr>
      </w:pPr>
    </w:p>
    <w:p>
      <w:pPr>
        <w:jc w:val="both"/>
        <w:ind w:left="980" w:firstLine="401"/>
        <w:spacing w:after="0" w:line="256" w:lineRule="auto"/>
        <w:rPr>
          <w:sz w:val="20"/>
          <w:szCs w:val="20"/>
          <w:color w:val="auto"/>
        </w:rPr>
      </w:pPr>
      <w:r>
        <w:rPr>
          <w:rFonts w:ascii="Times New Roman" w:cs="Times New Roman" w:eastAsia="Times New Roman" w:hAnsi="Times New Roman"/>
          <w:sz w:val="18"/>
          <w:szCs w:val="18"/>
          <w:color w:val="auto"/>
        </w:rPr>
        <w:t>Such forms shall be delivered by each Lender on or before the date it becomes a party to this Agreement (or, in the case of any Participant, on or before the date such Participant purchases the related participation). Thereafter, each Lender shall, to the extent it is legally able to do so, deliver such forms promptly upon the obsolescence, inaccuracy or invalidity of any form previously delivered by such Lender at any other time prescribed by applicable law or as reasonably requested by the Company or any relevant Subsidiary Borrower. If any Commitment is reallocated in accordance with Section 2.11(b), then the relevant Lender (to whom such Commitment has been reallocated) shall deliver, on the effective date of such reallocation, all such forms that it is legally able to deliver.</w:t>
      </w:r>
    </w:p>
    <w:p>
      <w:pPr>
        <w:spacing w:after="0" w:line="187" w:lineRule="exact"/>
        <w:rPr>
          <w:sz w:val="20"/>
          <w:szCs w:val="20"/>
          <w:color w:val="auto"/>
        </w:rPr>
      </w:pPr>
    </w:p>
    <w:p>
      <w:pPr>
        <w:jc w:val="both"/>
        <w:ind w:firstLine="987"/>
        <w:spacing w:after="0" w:line="256" w:lineRule="auto"/>
        <w:tabs>
          <w:tab w:leader="none" w:pos="12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Administrative Agent, any Transferee or any Lender determines, in its sole good faith discretion, that it has received a refund of any Indemnified Taxes as to which it has been indemnified by any Loan Party or with respect to which a Loan Party has paid additional amounts pursuant to this Section 2.21, it shall pay over such refund to such Loan Party (but only to the extent of indemnity payments made, or additional amounts paid, by such Loan Party under this Section 2.21 with respect to the Indemnified Taxes giving rise to such refund), net of all out-of-pocket expenses of the Administrative Agent, such Transferee or such Lender and without interest (other than any interest paid by the relevant Governmental Authority with respect to such refund); provided, that such Loan Party, upon the request 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20"/>
          </w:cols>
          <w:pgMar w:left="440" w:top="270" w:right="439" w:bottom="1440" w:gutter="0" w:footer="0" w:header="0"/>
        </w:sectPr>
      </w:pPr>
    </w:p>
    <w:bookmarkStart w:id="50" w:name="page51"/>
    <w:bookmarkEnd w:id="50"/>
    <w:p>
      <w:pPr>
        <w:jc w:val="both"/>
        <w:ind w:left="4" w:right="2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such Transferee or such Lender, agrees to repay the amount paid over to such Loan Party (plus any penalties, interest or other charges imposed by the relevant Governmental Authority) to the Administrative Agent, such Transferee or such Lender in the event the Administrative Agent, such Transferee or such Lender is required to repay such refund to such Governmental Authority. This paragraph shall not be construed to</w:t>
      </w:r>
    </w:p>
    <w:p>
      <w:pPr>
        <w:spacing w:after="0" w:line="1" w:lineRule="exact"/>
        <w:rPr>
          <w:sz w:val="20"/>
          <w:szCs w:val="20"/>
          <w:color w:val="auto"/>
        </w:rPr>
      </w:pPr>
    </w:p>
    <w:p>
      <w:pPr>
        <w:jc w:val="both"/>
        <w:ind w:left="4" w:right="20" w:hanging="4"/>
        <w:spacing w:after="0" w:line="253" w:lineRule="auto"/>
        <w:tabs>
          <w:tab w:leader="none" w:pos="2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interfere with the right of the Administrative Agent, any Transferee or any Lender to arrange its tax affairs in whatever manner it sees fit, (ii) obligate the Administrative Agent, any Transferee or any Lender to claim any tax refund, (iii) require the Administrative Agent, any Transferee or any Lender to make available its tax returns (or any other information relating to its taxes or any computation in respect thereof which it deems in its sole discretion to be confidential) to any Loan Party or any other Person, or (iv) require the Administrative Agent, any Transferee or any Lender to do anything that would in its sole discretion prejudice its ability to benefit from any other refunds, credits, reliefs, remissions or repayments to which it may be entitled.</w:t>
      </w:r>
    </w:p>
    <w:p>
      <w:pPr>
        <w:spacing w:after="0" w:line="186" w:lineRule="exact"/>
        <w:rPr>
          <w:rFonts w:ascii="Times New Roman" w:cs="Times New Roman" w:eastAsia="Times New Roman" w:hAnsi="Times New Roman"/>
          <w:sz w:val="18"/>
          <w:szCs w:val="18"/>
          <w:color w:val="auto"/>
        </w:rPr>
      </w:pPr>
    </w:p>
    <w:p>
      <w:pPr>
        <w:jc w:val="both"/>
        <w:ind w:left="4" w:firstLine="987"/>
        <w:spacing w:after="0" w:line="256" w:lineRule="auto"/>
        <w:tabs>
          <w:tab w:leader="none" w:pos="122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indemnify the Administrative Agent (to the extent not reimbursed by or on behalf of the Company if it is required to do so under Section 2.21(a) or 10.5 and without limiting the obligation of the Company under Section 2.21(a) or 10.5 to do so) for the full amount of any taxes, levies, imposts, duties, charges, fees, deductions, withholdings or similar charges imposed by any Governmental Authority that are attributable to such Lender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Lender by the Administrative Agent shall be conclusive absent manifest error.</w:t>
      </w:r>
    </w:p>
    <w:p>
      <w:pPr>
        <w:spacing w:after="0" w:line="18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Assignee shall be bound by this Section 2.21.</w:t>
      </w:r>
    </w:p>
    <w:p>
      <w:pPr>
        <w:spacing w:after="0" w:line="225" w:lineRule="exact"/>
        <w:rPr>
          <w:rFonts w:ascii="Times New Roman" w:cs="Times New Roman" w:eastAsia="Times New Roman" w:hAnsi="Times New Roman"/>
          <w:sz w:val="18"/>
          <w:szCs w:val="18"/>
          <w:color w:val="auto"/>
        </w:rPr>
      </w:pPr>
    </w:p>
    <w:p>
      <w:pPr>
        <w:jc w:val="both"/>
        <w:ind w:left="4" w:right="20" w:firstLine="987"/>
        <w:spacing w:after="0" w:line="266" w:lineRule="auto"/>
        <w:tabs>
          <w:tab w:leader="none" w:pos="127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in this Section 2.21 shall survive the resignation or replacement of the Administrative Agent or any assignment of rights by, or the replacement of, a Lender, the termination of the Commitments or this Agreement and the repayment, satisfaction or discharge of the Loans and all other amounts payable hereunder and the other Loan Documents.</w:t>
      </w:r>
    </w:p>
    <w:p>
      <w:pPr>
        <w:spacing w:after="0" w:line="176" w:lineRule="exact"/>
        <w:rPr>
          <w:sz w:val="20"/>
          <w:szCs w:val="20"/>
          <w:color w:val="auto"/>
        </w:rPr>
      </w:pPr>
    </w:p>
    <w:p>
      <w:pPr>
        <w:jc w:val="both"/>
        <w:ind w:left="4" w:firstLine="991"/>
        <w:spacing w:after="0" w:line="252"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Company and each relevant Subsidiary Borrower agrees to indemnify each Lender for, and to hold each Lender harmless from, any actual loss or expense that such Lender may sustain or incur as a consequence of (a) default by the Company or relevant Subsidiary Borrower in making a borrowing of, conversion into or continuation of Term Benchmark Loans after the Company or such Subsidiary Borrower has given a notice requesting the same in accordance with the provisions of this Agreement, (b) default by the Company or relevant Subsidiary Borrower in making any prepayment of or conversion from Term Benchmark Loans after the Company or such Subsidiary Borrower has given a notice thereof in accordance with the provisions of this Agreement, (c) the making of a prepayment of Term Benchmark Loans (or the conversion of a Term Benchmark Loan into a Loan of a different Type) on a day that is not the last day of an Interest Period with respect thereto or (d) the assignment of any Term Benchmark Loan other than on the last day of an Interest Period therefor as a result of a request by the Company pursuant to Section 2.24. Such indemnification may include an amount up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market.</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24"/>
          </w:cols>
          <w:pgMar w:left="436" w:top="270" w:right="439" w:bottom="1440" w:gutter="0" w:footer="0" w:header="0"/>
        </w:sectPr>
      </w:pPr>
    </w:p>
    <w:bookmarkStart w:id="51" w:name="page52"/>
    <w:bookmarkEnd w:id="51"/>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certificate as to any amounts payable pursuant to this Section 2.22 submitted to the Company and the relevant Subsidiary Borrower, if any, by any Lender (together with a reasonably detailed calculation of such amounts) shall be prima facie evidence thereof and shall be payable within 30 days of receipt of any such notice. The agreements in this Section 2.22 shall survive the termination of this Agreement, the repayment of the Loans and all other amounts payable hereunder and the other Loan Documents.</w:t>
      </w:r>
    </w:p>
    <w:p>
      <w:pPr>
        <w:spacing w:after="0" w:line="180" w:lineRule="exact"/>
        <w:rPr>
          <w:sz w:val="20"/>
          <w:szCs w:val="20"/>
          <w:color w:val="auto"/>
        </w:rPr>
      </w:pPr>
    </w:p>
    <w:p>
      <w:pPr>
        <w:jc w:val="both"/>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Change of Applicable Lending Office</w:t>
      </w:r>
      <w:r>
        <w:rPr>
          <w:rFonts w:ascii="Times New Roman" w:cs="Times New Roman" w:eastAsia="Times New Roman" w:hAnsi="Times New Roman"/>
          <w:sz w:val="18"/>
          <w:szCs w:val="18"/>
          <w:color w:val="auto"/>
        </w:rPr>
        <w:t xml:space="preserve">. Each Lender agrees that, upon the occurrence of any event giving rise to the operation of Section 2.20 or 2.21(a) with respect to such Lender or its Applicable Lending Office, as applicable, it will, if requested by the Company, use reasonable efforts (subject to overall policy considerations of such Lender) to designate another Applicable Lending Office for any Loans affected by such event with the object of avoiding or minimizing the consequences of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designation is made on terms that, in the reasonable judgment of such Lender, do not cause such Lender and its lending office(s) to suffer any material economic, legal or regulatory disadvantage;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nothing in this Section 2.23 shall affect or postpone any of the obligations of the Company or the rights of any Lender pursuant to Section 2.20 or 2.21(a).</w:t>
      </w:r>
    </w:p>
    <w:p>
      <w:pPr>
        <w:spacing w:after="0" w:line="189" w:lineRule="exact"/>
        <w:rPr>
          <w:sz w:val="20"/>
          <w:szCs w:val="20"/>
          <w:color w:val="auto"/>
        </w:rPr>
      </w:pPr>
    </w:p>
    <w:p>
      <w:pPr>
        <w:jc w:val="both"/>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Replacement/Termination of Lenders</w:t>
      </w:r>
      <w:r>
        <w:rPr>
          <w:rFonts w:ascii="Times New Roman" w:cs="Times New Roman" w:eastAsia="Times New Roman" w:hAnsi="Times New Roman"/>
          <w:sz w:val="18"/>
          <w:szCs w:val="18"/>
          <w:color w:val="auto"/>
        </w:rPr>
        <w:t xml:space="preserve">. The Company shall be permitted to replace with a replacement financial institution or terminate the Commitments under the Facility and repay any outstanding Loans at par under the Facility (and any accrued interest and fees thereon) of a Defaulting Lender or any Lender that (i) requests reimbursement for amounts owing pursuant to Section 2.20 or 2.21(a), (ii) fails to give its consent for any amendment, consent or waiver requiring the consent of 100% of the Lenders or all affected Lenders under the Facility (and such Lender is an affected Lender) and for which the Required Lenders have consented or (iii) fails to give its consent to an extension of the Termination Date or the Converted Term Loan Maturity Date to which the Required Lenders have consented;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each case, that (A) the replacement financial institution or the Company, as applicable, shall purchase or repay at par, all Loans owing to such replaced or terminated Lender on or prior to the date of replacement or termination, and shall pay all accrued interest and fees thereon to such date, (B) unless otherwise agreed, the Company shall be liable to such replaced or terminated Lender under Section 2.22 if any Term Benchmark Loan owing to such replaced Lender shall be purchased or repaid other than on the last day of the Interest Period relating thereto, (C) any replacement financial institution, if not a Lender, shall be reasonably satisfactory to the Administrative Agent and if a Lender, shall not constitute a Defaulting Lender, (D) any replaced Lender shall be obligated to make such replacement in accordance with the provisions of Section 10.6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unless otherwise agreed, the Company shall be obligated to pay the registration and processing fee referred to therein), (E) until such time as such replacement shall be consummated, the Company shall pay all additional amounts (if any) required pursuant to Section 2.20 or 2.21(a), as the case may be, and (F) any such replacement, termination and/or repayment shall not be deemed to be a waiver of any rights that the Company, any other Loan Party, the Administrative Agent or any other Lender shall have against the replaced Lender. Notwithstanding the foregoing, in the event that a Lender being replaced pursuant to this Section 2.24 shall not have executed an Assignment and Assumption requested by the Company reflecting such permitted replacement, such Lender shall be deemed to have approved such assignment three Business Days following receipt of notice from the Company of such replacement, and such deemed approval shall be effective for purposes of documenting an assignment pursuant to Section 10.6 without any action by any other party hereto (including the Administrative Agent), and the Administrative Agent shall record the same.</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2.25 </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Notwithstanding any provision of this Agreement to the contrary, if any Lender becomes a Defaulting Lender, then the following provisions shall apply for so long as such Lender is a Defaulting Lender: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20"/>
          </w:cols>
          <w:pgMar w:left="440" w:top="270" w:right="439" w:bottom="1440" w:gutter="0" w:footer="0" w:header="0"/>
        </w:sectPr>
      </w:pPr>
    </w:p>
    <w:bookmarkStart w:id="52" w:name="page53"/>
    <w:bookmarkEnd w:id="52"/>
    <w:p>
      <w:pPr>
        <w:ind w:left="1240" w:hanging="253"/>
        <w:spacing w:after="0"/>
        <w:tabs>
          <w:tab w:leader="none" w:pos="12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Facility Fees, if any, shall cease to accrue on the unfunded Commitment of such Defaulting Lender pursuant to Section 2.10; and</w:t>
      </w:r>
    </w:p>
    <w:p>
      <w:pPr>
        <w:spacing w:after="0" w:line="225" w:lineRule="exact"/>
        <w:rPr>
          <w:rFonts w:ascii="Times New Roman" w:cs="Times New Roman" w:eastAsia="Times New Roman" w:hAnsi="Times New Roman"/>
          <w:sz w:val="18"/>
          <w:szCs w:val="18"/>
          <w:color w:val="auto"/>
        </w:rPr>
      </w:pPr>
    </w:p>
    <w:p>
      <w:pPr>
        <w:jc w:val="both"/>
        <w:ind w:right="20" w:firstLine="987"/>
        <w:spacing w:after="0" w:line="254" w:lineRule="auto"/>
        <w:tabs>
          <w:tab w:leader="none" w:pos="125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Defaulting Lender and the Commitment and Extensions of Credit of such Defaulting Lender shall not be included in determining whether the Lenders, the Required Lenders or any directly affected Lender under the Facility have taken or may take any action hereunder (including any consent to any amendment, consent, waiver or other modification pursuant to Section 10.1);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clause (b) shall not apply in the case of an amendment, waiver or other modification that has the effect of (i) increasing the amount or extending the expiration date of all or any portion of such Defaulting Lender’s Commitment or extending the final scheduled maturity date of any Loan held by such Defaulting Lender, (ii) forgiving or reducing any principal amount of any Loan owing to such Defaulting Lender, or (iii) reducing the stated rate of any interest or fees payable to such Defaulting Lender hereunder, or extending the scheduled date of any payment required hereunder (for the purpose of clarity, the foregoing clauses (i), (ii), and (iii) shall not include any waiver of a mandatory prepayment and shall not preclude a waiver of applicability of any post-default increases in interest rates).</w:t>
      </w:r>
    </w:p>
    <w:p>
      <w:pPr>
        <w:spacing w:after="0" w:line="188" w:lineRule="exact"/>
        <w:rPr>
          <w:sz w:val="20"/>
          <w:szCs w:val="20"/>
          <w:color w:val="auto"/>
        </w:rPr>
      </w:pPr>
    </w:p>
    <w:p>
      <w:pPr>
        <w:jc w:val="both"/>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2.26 </w:t>
      </w:r>
      <w:r>
        <w:rPr>
          <w:rFonts w:ascii="Times New Roman" w:cs="Times New Roman" w:eastAsia="Times New Roman" w:hAnsi="Times New Roman"/>
          <w:sz w:val="18"/>
          <w:szCs w:val="18"/>
          <w:u w:val="single" w:color="auto"/>
          <w:color w:val="auto"/>
        </w:rPr>
        <w:t>Reallocation of Payments for the Account of Defaulting Lenders</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any Defaulting Lender under the Facility (whether voluntary or mandatory, at or prior to maturity, or otherwise), shall be applied at such time or times as may be determined by the Administrative Agent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to the payment of any amounts owing by such Defaulting Lender to the Administrative Agent hereunder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in accordance with the amounts owed by such Defaulting Lender to the Administrative Agent);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as the Company may request (so long as no Event of Default has occurred and is continuing), to the funding of any Loan under the Facility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if so determined by the Administrative Agent and the Company, to be held in an interest bearing deposit account and released from time to time in order to satisfy obligations of such Defaulting Lender to fund Loans under the Facility (it being understood and agreed that the accrued interest thereon shall be held as additional collateral for such obligations);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the payment of any amounts owing to the Lenders under the Facility as a result of any judgment of a court of competent jurisdiction obtained by any Lender against such Defaulting Lender as a result of such Defaulting Lender’s breach of its obligations under this Agreement;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to the payment of any amounts owing to a Loan Party as a result of any judgment of a court of competent jurisdiction obtained by such Loan Party against such Defaulting Lender as a result of such Defaulting Lender’s breach of its obligations under this Agreement; and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in respect of which such Defaulting Lender has not fully funded its appropriate share and (y) such Loans were made at a time when the conditions set forth in Section 5.2 were satisfied or waived, such payment shall be applied solely to pay the Loans under the Facility of all non-Defaulting Lenders under the Facility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prior to being applied to the payment of any Loans of such Defaulting Lender. Any payments, prepayments or other amounts paid or payable to a Defaulting Lender that are applied (or held) to pay amounts owed by such Defaulting Lender pursuant to this Section 2.26 shall be deemed paid to and redirected by such Defaulting Lender, and each Lender under the Facility irrevocably consents hereto.</w:t>
      </w:r>
    </w:p>
    <w:p>
      <w:pPr>
        <w:spacing w:after="0" w:line="191"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2.27 </w:t>
      </w:r>
      <w:r>
        <w:rPr>
          <w:rFonts w:ascii="Times New Roman" w:cs="Times New Roman" w:eastAsia="Times New Roman" w:hAnsi="Times New Roman"/>
          <w:sz w:val="18"/>
          <w:szCs w:val="18"/>
          <w:u w:val="single" w:color="auto"/>
          <w:color w:val="auto"/>
        </w:rPr>
        <w:t>Incremental Commitments</w:t>
      </w:r>
      <w:r>
        <w:rPr>
          <w:rFonts w:ascii="Times New Roman" w:cs="Times New Roman" w:eastAsia="Times New Roman" w:hAnsi="Times New Roman"/>
          <w:sz w:val="18"/>
          <w:szCs w:val="18"/>
          <w:color w:val="auto"/>
        </w:rPr>
        <w:t>. (a) The Company may from time to time notify the Administrative Agent that certain of the Lenders designated by the Company and/or that additional lenders shall be added to this Agreement as Incremental Lenders with Commitments for the purpose of increasing the existing Commitments under the Facility (a “</w:t>
      </w:r>
      <w:r>
        <w:rPr>
          <w:rFonts w:ascii="Times New Roman" w:cs="Times New Roman" w:eastAsia="Times New Roman" w:hAnsi="Times New Roman"/>
          <w:sz w:val="18"/>
          <w:szCs w:val="18"/>
          <w:u w:val="single" w:color="auto"/>
          <w:color w:val="auto"/>
        </w:rPr>
        <w:t>Commitment Increase</w:t>
      </w:r>
      <w:r>
        <w:rPr>
          <w:rFonts w:ascii="Times New Roman" w:cs="Times New Roman" w:eastAsia="Times New Roman" w:hAnsi="Times New Roman"/>
          <w:sz w:val="18"/>
          <w:szCs w:val="18"/>
          <w:color w:val="auto"/>
        </w:rPr>
        <w:t xml:space="preserve">”) by executing and delivering to the Administrative Agent an Incremental Loan Activation Notice signed by such Lenders or such additional lenders and specifying (i) the respective Incremental Commitments of such Incremental Lenders and (ii) the applicable Commitment Increase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after giving effect to such</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0"/>
          </w:cols>
          <w:pgMar w:left="440" w:top="270" w:right="439" w:bottom="1440" w:gutter="0" w:footer="0" w:header="0"/>
        </w:sectPr>
      </w:pPr>
    </w:p>
    <w:bookmarkStart w:id="53" w:name="page54"/>
    <w:bookmarkEnd w:id="53"/>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Commitment Increase (including the incurrence of any Incremental Loans on the applicable Commitment Increase Date and use of proceeds thereof) (x) no Default or Event of Default shall be continuing and (y) the sum of the Total Commitments then in effect (including, for the avoidance of doubt, Incremental Commitments) shall not exceed $2 billion.</w:t>
      </w:r>
    </w:p>
    <w:p>
      <w:pPr>
        <w:spacing w:after="0" w:line="176" w:lineRule="exact"/>
        <w:rPr>
          <w:sz w:val="20"/>
          <w:szCs w:val="20"/>
          <w:color w:val="auto"/>
        </w:rPr>
      </w:pPr>
    </w:p>
    <w:p>
      <w:pPr>
        <w:jc w:val="both"/>
        <w:ind w:right="20" w:firstLine="987"/>
        <w:spacing w:after="0" w:line="256" w:lineRule="auto"/>
        <w:tabs>
          <w:tab w:leader="none" w:pos="125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Incremental Lender that is a signatory to an Incremental Loan Activation Notice severally agrees, on the terms and conditions of this Agreement, to make revolving credit loans (each, an “</w:t>
      </w:r>
      <w:r>
        <w:rPr>
          <w:rFonts w:ascii="Times New Roman" w:cs="Times New Roman" w:eastAsia="Times New Roman" w:hAnsi="Times New Roman"/>
          <w:sz w:val="18"/>
          <w:szCs w:val="18"/>
          <w:u w:val="single" w:color="auto"/>
          <w:color w:val="auto"/>
        </w:rPr>
        <w:t>Incremental Loan</w:t>
      </w:r>
      <w:r>
        <w:rPr>
          <w:rFonts w:ascii="Times New Roman" w:cs="Times New Roman" w:eastAsia="Times New Roman" w:hAnsi="Times New Roman"/>
          <w:sz w:val="18"/>
          <w:szCs w:val="18"/>
          <w:color w:val="auto"/>
        </w:rPr>
        <w:t xml:space="preserve">”) to the Company and/or the applicable Subsidiary Borrowers from time to time on or after the Commitment Increase Date specified in such Incremental Loan Activation Notice in an aggregate principal amount outstanding at any time up to but not exceeding the amount of the Incremental Commitment of such Incremental Lender specified in such Incremental Loan Activation Notice, subject to the terms of this Agreement and the applicable Incremental Loan Activation Notice. Nothing in this </w:t>
      </w:r>
      <w:r>
        <w:rPr>
          <w:rFonts w:ascii="Times New Roman" w:cs="Times New Roman" w:eastAsia="Times New Roman" w:hAnsi="Times New Roman"/>
          <w:sz w:val="18"/>
          <w:szCs w:val="18"/>
          <w:u w:val="single" w:color="auto"/>
          <w:color w:val="auto"/>
        </w:rPr>
        <w:t>Section 2.27</w:t>
      </w:r>
      <w:r>
        <w:rPr>
          <w:rFonts w:ascii="Times New Roman" w:cs="Times New Roman" w:eastAsia="Times New Roman" w:hAnsi="Times New Roman"/>
          <w:sz w:val="18"/>
          <w:szCs w:val="18"/>
          <w:color w:val="auto"/>
        </w:rPr>
        <w:t xml:space="preserve"> shall be construed to obligate any Lender to execute an Incremental Loan Activation Notice.</w:t>
      </w:r>
    </w:p>
    <w:p>
      <w:pPr>
        <w:spacing w:after="0" w:line="187" w:lineRule="exact"/>
        <w:rPr>
          <w:rFonts w:ascii="Times New Roman" w:cs="Times New Roman" w:eastAsia="Times New Roman" w:hAnsi="Times New Roman"/>
          <w:sz w:val="18"/>
          <w:szCs w:val="18"/>
          <w:color w:val="auto"/>
        </w:rPr>
      </w:pPr>
    </w:p>
    <w:p>
      <w:pPr>
        <w:jc w:val="both"/>
        <w:ind w:firstLine="987"/>
        <w:spacing w:after="0" w:line="255" w:lineRule="auto"/>
        <w:tabs>
          <w:tab w:leader="none" w:pos="126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Commitment Increase Date, in the event any Loans under the Facility are then outstanding, (i) each relevant Incremental Lender shall make available to the Administrative Agent such amounts in immediately available funds as the Administrative Agent shall determine are necessary in order to cause, after giving effect to such increased Commitments and the application of such amounts to prepay Loans under the Facility of other relevant Lenders, the Loans under the Facility to be held ratably by all Lenders with Commitments in the Facility in accordance with such Commitments after giving effect to such increase, (ii) the Company and any relevant Subsidiary Borrower shall be deemed to have prepaid and reborrowed all outstanding Loans under this Agreement and (iii) the Company and any relevant Subsidiary Borrower shall pay to the relevant Lenders the amounts, if any, payable under Section 2.22 as a result of such prepayment.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2.28 </w:t>
      </w:r>
      <w:r>
        <w:rPr>
          <w:rFonts w:ascii="Times New Roman" w:cs="Times New Roman" w:eastAsia="Times New Roman" w:hAnsi="Times New Roman"/>
          <w:sz w:val="18"/>
          <w:szCs w:val="18"/>
          <w:u w:val="single" w:color="auto"/>
          <w:color w:val="auto"/>
        </w:rPr>
        <w:t>Term Loan Conversion; Repayment of Converted Term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53" w:lineRule="auto"/>
        <w:tabs>
          <w:tab w:leader="none" w:pos="123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there are any Loans outstanding on the Termination Date, at the option of the applicable Borrower or the Company, all or a portion of such Loans may be converted to term loans (each, a “</w:t>
      </w:r>
      <w:r>
        <w:rPr>
          <w:rFonts w:ascii="Times New Roman" w:cs="Times New Roman" w:eastAsia="Times New Roman" w:hAnsi="Times New Roman"/>
          <w:sz w:val="18"/>
          <w:szCs w:val="18"/>
          <w:u w:val="single" w:color="auto"/>
          <w:color w:val="auto"/>
        </w:rPr>
        <w:t>Converted Term Loan</w:t>
      </w:r>
      <w:r>
        <w:rPr>
          <w:rFonts w:ascii="Times New Roman" w:cs="Times New Roman" w:eastAsia="Times New Roman" w:hAnsi="Times New Roman"/>
          <w:sz w:val="18"/>
          <w:szCs w:val="18"/>
          <w:color w:val="auto"/>
        </w:rPr>
        <w:t xml:space="preserve">”) on such date and the Commitments shall automatically terminate. Upon the conversion of such Loans to Converted Term Loans, (i) each Borrower’s obligations in respect of such Loans shall remain in effect except as otherwise expressly provided for herein and (ii) each Lender shall be deemed to hold its applicable Percentage (determined immediately prior to giving effect to the Termination Date) of each of the Converted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 that immediately before and after giving effect to such conversion each of the representations and warranties made by the Company in or pursuant to the Loan Documents shall be true and correct in all material respects on and as of such date of conversion as if made on and as of such date (except to the extent such representations and warranties relate to an earlier date (including those set forth in Sections 4.1, 4.2, 4.6, 4.7, 4.8, 4.9 and 4.13), in which case, such representations and warranties shall have been true and correct in all material respects on and as of such earlier date), (ii) that immediately before and after giving effect to such conversion no Default or Event of Default shall have occurred and be continuing and (iii) the applicable Borrower or the Company shall have paid a fee to the Administrative Agent, for the account of each Lender holding Converted Term Loans, in an amount equal to 1.00% of aggregate principal amount of such Converted Term Loans held by such Lender.</w:t>
      </w:r>
    </w:p>
    <w:p>
      <w:pPr>
        <w:spacing w:after="0" w:line="189" w:lineRule="exact"/>
        <w:rPr>
          <w:rFonts w:ascii="Times New Roman" w:cs="Times New Roman" w:eastAsia="Times New Roman" w:hAnsi="Times New Roman"/>
          <w:sz w:val="18"/>
          <w:szCs w:val="18"/>
          <w:color w:val="auto"/>
        </w:rPr>
      </w:pPr>
    </w:p>
    <w:p>
      <w:pPr>
        <w:jc w:val="both"/>
        <w:ind w:right="20" w:firstLine="987"/>
        <w:spacing w:after="0" w:line="258" w:lineRule="auto"/>
        <w:tabs>
          <w:tab w:leader="none" w:pos="126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Converted Term Loan shall continue to bear interest at the same rate as, and contain such other terms that are identical to, the Loan from which such Converted Term Loan was converted (including, in the case of a Converted Term Loan that was converted from a Loan that was a Term Benchmark Loan at the time of conversion, the same Interest Period applicable to such Loan at the time of conversion) and each reference herein to “Loans” shall be deemed to be a reference to “Converted Term Loans” as appropriate;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amounts paid or prepaid in respect of Converted Term</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20"/>
          </w:cols>
          <w:pgMar w:left="440" w:top="270" w:right="439" w:bottom="1440" w:gutter="0" w:footer="0" w:header="0"/>
        </w:sectPr>
      </w:pPr>
    </w:p>
    <w:bookmarkStart w:id="54" w:name="page55"/>
    <w:bookmarkEnd w:id="54"/>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Loans may not be reborrowed. To the extent not previously paid, all Converted Term Loans shall be due and payable on the Converted Term Loan Maturity Date.</w:t>
      </w:r>
    </w:p>
    <w:p>
      <w:pPr>
        <w:spacing w:after="0" w:line="37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SECTION 3. [RESERVED]</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SECTION 4. REPRESENTATIONS AND WARRANTIES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To induce the Lenders to enter into this Agreement and to make the Loans the Company hereby represents and warrants to each Lender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that:</w:t>
      </w:r>
    </w:p>
    <w:p>
      <w:pPr>
        <w:spacing w:after="0" w:line="99" w:lineRule="exact"/>
        <w:rPr>
          <w:sz w:val="20"/>
          <w:szCs w:val="20"/>
          <w:color w:val="auto"/>
        </w:rPr>
      </w:pPr>
    </w:p>
    <w:p>
      <w:pPr>
        <w:jc w:val="both"/>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Financial Condition</w:t>
      </w:r>
      <w:r>
        <w:rPr>
          <w:rFonts w:ascii="Times New Roman" w:cs="Times New Roman" w:eastAsia="Times New Roman" w:hAnsi="Times New Roman"/>
          <w:sz w:val="18"/>
          <w:szCs w:val="18"/>
          <w:color w:val="auto"/>
        </w:rPr>
        <w:t>. The consolidated financial statements of the Company included in its Annual Report on Form 10-K, for the twelve-month period ended December 31, 2025 (the “</w:t>
      </w:r>
      <w:r>
        <w:rPr>
          <w:rFonts w:ascii="Times New Roman" w:cs="Times New Roman" w:eastAsia="Times New Roman" w:hAnsi="Times New Roman"/>
          <w:sz w:val="18"/>
          <w:szCs w:val="18"/>
          <w:u w:val="single" w:color="auto"/>
          <w:color w:val="auto"/>
        </w:rPr>
        <w:t>2025 10-K</w:t>
      </w:r>
      <w:r>
        <w:rPr>
          <w:rFonts w:ascii="Times New Roman" w:cs="Times New Roman" w:eastAsia="Times New Roman" w:hAnsi="Times New Roman"/>
          <w:sz w:val="18"/>
          <w:szCs w:val="18"/>
          <w:color w:val="auto"/>
        </w:rPr>
        <w:t xml:space="preserve">”) as most recently updated or amended on or before the Closing Date and filed with the SEC, present fairly, in all material respects, in accordance with GAAP, the financial condition and results of operations of the Company and its Subsidiaries as of, and for, the twelve-month period ended on December 31, 2025;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representation shall not be deemed to have been incorrect if, in the event of a subsequent restatement of such financial statements, the changes reflected in such restatement(s) do not reflect a change in the financial condition or results of operation of the Company and its Subsidiaries, taken as a whole, which would reasonably be expected to have a Material Adverse Effect.</w:t>
      </w:r>
    </w:p>
    <w:p>
      <w:pPr>
        <w:spacing w:after="0" w:line="189" w:lineRule="exact"/>
        <w:rPr>
          <w:sz w:val="20"/>
          <w:szCs w:val="20"/>
          <w:color w:val="auto"/>
        </w:rPr>
      </w:pPr>
    </w:p>
    <w:p>
      <w:pPr>
        <w:jc w:val="both"/>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 Change</w:t>
      </w:r>
      <w:r>
        <w:rPr>
          <w:rFonts w:ascii="Times New Roman" w:cs="Times New Roman" w:eastAsia="Times New Roman" w:hAnsi="Times New Roman"/>
          <w:sz w:val="18"/>
          <w:szCs w:val="18"/>
          <w:color w:val="auto"/>
        </w:rPr>
        <w:t>. Between the date of the financial statements included in the 2025 10-K and the Closing Date, there has been no development or event which has had a Material Adverse Effect.</w:t>
      </w:r>
    </w:p>
    <w:p>
      <w:pPr>
        <w:spacing w:after="0" w:line="162" w:lineRule="exact"/>
        <w:rPr>
          <w:sz w:val="20"/>
          <w:szCs w:val="20"/>
          <w:color w:val="auto"/>
        </w:rPr>
      </w:pPr>
    </w:p>
    <w:p>
      <w:pPr>
        <w:jc w:val="both"/>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Existence</w:t>
      </w:r>
      <w:r>
        <w:rPr>
          <w:rFonts w:ascii="Times New Roman" w:cs="Times New Roman" w:eastAsia="Times New Roman" w:hAnsi="Times New Roman"/>
          <w:sz w:val="18"/>
          <w:szCs w:val="18"/>
          <w:color w:val="auto"/>
        </w:rPr>
        <w:t>. Each Loan Party (a) is duly organized, validly existing and in good standing under the laws of its jurisdiction of organization, (b) has the power and authority to conduct the business in which it is currently engaged and (c) is duly qualified and in good standing in each jurisdiction where it is required to be so qualified and in good standing, except to the extent all failures with respect to the foregoing clauses (a), (b) and (c) would not, in the aggregate, reasonably be expected to have a Material Adverse Effect.</w:t>
      </w:r>
    </w:p>
    <w:p>
      <w:pPr>
        <w:spacing w:after="0" w:line="180" w:lineRule="exact"/>
        <w:rPr>
          <w:sz w:val="20"/>
          <w:szCs w:val="20"/>
          <w:color w:val="auto"/>
        </w:rPr>
      </w:pPr>
    </w:p>
    <w:p>
      <w:pPr>
        <w:jc w:val="both"/>
        <w:ind w:left="4" w:firstLine="991"/>
        <w:spacing w:after="0" w:line="257"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Power; Authorization; Enforceable Obligations</w:t>
      </w:r>
      <w:r>
        <w:rPr>
          <w:rFonts w:ascii="Times New Roman" w:cs="Times New Roman" w:eastAsia="Times New Roman" w:hAnsi="Times New Roman"/>
          <w:sz w:val="18"/>
          <w:szCs w:val="18"/>
          <w:color w:val="auto"/>
        </w:rPr>
        <w:t>. Each Loan Party (a) has the requisite organizational power and authority to execute, deliver and perform its obligations under each Loan Document to which it is a party, (b) has taken all necessary corporate or other organizational action to authorize the execution, delivery and performance thereof, (c) has duly executed and delivered each Loan Document to which it is a party and</w:t>
      </w:r>
    </w:p>
    <w:p>
      <w:pPr>
        <w:spacing w:after="0" w:line="1" w:lineRule="exact"/>
        <w:rPr>
          <w:sz w:val="20"/>
          <w:szCs w:val="20"/>
          <w:color w:val="auto"/>
        </w:rPr>
      </w:pPr>
    </w:p>
    <w:p>
      <w:pPr>
        <w:jc w:val="both"/>
        <w:ind w:left="4" w:right="20" w:hanging="4"/>
        <w:spacing w:after="0" w:line="255" w:lineRule="auto"/>
        <w:tabs>
          <w:tab w:leader="none" w:pos="26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Loan Document constitutes a legal, valid and binding obligation of such Person enforceable against each such Person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86" w:lineRule="exact"/>
        <w:rPr>
          <w:sz w:val="20"/>
          <w:szCs w:val="20"/>
          <w:color w:val="auto"/>
        </w:rPr>
      </w:pPr>
    </w:p>
    <w:p>
      <w:pPr>
        <w:jc w:val="both"/>
        <w:ind w:left="4" w:firstLine="991"/>
        <w:spacing w:after="0" w:line="261"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 Legal Bar</w:t>
      </w:r>
      <w:r>
        <w:rPr>
          <w:rFonts w:ascii="Times New Roman" w:cs="Times New Roman" w:eastAsia="Times New Roman" w:hAnsi="Times New Roman"/>
          <w:sz w:val="18"/>
          <w:szCs w:val="18"/>
          <w:color w:val="auto"/>
        </w:rPr>
        <w:t>. The execution, delivery and performance of this Agreement and the other Loan Documents by each Loan Party that is party to such documents, the borrowings hereunder and the use of the proceeds thereof will not violate any Requirement of Law, the Certificate of Incorporation and By Laws or other organizational or governing documents of such Loan Party, or any Contractual Obligation of such Loan Party, except to the extent all such violations would not, in the aggregate, reasonably be expected to have a Material Adverse Effect.</w:t>
      </w:r>
    </w:p>
    <w:p>
      <w:pPr>
        <w:spacing w:after="0" w:line="180" w:lineRule="exact"/>
        <w:rPr>
          <w:sz w:val="20"/>
          <w:szCs w:val="20"/>
          <w:color w:val="auto"/>
        </w:rPr>
      </w:pPr>
    </w:p>
    <w:p>
      <w:pPr>
        <w:jc w:val="both"/>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4.6</w:t>
      </w:r>
      <w:r>
        <w:rPr>
          <w:rFonts w:ascii="Times New Roman" w:cs="Times New Roman" w:eastAsia="Times New Roman" w:hAnsi="Times New Roman"/>
          <w:sz w:val="18"/>
          <w:szCs w:val="18"/>
          <w:color w:val="auto"/>
        </w:rPr>
        <w:t xml:space="preserve"> and except as set forth in the 2025 10-K or on any Current Report on Form 8-K of the Company filed with the SEC after December 31, 2025 and prior to the Closing Date, no litigation, investigation, proceeding or arbitration is pending, or to the best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4"/>
          </w:cols>
          <w:pgMar w:left="436" w:top="270" w:right="439" w:bottom="1440" w:gutter="0" w:footer="0" w:header="0"/>
        </w:sectPr>
      </w:pPr>
    </w:p>
    <w:bookmarkStart w:id="55" w:name="page56"/>
    <w:bookmarkEnd w:id="55"/>
    <w:p>
      <w:pPr>
        <w:jc w:val="both"/>
        <w:ind w:left="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Company’s knowledge, is threatened against the Company or any Loan Party as of the Closing Date that would reasonably be expected to have a Material Adverse Effect.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As of the Closing Date no Default or Event of Default has occurred and is continuing.</w:t>
      </w:r>
    </w:p>
    <w:p>
      <w:pPr>
        <w:spacing w:after="0" w:line="225" w:lineRule="exact"/>
        <w:rPr>
          <w:sz w:val="20"/>
          <w:szCs w:val="20"/>
          <w:color w:val="auto"/>
        </w:rPr>
      </w:pPr>
    </w:p>
    <w:p>
      <w:pPr>
        <w:jc w:val="both"/>
        <w:ind w:left="4" w:firstLine="991"/>
        <w:spacing w:after="0" w:line="254"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Ownership of Property</w:t>
      </w:r>
      <w:r>
        <w:rPr>
          <w:rFonts w:ascii="Times New Roman" w:cs="Times New Roman" w:eastAsia="Times New Roman" w:hAnsi="Times New Roman"/>
          <w:sz w:val="18"/>
          <w:szCs w:val="18"/>
          <w:color w:val="auto"/>
        </w:rPr>
        <w:t xml:space="preserve">. As of the Closing Date, the Company and each Principal Domestic Subsidiary, as applicable, has good title to, or a valid leasehold interest in, all of its other property then owned or leased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representation shall not be deemed to have been incorrect, (a) if any such property (inclusive, in the case of any such real property, of associated machinery and equipment installed in such property) with respect to which the Company or a Principal Domestic Subsidiary cannot make such representation has a Net Book Value of less than $500 million or (b) with respect to defects in title to or leasehold interests in any such real or personal property, either (A) such defects are Permitted Liens, (B) such defects are cured no later than 180 days after the earlier to occur of (x) the date that the Administrative Agent gives notice of such defects to the Company and (y) the date that a Financial Officer of the Company has actual knowledge of such defects, or (C) such defects would not reasonably be expected to have a Material Adverse Effect.</w:t>
      </w:r>
    </w:p>
    <w:p>
      <w:pPr>
        <w:spacing w:after="0" w:line="192" w:lineRule="exact"/>
        <w:rPr>
          <w:sz w:val="20"/>
          <w:szCs w:val="20"/>
          <w:color w:val="auto"/>
        </w:rPr>
      </w:pPr>
    </w:p>
    <w:p>
      <w:pPr>
        <w:jc w:val="both"/>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As of the Closing Date, the Company and each Principal Domestic Subsidiary own, or are licensed to use, all United States Intellectual Property necessary for the operation of their respective businesses as currently conducted and as proposed to be conducted, except where the failure to own or be licensed would not reasonably be expected to have a Material Adverse Effect.</w:t>
      </w:r>
    </w:p>
    <w:p>
      <w:pPr>
        <w:spacing w:after="0" w:line="176" w:lineRule="exact"/>
        <w:rPr>
          <w:sz w:val="20"/>
          <w:szCs w:val="20"/>
          <w:color w:val="auto"/>
        </w:rPr>
      </w:pPr>
    </w:p>
    <w:p>
      <w:pPr>
        <w:jc w:val="both"/>
        <w:ind w:left="4" w:firstLine="991"/>
        <w:spacing w:after="0" w:line="282"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Federal Regulations</w:t>
      </w:r>
      <w:r>
        <w:rPr>
          <w:rFonts w:ascii="Times New Roman" w:cs="Times New Roman" w:eastAsia="Times New Roman" w:hAnsi="Times New Roman"/>
          <w:sz w:val="18"/>
          <w:szCs w:val="18"/>
          <w:color w:val="auto"/>
        </w:rPr>
        <w:t>. No part of the proceeds of any Loans, and no other extensions of credit hereunder, will be used for any purpose that violates the provisions of Regulation T, U or X of the Board.</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No ERISA Default has occurred and is continuing.</w:t>
      </w:r>
    </w:p>
    <w:p>
      <w:pPr>
        <w:spacing w:after="0" w:line="225" w:lineRule="exact"/>
        <w:rPr>
          <w:sz w:val="20"/>
          <w:szCs w:val="20"/>
          <w:color w:val="auto"/>
        </w:rPr>
      </w:pPr>
    </w:p>
    <w:p>
      <w:pPr>
        <w:jc w:val="both"/>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No Loan Party is an “investment company”, or a company “controlled” by an “investment company”, registered or required to be registered as such under the Investment Company Act of 1940, as amended.</w:t>
      </w:r>
    </w:p>
    <w:p>
      <w:pPr>
        <w:spacing w:after="0" w:line="162" w:lineRule="exact"/>
        <w:rPr>
          <w:sz w:val="20"/>
          <w:szCs w:val="20"/>
          <w:color w:val="auto"/>
        </w:rPr>
      </w:pPr>
    </w:p>
    <w:p>
      <w:pPr>
        <w:jc w:val="both"/>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Ownership of the Subsidiary Borrowers</w:t>
      </w:r>
      <w:r>
        <w:rPr>
          <w:rFonts w:ascii="Times New Roman" w:cs="Times New Roman" w:eastAsia="Times New Roman" w:hAnsi="Times New Roman"/>
          <w:sz w:val="18"/>
          <w:szCs w:val="18"/>
          <w:color w:val="auto"/>
        </w:rPr>
        <w:t>. As of the Closing Date, each Subsidiary Borrower is a direct or indirect wholly-owned Subsidiary of the Company.</w:t>
      </w:r>
    </w:p>
    <w:p>
      <w:pPr>
        <w:spacing w:after="0" w:line="162" w:lineRule="exact"/>
        <w:rPr>
          <w:sz w:val="20"/>
          <w:szCs w:val="20"/>
          <w:color w:val="auto"/>
        </w:rPr>
      </w:pPr>
    </w:p>
    <w:p>
      <w:pPr>
        <w:jc w:val="both"/>
        <w:ind w:left="4" w:firstLine="991"/>
        <w:spacing w:after="0" w:line="266"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of the Loans shall be used to finance the working capital needs of the Company and its Subsidiaries and for general corporate or entity purposes, including to enable the Company to make valuable transfers to any of its Subsidiaries in connection with the operation of their respective businesses.</w:t>
      </w:r>
    </w:p>
    <w:p>
      <w:pPr>
        <w:spacing w:after="0" w:line="176" w:lineRule="exact"/>
        <w:rPr>
          <w:sz w:val="20"/>
          <w:szCs w:val="20"/>
          <w:color w:val="auto"/>
        </w:rPr>
      </w:pPr>
    </w:p>
    <w:p>
      <w:pPr>
        <w:jc w:val="both"/>
        <w:ind w:left="4"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Anti-Corruption Laws and Sanctions</w:t>
      </w:r>
      <w:r>
        <w:rPr>
          <w:rFonts w:ascii="Times New Roman" w:cs="Times New Roman" w:eastAsia="Times New Roman" w:hAnsi="Times New Roman"/>
          <w:sz w:val="18"/>
          <w:szCs w:val="18"/>
          <w:color w:val="auto"/>
        </w:rPr>
        <w:t>. The Company has implemented and maintains in effect corporate policies reasonably designed to promote compliance by the Company, its Subsidiaries and their respective employees with Anti-Corruption Laws and with applicable Sanctions. Neither the Company nor any of its Subsidiaries is included on the Specially Designated Nationals and Blocked Persons List, the Foreign Sanctions Evaders List or the Sectoral Sanctions Identifications List maintained by OFAC or any publicly available Sanctions-related list of designated Persons maintained by the U.S. Department of Treasury, His Majesty’s Treasury of the United Kingdom or the U.S. Department of State or the European Union (collectively, the “Sanctions Lists”). Neither the Company nor any of its Subsidiaries has a physical place of business, or is organized or resident, in</w:t>
      </w:r>
    </w:p>
    <w:p>
      <w:pPr>
        <w:spacing w:after="0" w:line="5" w:lineRule="exact"/>
        <w:rPr>
          <w:sz w:val="20"/>
          <w:szCs w:val="20"/>
          <w:color w:val="auto"/>
        </w:rPr>
      </w:pPr>
    </w:p>
    <w:p>
      <w:pPr>
        <w:ind w:left="5424" w:right="1340" w:hanging="5424"/>
        <w:spacing w:after="0" w:line="433" w:lineRule="auto"/>
        <w:tabs>
          <w:tab w:leader="none" w:pos="25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Cuba, Iran, North Korea, Syria, the Crimea, Kherson, or Zaporizhzhia regions of Ukraine, the so-called Donetsk People’s Republic 48</w:t>
      </w:r>
    </w:p>
    <w:p>
      <w:pPr>
        <w:sectPr>
          <w:pgSz w:w="11900" w:h="16838" w:orient="portrait"/>
          <w:cols w:equalWidth="0" w:num="1">
            <w:col w:w="11024"/>
          </w:cols>
          <w:pgMar w:left="436" w:top="270" w:right="439" w:bottom="1440" w:gutter="0" w:footer="0" w:header="0"/>
        </w:sectPr>
      </w:pPr>
    </w:p>
    <w:bookmarkStart w:id="56" w:name="page57"/>
    <w:bookmarkEnd w:id="56"/>
    <w:p>
      <w:pPr>
        <w:jc w:val="both"/>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the so-called Luhansk People’s Republic or (b) in any other Sanctioned Country. The Company and its Subsidiary Borrowers will not knowingly use the proceeds of the Loans (i) in violation of any Anti-Corruption Laws or (ii) to fund any activities or business (x) of or with any individual or entity that is included on any Sanctions List or (y) in, or with the government of, any country, region or territory that is the subject or target of comprehensive territorial sanctions administered by OFAC, the U.S. Department of Treasury or the U.S. Department of State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except in the case of (x) or (y), to the extent licensed or otherwise authorized under U.S. law or (in the case of clause (x)) such other applicable law, as the case may be. Notwithstanding the foregoing, if any country, region or territory, including Cuba, Iran, North Korea, Syria, the Crimea, Kherson, or Zaporizhzhia regions of Ukraine, the so-called Donetsk People’s Republic or the so-called Luhansk People’s Republic, shall no longer be the subject of comprehensive territorial sanctions administered by OFAC, then it shall not be considered a Sanctioned Country for purposes hereof and the provisions of this Section 4.15 shall no longer apply with respect to that country, region or territory.</w:t>
      </w: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SECTION 5. CONDITIONS PRECEDENT</w:t>
      </w:r>
    </w:p>
    <w:p>
      <w:pPr>
        <w:spacing w:after="0" w:line="225" w:lineRule="exact"/>
        <w:rPr>
          <w:sz w:val="20"/>
          <w:szCs w:val="20"/>
          <w:color w:val="auto"/>
        </w:rPr>
      </w:pPr>
    </w:p>
    <w:p>
      <w:pPr>
        <w:jc w:val="both"/>
        <w:ind w:left="4" w:firstLine="991"/>
        <w:spacing w:after="0" w:line="25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Conditions to Closing Date</w:t>
      </w:r>
      <w:r>
        <w:rPr>
          <w:rFonts w:ascii="Times New Roman" w:cs="Times New Roman" w:eastAsia="Times New Roman" w:hAnsi="Times New Roman"/>
          <w:sz w:val="18"/>
          <w:szCs w:val="18"/>
          <w:color w:val="auto"/>
        </w:rPr>
        <w:t xml:space="preserve">. This Agreement and the obligation of each Lender to make extensions of credit requested to be made by it hereunder shall be effective upon (1) the execution and delivery of this Agreement by each of the Administrative Agent, the Syndication Agent, the Company, each other Borrower, the Existing Required Lenders, each Person listed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and each other party hereto and (2) written confirmation by the Administrative Agent to the Company and the Lenders confirming that the following conditions have been satisfied (or waived in accordance with the provisions hereof):</w:t>
      </w:r>
    </w:p>
    <w:p>
      <w:pPr>
        <w:spacing w:after="0" w:line="75" w:lineRule="exact"/>
        <w:rPr>
          <w:sz w:val="20"/>
          <w:szCs w:val="20"/>
          <w:color w:val="auto"/>
        </w:rPr>
      </w:pPr>
    </w:p>
    <w:p>
      <w:pPr>
        <w:ind w:left="1244" w:hanging="253"/>
        <w:spacing w:after="0"/>
        <w:tabs>
          <w:tab w:leader="none" w:pos="124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The Company shall have executed and delivered the Guarantee.</w:t>
      </w:r>
    </w:p>
    <w:p>
      <w:pPr>
        <w:spacing w:after="0" w:line="225"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25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Lenders, the Administrative Agent and the Arrangers shall have received all fees and out-of-pocket expenses required to be paid hereunder and (with respect to such expenses) invoiced at least three (3) Business Days prior to the Closing Date.</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 Certified Certificate of Incorporation; Good Standing Certificates</w:t>
      </w:r>
      <w:r>
        <w:rPr>
          <w:rFonts w:ascii="Times New Roman" w:cs="Times New Roman" w:eastAsia="Times New Roman" w:hAnsi="Times New Roman"/>
          <w:sz w:val="18"/>
          <w:szCs w:val="18"/>
          <w:color w:val="auto"/>
        </w:rPr>
        <w:t>. The Administrative Agent shall have received</w:t>
      </w:r>
    </w:p>
    <w:p>
      <w:pPr>
        <w:spacing w:after="0" w:line="27"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22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each Loan Party (or a certificate of the Loan Parties), dated the Closing Date, substantially in the form of Exhibit F, with appropriate insertions and attachments, including the certificate of incorporation or formation (or equivalent organizational document) of each Loan Party, certified by the relevant authority of the jurisdiction of organization of such Loan Party, (ii) a long form good standing certificate (or equivalent thereof in the relevant jurisdiction) for each Loan Party from its jurisdiction of organization (but only to the extent applicable in the relevant jurisdiction) and (iii) a certificate of the Company, dated the Closing Date, to the effect that the conditions set forth in Section 5.2 have been satisfied or waived.</w:t>
      </w:r>
    </w:p>
    <w:p>
      <w:pPr>
        <w:spacing w:after="0" w:line="186" w:lineRule="exact"/>
        <w:rPr>
          <w:rFonts w:ascii="Times New Roman" w:cs="Times New Roman" w:eastAsia="Times New Roman" w:hAnsi="Times New Roman"/>
          <w:sz w:val="18"/>
          <w:szCs w:val="18"/>
          <w:color w:val="auto"/>
        </w:rPr>
      </w:pPr>
    </w:p>
    <w:p>
      <w:pPr>
        <w:ind w:left="4" w:firstLine="987"/>
        <w:spacing w:after="0" w:line="282" w:lineRule="auto"/>
        <w:tabs>
          <w:tab w:leader="none" w:pos="125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The Administrative Agent shall have received the executed legal opinion of (i) in house counsel to the Loan Parties and (ii) Mayer Brown LLP, counsel to the Loan Parties, each in form and substance reasonably acceptable to the Administrative Agent.</w:t>
      </w:r>
    </w:p>
    <w:p>
      <w:pPr>
        <w:spacing w:after="0" w:line="161" w:lineRule="exact"/>
        <w:rPr>
          <w:rFonts w:ascii="Times New Roman" w:cs="Times New Roman" w:eastAsia="Times New Roman" w:hAnsi="Times New Roman"/>
          <w:sz w:val="18"/>
          <w:szCs w:val="18"/>
          <w:color w:val="auto"/>
        </w:rPr>
      </w:pPr>
    </w:p>
    <w:p>
      <w:pPr>
        <w:jc w:val="both"/>
        <w:ind w:left="4" w:right="20" w:firstLine="987"/>
        <w:spacing w:after="0" w:line="261" w:lineRule="auto"/>
        <w:tabs>
          <w:tab w:leader="none" w:pos="12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364-Day Credit Agreement</w:t>
      </w:r>
      <w:r>
        <w:rPr>
          <w:rFonts w:ascii="Times New Roman" w:cs="Times New Roman" w:eastAsia="Times New Roman" w:hAnsi="Times New Roman"/>
          <w:sz w:val="18"/>
          <w:szCs w:val="18"/>
          <w:color w:val="auto"/>
        </w:rPr>
        <w:t xml:space="preserve">. The Administrative Agent shall have received reasonably satisfactory evidence that all Existing Loans shall be repaid, the commitments of the lenders under the Existing 364-Day Credit Agreement that are not Lenders hereunder shall have been terminated (and the Commitments of all continuing Lenders shall be as set forth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and all accrued interest and fees under the Existing 364-Day Credit Agreement shall have been paid, or arrangements satisfactory to the Administrative Agent in respect thereof shall have been made.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4"/>
          </w:cols>
          <w:pgMar w:left="436" w:top="270" w:right="439" w:bottom="1440" w:gutter="0" w:footer="0" w:header="0"/>
        </w:sectPr>
      </w:pPr>
    </w:p>
    <w:bookmarkStart w:id="57" w:name="page58"/>
    <w:bookmarkEnd w:id="57"/>
    <w:p>
      <w:pPr>
        <w:jc w:val="both"/>
        <w:ind w:right="20" w:firstLine="987"/>
        <w:spacing w:after="0" w:line="266" w:lineRule="auto"/>
        <w:tabs>
          <w:tab w:leader="none" w:pos="121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USA Patriot Act</w:t>
      </w:r>
      <w:r>
        <w:rPr>
          <w:rFonts w:ascii="Times New Roman" w:cs="Times New Roman" w:eastAsia="Times New Roman" w:hAnsi="Times New Roman"/>
          <w:sz w:val="18"/>
          <w:szCs w:val="18"/>
          <w:color w:val="auto"/>
        </w:rPr>
        <w:t>. The Administrative Agent shall have received all documentation and other information reasonably requested by the Administrative Agent or any Lender who is not a lender under the Existing 364-Day Credit Agreement under applicable “know your customer” and anti-money-laundering rules and regulations, including the USA Patriot Act and the Beneficial Ownership Regulation</w:t>
      </w:r>
    </w:p>
    <w:p>
      <w:pPr>
        <w:spacing w:after="0" w:line="176"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Conditions to Each Extension of Credit</w:t>
      </w:r>
      <w:r>
        <w:rPr>
          <w:rFonts w:ascii="Times New Roman" w:cs="Times New Roman" w:eastAsia="Times New Roman" w:hAnsi="Times New Roman"/>
          <w:sz w:val="18"/>
          <w:szCs w:val="18"/>
          <w:color w:val="auto"/>
        </w:rPr>
        <w:t>. The agreement of each Lender to make any Loan (it being expressly understood and agreed that the foregoing shall not apply to any conversion or continuation of an outstanding Loan) requested to be made by it on any date (including its initial extension of credit) is subject to the Closing Date having occurred and to the satisfaction (or waiver pursuant to Section 10.1) of the following conditions precedent as of the borrowing date for such Loan:</w:t>
      </w:r>
    </w:p>
    <w:p>
      <w:pPr>
        <w:spacing w:after="0" w:line="72" w:lineRule="exact"/>
        <w:rPr>
          <w:sz w:val="20"/>
          <w:szCs w:val="20"/>
          <w:color w:val="auto"/>
        </w:rPr>
      </w:pPr>
    </w:p>
    <w:p>
      <w:pPr>
        <w:jc w:val="both"/>
        <w:ind w:right="20" w:firstLine="987"/>
        <w:spacing w:after="0" w:line="261" w:lineRule="auto"/>
        <w:tabs>
          <w:tab w:leader="none" w:pos="127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of the representations and warranties made by the Company in or pursuant to the Loan Documents shall be true and correct in all material respects on and as of such date as if made on and as of such date (except to the extent such representations and warranties relate to an earlier date (including those set forth in Sections 4.1, 4.2, 4.6, 4.7, 4.8, 4.9 and 4.13), in which case, such representations and warranties shall have been true and correct in all material respects on and as of such earlier date).</w:t>
      </w:r>
    </w:p>
    <w:p>
      <w:pPr>
        <w:spacing w:after="0" w:line="179"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 or Event of Default</w:t>
      </w:r>
      <w:r>
        <w:rPr>
          <w:rFonts w:ascii="Times New Roman" w:cs="Times New Roman" w:eastAsia="Times New Roman" w:hAnsi="Times New Roman"/>
          <w:sz w:val="18"/>
          <w:szCs w:val="18"/>
          <w:color w:val="auto"/>
        </w:rPr>
        <w:t>. No Default or Event of Default shall have occurred and be continuing on such date, after giving effect to the extensions of credit requested to be made on such date and the use of proceeds thereof.</w:t>
      </w:r>
    </w:p>
    <w:p>
      <w:pPr>
        <w:spacing w:after="0" w:line="161" w:lineRule="exact"/>
        <w:rPr>
          <w:rFonts w:ascii="Times New Roman" w:cs="Times New Roman" w:eastAsia="Times New Roman" w:hAnsi="Times New Roman"/>
          <w:sz w:val="18"/>
          <w:szCs w:val="18"/>
          <w:color w:val="auto"/>
        </w:rPr>
      </w:pPr>
    </w:p>
    <w:p>
      <w:pPr>
        <w:jc w:val="both"/>
        <w:ind w:firstLine="987"/>
        <w:spacing w:after="0" w:line="254" w:lineRule="auto"/>
        <w:tabs>
          <w:tab w:leader="none" w:pos="123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Subsidiary Borrower Bankruptcy Events</w:t>
      </w:r>
      <w:r>
        <w:rPr>
          <w:rFonts w:ascii="Times New Roman" w:cs="Times New Roman" w:eastAsia="Times New Roman" w:hAnsi="Times New Roman"/>
          <w:sz w:val="18"/>
          <w:szCs w:val="18"/>
          <w:color w:val="auto"/>
        </w:rPr>
        <w:t>. With respect to any Loan made to any Subsidiary Borrower, (i) such Subsidiary Borrower shall not have (A) commenced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made a general assignment for the benefit of its creditors; and (ii) there shall not be commenced against such Subsidiary Borrower any case, proceeding or other action of a nature referred to in clause (i) above that (A) results in the entry of an order for relief or any such adjudication or appointment or (B) remains undismissed, undischarged or unbonded for a period of 90 days.</w:t>
      </w:r>
    </w:p>
    <w:p>
      <w:pPr>
        <w:spacing w:after="0" w:line="192"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Each borrowing hereunder shall constitute a representation and warranty by the Company as of the date of such borrowing or the date of such issuance or such amendment, as the case may be, that the conditions contained in this Section 5.2 have been satisfied or waived.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6. AFFIRMATIVE COVENANTS</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The Company hereby agrees that, so long as the Commitments remain in effect or any Loan, interest or fee payable hereunder or under any other Loan Document is owing to any Lender:</w:t>
      </w:r>
    </w:p>
    <w:p>
      <w:pPr>
        <w:spacing w:after="0" w:line="54" w:lineRule="exact"/>
        <w:rPr>
          <w:sz w:val="20"/>
          <w:szCs w:val="20"/>
          <w:color w:val="auto"/>
        </w:rPr>
      </w:pPr>
    </w:p>
    <w:p>
      <w:pPr>
        <w:jc w:val="both"/>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Company shall deliver to the Administrative Agent, audited annual financial statements and unaudited quarterly financial statements of the Company within 15 days after it is required to file the same with the SEC pursuant to Section 13 or Section 15(d) of the Exchange Act, after giving effect to any extensions (or, if it is not required to file annual financial statements or unaudited quarterly financial statements with the SEC pursuant to Section 13 or Section 15(d) of the Exchange Act, then within 15 days after it would be required to file the same with the SEC pursuant to Section 13 or Section 15(d) of the Exchange Act, after giving effect to any extensions, if it had a security listed and registered on a national securities exchange) (and, for the avoidance of doubt, no such unaudited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20"/>
          </w:cols>
          <w:pgMar w:left="440" w:top="270" w:right="439" w:bottom="1440" w:gutter="0" w:footer="0" w:header="0"/>
        </w:sectPr>
      </w:pPr>
    </w:p>
    <w:bookmarkStart w:id="58" w:name="page59"/>
    <w:bookmarkEnd w:id="58"/>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quarterly financial statements shall be required to be delivered with respect to the last fiscal quarter of any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financial statements shall be deemed to be delivered upon the filing with the SEC of its Form 10-K or Form 10-Q for the relevant fiscal period;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any restatement of previously delivered (or deemed delivered) financial statements shall not constitute a breach or violation of this Section 6.1.</w:t>
      </w:r>
    </w:p>
    <w:p>
      <w:pPr>
        <w:spacing w:after="0" w:line="176" w:lineRule="exact"/>
        <w:rPr>
          <w:sz w:val="20"/>
          <w:szCs w:val="20"/>
          <w:color w:val="auto"/>
        </w:rPr>
      </w:pPr>
    </w:p>
    <w:p>
      <w:pPr>
        <w:jc w:val="both"/>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Compliance Certificates</w:t>
      </w:r>
      <w:r>
        <w:rPr>
          <w:rFonts w:ascii="Times New Roman" w:cs="Times New Roman" w:eastAsia="Times New Roman" w:hAnsi="Times New Roman"/>
          <w:sz w:val="18"/>
          <w:szCs w:val="18"/>
          <w:color w:val="auto"/>
        </w:rPr>
        <w:t>. The Company shall deliver to the Administrative Agent within 5 Business Days after the delivery (or deemed delivery) of any financial statements pursuant to Section 6.1, a Compliance Certificate of a Responsible Officer (i) stating that, to the best of such Responsible Officer’s knowledge, no Default or Event of Default has occurred and is continuing as of the date of such certificate, except as specified in such certificate, and (ii) containing a calculation of Consolidated Domestic Liquidity and Consolidated Global Liquidity as of the last day of the fiscal period covered by such financial statements.</w:t>
      </w:r>
    </w:p>
    <w:p>
      <w:pPr>
        <w:spacing w:after="0" w:line="183"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Maintenance of Business; Existence</w:t>
      </w:r>
      <w:r>
        <w:rPr>
          <w:rFonts w:ascii="Times New Roman" w:cs="Times New Roman" w:eastAsia="Times New Roman" w:hAnsi="Times New Roman"/>
          <w:sz w:val="18"/>
          <w:szCs w:val="18"/>
          <w:color w:val="auto"/>
        </w:rPr>
        <w:t>. The Company shall continue to engage primarily in the automotive business and preserve, renew and keep in full force and effect its organizational existence and take all reasonable actions to maintain all rights necessary for the normal conduct of its principal line of business, except, in each case, (i) to the extent that failure to do so would not have a Material Adverse Effect and (ii) as otherwise permitted or provided in the Loan Documents.</w:t>
      </w:r>
    </w:p>
    <w:p>
      <w:pPr>
        <w:spacing w:after="0" w:line="180" w:lineRule="exact"/>
        <w:rPr>
          <w:sz w:val="20"/>
          <w:szCs w:val="20"/>
          <w:color w:val="auto"/>
        </w:rPr>
      </w:pPr>
    </w:p>
    <w:p>
      <w:pPr>
        <w:jc w:val="both"/>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 The Company shall, and shall cause each other Loan Party to, maintain, as appropriate, with insurance companies that the Company believes (in the good faith judgment of the management of the Company) are financially sound and responsible at the time the relevant coverage is placed or renewed, insurance in amounts (after giving effect to any self-insurance, deductibles, and exclusions which the Company believes (in the good faith judgment of management of the Company) is reasonable and prudent in light of the size and nature of its business) and against at least such risks (and with such risk retentions, deductibles, and exclusions) as the Company believes (in the good faith judgment of the management of the Company) are reasonable in light of the size and nature of its business.</w:t>
      </w:r>
    </w:p>
    <w:p>
      <w:pPr>
        <w:spacing w:after="0" w:line="187"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Promptly upon a Financial Officer of the Company obtaining actual knowledge thereof, the Company shall give notice to the Administrative Agent of the occurrence of any Default or Event of Default. Each notice pursuant to this Section 6.5 shall be accompanied by a statement of a Responsible Officer setting forth details of the occurrence referred to therein and stating what action the Company or the other relevant Loan Party has taken, is taking, or proposes to take with respect thereto.</w:t>
      </w:r>
    </w:p>
    <w:p>
      <w:pPr>
        <w:spacing w:after="0" w:line="180"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Guarantors, etc</w:t>
      </w:r>
      <w:r>
        <w:rPr>
          <w:rFonts w:ascii="Times New Roman" w:cs="Times New Roman" w:eastAsia="Times New Roman" w:hAnsi="Times New Roman"/>
          <w:sz w:val="18"/>
          <w:szCs w:val="18"/>
          <w:color w:val="auto"/>
        </w:rPr>
        <w:t>. (a) If any Principal Domestic Subsidiary (other than an Excluded Subsidiary) provides a guarantee of Material Indebtedness of the Company, the Company shall, substantially simultaneously with the provision of such guarantee of Material Indebtedness, deliver, or cause to be delivered, to the Administrative Agent a Guarantee Joinder, executed and delivered by such Principal Domestic Subsidiary (other than an Excluded Subsidiary), together with customary secretary’s certificates, resolutions and legal opinions.</w:t>
      </w:r>
    </w:p>
    <w:p>
      <w:pPr>
        <w:spacing w:after="0" w:line="180" w:lineRule="exact"/>
        <w:rPr>
          <w:sz w:val="20"/>
          <w:szCs w:val="20"/>
          <w:color w:val="auto"/>
        </w:rPr>
      </w:pPr>
    </w:p>
    <w:p>
      <w:pPr>
        <w:ind w:right="20" w:firstLine="987"/>
        <w:spacing w:after="0" w:line="282" w:lineRule="auto"/>
        <w:tabs>
          <w:tab w:leader="none" w:pos="127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or anything in any Loan Document to the contrary, in no event shall GM Holdings or any other Excluded Subsidiary be required to be a Guarantor or a Subsidiary Guarantor.</w:t>
      </w:r>
    </w:p>
    <w:p>
      <w:pPr>
        <w:spacing w:after="0" w:line="162"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The Company shall and shall cause each other Loan Party to keep proper books of records and account in which entries are made in a manner so as to permit preparation of financial statements in conformity with GAAP (or, in the case of any Foreign Subsidiary, generally accepted accounting principles in effect in the jurisdiction of organization of such Foreign Subsidiary).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20"/>
          </w:cols>
          <w:pgMar w:left="440" w:top="270" w:right="439" w:bottom="1440" w:gutter="0" w:footer="0" w:header="0"/>
        </w:sectPr>
      </w:pPr>
    </w:p>
    <w:bookmarkStart w:id="59" w:name="page60"/>
    <w:bookmarkEnd w:id="59"/>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6.8 </w:t>
      </w:r>
      <w:r>
        <w:rPr>
          <w:rFonts w:ascii="Times New Roman" w:cs="Times New Roman" w:eastAsia="Times New Roman" w:hAnsi="Times New Roman"/>
          <w:sz w:val="18"/>
          <w:szCs w:val="18"/>
          <w:u w:val="single" w:color="auto"/>
          <w:color w:val="auto"/>
        </w:rPr>
        <w:t>Ratings</w:t>
      </w:r>
      <w:r>
        <w:rPr>
          <w:rFonts w:ascii="Times New Roman" w:cs="Times New Roman" w:eastAsia="Times New Roman" w:hAnsi="Times New Roman"/>
          <w:sz w:val="18"/>
          <w:szCs w:val="18"/>
          <w:color w:val="auto"/>
        </w:rPr>
        <w:t xml:space="preserve">. The Company shall use commercially reasonable efforts to maintain an Index Debt Rating, to the extent available, from each of S&amp;P, Moody’s and Fitch (it being understood that Moody’s does not provide Index Debt Ratings for investment grade companies);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not be required to obtain or maintain, as applicable, a specific Index Debt Rating.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7. NEGATIVE COVENANTS</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The Company hereby agrees that, so long as the Commitments remain in effect or any Loan, interest or fee payable hereunder or under any other Loan Document is owing to any Lender:</w:t>
      </w:r>
    </w:p>
    <w:p>
      <w:pPr>
        <w:spacing w:after="0" w:line="54"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Minimum Liquidity</w:t>
      </w:r>
      <w:r>
        <w:rPr>
          <w:rFonts w:ascii="Times New Roman" w:cs="Times New Roman" w:eastAsia="Times New Roman" w:hAnsi="Times New Roman"/>
          <w:sz w:val="18"/>
          <w:szCs w:val="18"/>
          <w:color w:val="auto"/>
        </w:rPr>
        <w:t>. The Company shall not at any time permit the Consolidated Global Liquidity to be less than $4 billion or the Consolidated Domestic Liquidity to be less than $2 billion.</w:t>
      </w:r>
    </w:p>
    <w:p>
      <w:pPr>
        <w:spacing w:after="0" w:line="162" w:lineRule="exact"/>
        <w:rPr>
          <w:sz w:val="20"/>
          <w:szCs w:val="20"/>
          <w:color w:val="auto"/>
        </w:rPr>
      </w:pPr>
    </w:p>
    <w:p>
      <w:pPr>
        <w:jc w:val="both"/>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The Company shall not, and shall not permit any Principal Domestic Subsidiary (other than an Excluded Subsidiary) to incur (A) in the case of the Company, any Indebtedness secured by a Lien and (B) in the case of any Principal Domestic Subsidiary, any Indebtedness, in each case, other than (i) Indebtedness secured by Permitted Liens, (ii) intercompany Indebtedness among the Company and its Subsidiaries (including Indebtedness between Subsidiaries), and (iii) Indebtedness (other than Indebtedness described in clauses (i)-(ii) above), in an aggregate principal amount, the Dollar Equivalent of which, at the time of the incurrence thereof, does not exceed 6.0% of Consolidated Tangible Assets.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Asset Sale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56" w:lineRule="auto"/>
        <w:tabs>
          <w:tab w:leader="none" w:pos="12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or Substantially All</w:t>
      </w:r>
      <w:r>
        <w:rPr>
          <w:rFonts w:ascii="Times New Roman" w:cs="Times New Roman" w:eastAsia="Times New Roman" w:hAnsi="Times New Roman"/>
          <w:sz w:val="18"/>
          <w:szCs w:val="18"/>
          <w:color w:val="auto"/>
        </w:rPr>
        <w:t xml:space="preserve">. The Company shall not, nor shall it permit any Principal Domestic Subsidiary to, in one transaction or a series of related transactions, Dispose of all or substantially all of their respective assets (on a consolidated basis), except (x) in a transaction that complies with Section 7.4(a) or (y) in the case of any Principal Domestic Subsidiary, to a wholly-owned Principal Domestic Subsidiary (or a wholly-owned Domestic Subsidiary that will be, following receipt of such assets, a wholly-owned Principal Domestic Subsidiary), in each case, other than any Excluded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the foregoing the Company or any of its Principal Domestic Subsidiaries may Dispose of all or any portion of an Excluded Subsidiary Business to one or more Excluded Subsidiaries.</w:t>
      </w:r>
    </w:p>
    <w:p>
      <w:pPr>
        <w:spacing w:after="0" w:line="187" w:lineRule="exact"/>
        <w:rPr>
          <w:rFonts w:ascii="Times New Roman" w:cs="Times New Roman" w:eastAsia="Times New Roman" w:hAnsi="Times New Roman"/>
          <w:sz w:val="18"/>
          <w:szCs w:val="18"/>
          <w:color w:val="auto"/>
        </w:rPr>
      </w:pPr>
    </w:p>
    <w:p>
      <w:pPr>
        <w:jc w:val="both"/>
        <w:ind w:right="20" w:firstLine="987"/>
        <w:spacing w:after="0" w:line="258" w:lineRule="auto"/>
        <w:tabs>
          <w:tab w:leader="none" w:pos="127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Principal Trade Names</w:t>
      </w:r>
      <w:r>
        <w:rPr>
          <w:rFonts w:ascii="Times New Roman" w:cs="Times New Roman" w:eastAsia="Times New Roman" w:hAnsi="Times New Roman"/>
          <w:sz w:val="18"/>
          <w:szCs w:val="18"/>
          <w:color w:val="auto"/>
        </w:rPr>
        <w:t>. The Company shall not, nor shall it permit any Principal Domestic Subsidiary or Qualified IP Holding Company to, Dispose of any Principal Trade Name, except (x) in a transaction that complies with Section 7.4 (other than Section 7.4(b)(iii)), (y) to a wholly-owned Principal Domestic Subsidiary (or a wholly-owned Domestic Subsidiary that will be, following receipt of such Principal Trade Name, a wholly-owned Principal Domestic Subsidiary), in each case, other than any Excluded Subsidiary or (z) in the case of the Designated Principal Trade Name, in any Permitted Principal Trade Name Transfer.</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56" w:lineRule="auto"/>
        <w:tabs>
          <w:tab w:leader="none" w:pos="124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Borrower shall merge or consolidate with any other Person or Dispose of all or substantially all of its assets to any Person unless (A) no Event of Default shall be continuing after giving effect to such transaction and (B)(x) such Borrower shall be the continuing entity or (y)(1) the Person formed by or surviving such merger or consolidation, or the transferee of such assets, shall be an entity organized or existing under the laws of the United States, any state thereof, or the District of Columbia that expressly assumes all the obligations of such Borrower under the Loan Documents pursuant to a supplement or amendment to the Loan Documents reasonably satisfactory to the Administrative Agent, (2) the Company and each Subsidiary Guarantor (if any) shall have reaffirmed its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0"/>
          </w:cols>
          <w:pgMar w:left="440" w:top="270" w:right="439" w:bottom="1440" w:gutter="0" w:footer="0" w:header="0"/>
        </w:sectPr>
      </w:pPr>
    </w:p>
    <w:bookmarkStart w:id="60" w:name="page61"/>
    <w:bookmarkEnd w:id="60"/>
    <w:p>
      <w:pPr>
        <w:jc w:val="both"/>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obligations under the Loan Documents and (3) the Administrative Agent shall have received an opinion of counsel (which may be internal counsel to a Loan Party) which is reasonably satisfactory to the Administrative Agent and consistent with the opinions delivered on the Closing Date with respect to such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so long as no Obligations are owed by the applicable Subsidiary Borrower, the Company may elect for such Subsidiary to cease to be a “Borrower” hereunder pursuant to Section 10.1(d) hereof and, thereafter, such Subsidiary shall not be subject to the restrictions contained in this paragraph.</w:t>
      </w:r>
    </w:p>
    <w:p>
      <w:pPr>
        <w:spacing w:after="0" w:line="183" w:lineRule="exact"/>
        <w:rPr>
          <w:sz w:val="20"/>
          <w:szCs w:val="20"/>
          <w:color w:val="auto"/>
        </w:rPr>
      </w:pPr>
    </w:p>
    <w:p>
      <w:pPr>
        <w:jc w:val="both"/>
        <w:ind w:left="4" w:right="20" w:firstLine="987"/>
        <w:spacing w:after="0" w:line="254" w:lineRule="auto"/>
        <w:tabs>
          <w:tab w:leader="none" w:pos="125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that is a Subsidiary Guarantor shall merge or consolidate with any other Person or dispose of all or substantially all of its assets to any Person unless (i) the Company or a Subsidiary Guarantor shall be the continuing entity or shall be the transferee of such assets, (ii) (A) the Person formed by or surviving such merger or consolidation, or the transferee of such assets, shall be an entity organized or existing under the laws of the United States, any state thereof, or the District of Columbia that expressly assumes all the obligations of such other Subsidiary Guarantor under the Loan Documents pursuant to a supplement or amendment to each applicable Loan Document reasonably satisfactory to the Administrative Agent,</w:t>
      </w:r>
    </w:p>
    <w:p>
      <w:pPr>
        <w:spacing w:after="0" w:line="3" w:lineRule="exact"/>
        <w:rPr>
          <w:rFonts w:ascii="Times New Roman" w:cs="Times New Roman" w:eastAsia="Times New Roman" w:hAnsi="Times New Roman"/>
          <w:sz w:val="18"/>
          <w:szCs w:val="18"/>
          <w:color w:val="auto"/>
        </w:rPr>
      </w:pPr>
    </w:p>
    <w:p>
      <w:pPr>
        <w:jc w:val="both"/>
        <w:ind w:left="4" w:right="20" w:hanging="4"/>
        <w:spacing w:after="0" w:line="253" w:lineRule="auto"/>
        <w:tabs>
          <w:tab w:leader="none" w:pos="28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then-remaining Loan Party shall have reaffirmed its obligations under the Loan Documents and (C) the Administrative Agent shall have received an opinion of counsel (which may be internal counsel to a Loan Party) which is reasonably satisfactory to the Administrative Agent and, if applicable, consistent with the opinions delivered on the Closing Date with respect to such Loan Party, or (iii) in connection with an asset sale not prohibited by Section 7.3.</w:t>
      </w:r>
    </w:p>
    <w:p>
      <w:pPr>
        <w:spacing w:after="0" w:line="189" w:lineRule="exact"/>
        <w:rPr>
          <w:sz w:val="20"/>
          <w:szCs w:val="20"/>
          <w:color w:val="auto"/>
        </w:rPr>
      </w:pPr>
    </w:p>
    <w:p>
      <w:pPr>
        <w:jc w:val="both"/>
        <w:ind w:left="4" w:firstLine="991"/>
        <w:spacing w:after="0" w:line="254"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Anti-Corruption Laws and Sanctions</w:t>
      </w:r>
      <w:r>
        <w:rPr>
          <w:rFonts w:ascii="Times New Roman" w:cs="Times New Roman" w:eastAsia="Times New Roman" w:hAnsi="Times New Roman"/>
          <w:sz w:val="18"/>
          <w:szCs w:val="18"/>
          <w:color w:val="auto"/>
        </w:rPr>
        <w:t>. The Company and its Subsidiary Borrowers shall not, and shall not permit any of its Subsidiaries to, knowingly use the proceeds of the Loans (i) in violation of any Anti-Corruption Laws or (ii) to fund any activities or business (x) of or with any individual or entity that is included on any Sanctions List or (y) in, or with the government of, a Sanctioned Country, except in the case of (x) or (y), to the extent licensed or otherwise authorized under U.S. law or (in the case of clause (x)) such other applicable law, as the case may be. Notwithstanding the foregoing, if any country, region or territory, including Cuba, Iran, North Korea, Syria, the Crimea, Kherson, or Zaporizhzhia regions of Ukraine, the so-called Donetsk People’s Republic or the so-called Luhansk People’s Republic, shall no longer be the subject of comprehensive territorial sanctions administered by OFAC, the U.S. Department of Treasury or the U.S. Department of State, then it shall not be considered a Sanctioned Country for purposes hereof and the provisions of this Section 7.5 shall no longer apply with respect to that country, region or territory.</w:t>
      </w:r>
    </w:p>
    <w:p>
      <w:pPr>
        <w:spacing w:after="0" w:line="200" w:lineRule="exact"/>
        <w:rPr>
          <w:sz w:val="20"/>
          <w:szCs w:val="20"/>
          <w:color w:val="auto"/>
        </w:rPr>
      </w:pPr>
    </w:p>
    <w:p>
      <w:pPr>
        <w:spacing w:after="0" w:line="208" w:lineRule="exact"/>
        <w:rPr>
          <w:sz w:val="20"/>
          <w:szCs w:val="20"/>
          <w:color w:val="auto"/>
        </w:rPr>
      </w:pPr>
    </w:p>
    <w:p>
      <w:pPr>
        <w:ind w:left="4124"/>
        <w:spacing w:after="0"/>
        <w:rPr>
          <w:sz w:val="20"/>
          <w:szCs w:val="20"/>
          <w:color w:val="auto"/>
        </w:rPr>
      </w:pPr>
      <w:r>
        <w:rPr>
          <w:rFonts w:ascii="Times New Roman" w:cs="Times New Roman" w:eastAsia="Times New Roman" w:hAnsi="Times New Roman"/>
          <w:sz w:val="18"/>
          <w:szCs w:val="18"/>
          <w:color w:val="auto"/>
        </w:rPr>
        <w:t>SECTION 8. EVENTS OF DEFAULT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If any of the following events shall occur and be continuing:</w:t>
      </w:r>
    </w:p>
    <w:p>
      <w:pPr>
        <w:spacing w:after="0" w:line="117" w:lineRule="exact"/>
        <w:rPr>
          <w:sz w:val="20"/>
          <w:szCs w:val="20"/>
          <w:color w:val="auto"/>
        </w:rPr>
      </w:pPr>
    </w:p>
    <w:p>
      <w:pPr>
        <w:jc w:val="both"/>
        <w:ind w:left="4" w:right="20" w:firstLine="987"/>
        <w:spacing w:after="0" w:line="261" w:lineRule="auto"/>
        <w:tabs>
          <w:tab w:leader="none" w:pos="124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shall fail to pay (i) any principal of any Loan at maturity, (ii) any interest or Facility Fee hereunder for a period of five Business Days after receipt of notice of such failure by such Borrower and the Company from the Administrative Agent or (iii) any other amount due and payable under any Loan Document for 30 days after receipt of notice of such failure by such Borrower and the Company from the Administrative Agent (other than, in the case of amounts in this clause (iii), any such amount being disputed by the Company in good faith); or</w:t>
      </w:r>
    </w:p>
    <w:p>
      <w:pPr>
        <w:spacing w:after="0" w:line="179" w:lineRule="exact"/>
        <w:rPr>
          <w:rFonts w:ascii="Times New Roman" w:cs="Times New Roman" w:eastAsia="Times New Roman" w:hAnsi="Times New Roman"/>
          <w:sz w:val="18"/>
          <w:szCs w:val="18"/>
          <w:color w:val="auto"/>
        </w:rPr>
      </w:pPr>
    </w:p>
    <w:p>
      <w:pPr>
        <w:jc w:val="both"/>
        <w:ind w:left="4" w:firstLine="987"/>
        <w:spacing w:after="0" w:line="282" w:lineRule="auto"/>
        <w:tabs>
          <w:tab w:leader="none" w:pos="125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the Company in any Loan Document or in any certified statement furnished pursuant to Section 6.2 at any time, shall prove to have been incorrect in any material respect on or as of the date made or deemed made or furnished; or</w:t>
      </w:r>
    </w:p>
    <w:p>
      <w:pPr>
        <w:spacing w:after="0" w:line="161"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24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or any Principal Domestic Subsidiary shall default in the observance or performance of (i) its agreements in Section 7.1 for a period of 20 consecutive days, or (ii) any other agreement contained in this Agreement (limited with respect to any Subsidiary Borrower that is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24"/>
          </w:cols>
          <w:pgMar w:left="436" w:top="270" w:right="439" w:bottom="1440" w:gutter="0" w:footer="0" w:header="0"/>
        </w:sectPr>
      </w:pPr>
    </w:p>
    <w:bookmarkStart w:id="61" w:name="page62"/>
    <w:bookmarkEnd w:id="61"/>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 a Principal Domestic Subsidiary, to Section 7.4 and 7.5) or in any other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clause (ii) only, such default shall continue unremedied for a period of 20 Business Days after the Company’s receipt from the Administrative Agent of notice of such default; or</w:t>
      </w:r>
    </w:p>
    <w:p>
      <w:pPr>
        <w:spacing w:after="0" w:line="162" w:lineRule="exact"/>
        <w:rPr>
          <w:sz w:val="20"/>
          <w:szCs w:val="20"/>
          <w:color w:val="auto"/>
        </w:rPr>
      </w:pPr>
    </w:p>
    <w:p>
      <w:pPr>
        <w:jc w:val="both"/>
        <w:ind w:right="20" w:firstLine="987"/>
        <w:spacing w:after="0" w:line="255" w:lineRule="auto"/>
        <w:tabs>
          <w:tab w:leader="none" w:pos="128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Principal Domestic Subsidiary shall (i) default in making any payment of any principal of any Material Indebtedness on the due date with respect thereto beyond the period of grace, if any, provided in the instrument or agreement under which such Indebtedness was created; or (ii) default in making any payment of any interest on any Material Indebtedness beyond the period of grace, if any, provided in the instrument or agreement evidencing, securing or relating to such Indebtedness; or (iii) default in the observance or performance of any other agreement or condition relating to any such Material Indebtedness or contained in any instrument or agreement evidencing, securing or relating thereto, the effect of which default is to cause such Material Indebtedness to become due prior to its stated maturity or (in the case of any such Material Indebtedness constituting a Guarantee Obligation) to become payable; or</w:t>
      </w:r>
    </w:p>
    <w:p>
      <w:pPr>
        <w:spacing w:after="0" w:line="188" w:lineRule="exact"/>
        <w:rPr>
          <w:rFonts w:ascii="Times New Roman" w:cs="Times New Roman" w:eastAsia="Times New Roman" w:hAnsi="Times New Roman"/>
          <w:sz w:val="18"/>
          <w:szCs w:val="18"/>
          <w:color w:val="auto"/>
        </w:rPr>
      </w:pPr>
    </w:p>
    <w:p>
      <w:pPr>
        <w:jc w:val="both"/>
        <w:ind w:firstLine="987"/>
        <w:spacing w:after="0" w:line="255" w:lineRule="auto"/>
        <w:tabs>
          <w:tab w:leader="none" w:pos="127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Material Loan Party shall (A) commence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make a general assignment for the benefit of its creditors; or (ii) there shall be commenced against any Material Loan Party, any case, proceeding or other action of a nature referred to in clause (i) above that (A) results in the entry of an order for relief or any such adjudication or appointment or (B) remains undismissed, undischarged or unbonded for a period of 90 days; or</w:t>
      </w:r>
    </w:p>
    <w:p>
      <w:pPr>
        <w:spacing w:after="0" w:line="188"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 ERISA Default; or</w:t>
      </w:r>
    </w:p>
    <w:p>
      <w:pPr>
        <w:spacing w:after="0" w:line="225"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7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judgments or decrees shall be entered in the United States against any Material Loan Party (or in the jurisdiction of organization of the applicable Material Loan Party) that is not vacated, discharged, satisfied, stayed or bonded pending appeal within 60 days from the entry thereof, and involves a liability (not paid or fully covered by insurance as to which the relevant insurance company has not denied coverage) of the Dollar Equivalent, individually or in the aggregate, of $1 billion or more; or</w:t>
      </w:r>
    </w:p>
    <w:p>
      <w:pPr>
        <w:spacing w:after="0" w:line="179" w:lineRule="exact"/>
        <w:rPr>
          <w:rFonts w:ascii="Times New Roman" w:cs="Times New Roman" w:eastAsia="Times New Roman" w:hAnsi="Times New Roman"/>
          <w:sz w:val="18"/>
          <w:szCs w:val="18"/>
          <w:color w:val="auto"/>
        </w:rPr>
      </w:pPr>
    </w:p>
    <w:p>
      <w:pPr>
        <w:ind w:right="20" w:firstLine="987"/>
        <w:spacing w:after="0" w:line="282" w:lineRule="auto"/>
        <w:tabs>
          <w:tab w:leader="none" w:pos="126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of the Company or any Subsidiary Guarantor shall cease to be in full force and effect (other than pursuant to or as provided by the terms hereof or any other Loan Document); or</w:t>
      </w:r>
    </w:p>
    <w:p>
      <w:pPr>
        <w:spacing w:after="0" w:line="161"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Change of Control;</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then, and in any such event, (A) if such event is an Event of Default specified in paragraph (e) above with respect to the Company, automatically the Commitments shall immediately terminate and the Loans (with accrued interest thereon) and all other amounts owing by any Loan Party to the Lenders under this Agreement and the other Loan Documents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Company declare the Commitments to be terminated forthwith, whereupon the Commitments shall immediately terminate; and (ii) with the consent of the Required Lenders, the Administrative Agent may, or upon the request of the Required Lenders, the Administrative Agent shall, by notice to the Company, declare the Loans (with accrued interest thereon) and all other amounts owing to the Lenders under this Agreement and the other Loan Documents to be due and payable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20"/>
          </w:cols>
          <w:pgMar w:left="440" w:top="270" w:right="439" w:bottom="1440" w:gutter="0" w:footer="0" w:header="0"/>
        </w:sectPr>
      </w:pPr>
    </w:p>
    <w:bookmarkStart w:id="62" w:name="page63"/>
    <w:bookmarkEnd w:id="62"/>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forthwith, whereupon the same shall immediately become due and payable. Except as expressly provided above in this Section 8, presentment, demand, protest and all other notices of any kind are hereby expressly waived by the Borrowers.</w:t>
      </w:r>
    </w:p>
    <w:p>
      <w:pPr>
        <w:spacing w:after="0" w:line="37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SECTION 9. THE AGENTS</w:t>
      </w:r>
    </w:p>
    <w:p>
      <w:pPr>
        <w:spacing w:after="0" w:line="225" w:lineRule="exact"/>
        <w:rPr>
          <w:sz w:val="20"/>
          <w:szCs w:val="20"/>
          <w:color w:val="auto"/>
        </w:rPr>
      </w:pPr>
    </w:p>
    <w:p>
      <w:pPr>
        <w:jc w:val="both"/>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Each Lender hereby irrevocably designates and appoints the Administrative Agent as the agent of such Lender under this Agreement and the other Loan Documents and each such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in any other Loan Document, or any fiduciary relationship with any Lender, and no implied covenants, functions, responsibilities, duties, obligations or liabilities shall be read into this Agreement or any other Loan Document or otherwise exist against the Administrative Agent.</w:t>
      </w:r>
    </w:p>
    <w:p>
      <w:pPr>
        <w:spacing w:after="0" w:line="192" w:lineRule="exact"/>
        <w:rPr>
          <w:sz w:val="20"/>
          <w:szCs w:val="20"/>
          <w:color w:val="auto"/>
        </w:rPr>
      </w:pPr>
    </w:p>
    <w:p>
      <w:pPr>
        <w:jc w:val="both"/>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The Administrative Agent may execute any of its duties under this Agreement and the other Loan Documents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176" w:lineRule="exact"/>
        <w:rPr>
          <w:sz w:val="20"/>
          <w:szCs w:val="20"/>
          <w:color w:val="auto"/>
        </w:rPr>
      </w:pPr>
    </w:p>
    <w:p>
      <w:pPr>
        <w:jc w:val="both"/>
        <w:ind w:left="4" w:firstLine="991"/>
        <w:spacing w:after="0" w:line="257"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 Neither the Administrative Agent nor any of its officers, directors, employees, agents, attorneys-in-fact or affiliates shall be (i) liable for any action lawfully taken or omitted to be taken by it or such Person under or in connection with this Agreement or any other Loan Document (except to the extent that any of the foregoing resulted from its or such Person’s own gross negligence or willful misconduct) or</w:t>
      </w:r>
    </w:p>
    <w:p>
      <w:pPr>
        <w:spacing w:after="0" w:line="1" w:lineRule="exact"/>
        <w:rPr>
          <w:sz w:val="20"/>
          <w:szCs w:val="20"/>
          <w:color w:val="auto"/>
        </w:rPr>
      </w:pPr>
    </w:p>
    <w:p>
      <w:pPr>
        <w:jc w:val="both"/>
        <w:ind w:left="4" w:right="20" w:hanging="4"/>
        <w:spacing w:after="0" w:line="252" w:lineRule="auto"/>
        <w:tabs>
          <w:tab w:leader="none" w:pos="28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or for any failure of any Loan Party a party hereto or thereto to perform its obligations hereunder or thereunder. The Administrative Agent shall not be under any obligation to any Lender to ascertain or to inquire as to the observance or performance of any of the agreements contained in, or conditions of, this Agreement or any other Loan Document, or to inspect the properties, books or records of any Loan Party.</w:t>
      </w:r>
    </w:p>
    <w:p>
      <w:pPr>
        <w:spacing w:after="0" w:line="188" w:lineRule="exact"/>
        <w:rPr>
          <w:sz w:val="20"/>
          <w:szCs w:val="20"/>
          <w:color w:val="auto"/>
        </w:rPr>
      </w:pPr>
    </w:p>
    <w:p>
      <w:pPr>
        <w:jc w:val="both"/>
        <w:ind w:left="4" w:firstLine="991"/>
        <w:spacing w:after="0" w:line="254"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Reliance by Administrative Agent</w:t>
      </w:r>
      <w:r>
        <w:rPr>
          <w:rFonts w:ascii="Times New Roman" w:cs="Times New Roman" w:eastAsia="Times New Roman" w:hAnsi="Times New Roman"/>
          <w:sz w:val="18"/>
          <w:szCs w:val="18"/>
          <w:color w:val="auto"/>
        </w:rPr>
        <w:t xml:space="preserve"> . The Administrative Agent shall be entitled to rely, and shall be fully protected in relying, upon any instrument, writing, resolution, notice, consent, certificate, affidavit, letter, facsimile, telex or teletype message, e-mail, statement, order or other document or conversation believed by it in good faith to be genuine and correct and to have been signed, sent or made by the proper Person or Persons and upon advice and statements of legal counsel (including counsel to any Loan Party),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if so specified by this Agreement, all Lenders or any other instructing group of Lenders specified in this Agreement) as it deems appropriate or it shall first be indemnified to its satisfaction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24"/>
          </w:cols>
          <w:pgMar w:left="436" w:top="270" w:right="439" w:bottom="1440" w:gutter="0" w:footer="0" w:header="0"/>
        </w:sectPr>
      </w:pPr>
    </w:p>
    <w:bookmarkStart w:id="63" w:name="page64"/>
    <w:bookmarkEnd w:id="63"/>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if so specified by this Agreement, all Lenders or any other instructing group of Lenders specified in this Agreement), and such request and any action taken or failure to act pursuant thereto shall be binding upon all the Lenders and all future holders of the Loans. Notwithstanding anything to the contrary contained herein or in any other Loan Document, the Administrative Agent shall be fully protected in refraining from consenting to any pledge of Capital Stock or other grant of security interest by the Company or any of its Subsidiaries, or exercising voting rights thereunder, or any other amendment to any Loan Document, if the Administrative Agent determines in good faith (including upon advice of legal counsel (including counsel to the Company or any of its Subsidiaries)) that such action would violate any Requirement of Law (including, without limitation, the Outbound Investment Rules).</w:t>
      </w:r>
    </w:p>
    <w:p>
      <w:pPr>
        <w:spacing w:after="0" w:line="188" w:lineRule="exact"/>
        <w:rPr>
          <w:sz w:val="20"/>
          <w:szCs w:val="20"/>
          <w:color w:val="auto"/>
        </w:rPr>
      </w:pPr>
    </w:p>
    <w:p>
      <w:pPr>
        <w:jc w:val="both"/>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xml:space="preserve">. The Administrative Agent shall not be deemed to have knowledge or notice of the occurrence of any Default or Event of Default unless the Administrative Agent has received notice from a Lender or the Company referring to this Agreement, describing such Default or Event of Default and stating that such notice is a “notice of default.” In the event that the Administrative Agent receives such a notice, the Administrative Agent shall give notice thereof to the Lenders as soon as practicable thereafter. The Administrative Agent shall take such action with respect to such Default or Event of Default as shall be reasonably directed by the Required Lenders (or, if so specified by this Agreement, all Lenders or any other instructing group of Lenders specified in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92" w:lineRule="exact"/>
        <w:rPr>
          <w:sz w:val="20"/>
          <w:szCs w:val="20"/>
          <w:color w:val="auto"/>
        </w:rPr>
      </w:pPr>
    </w:p>
    <w:p>
      <w:pPr>
        <w:jc w:val="both"/>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Non-Reliance on Agents and Other Lenders</w:t>
      </w:r>
      <w:r>
        <w:rPr>
          <w:rFonts w:ascii="Times New Roman" w:cs="Times New Roman" w:eastAsia="Times New Roman" w:hAnsi="Times New Roman"/>
          <w:sz w:val="18"/>
          <w:szCs w:val="18"/>
          <w:color w:val="auto"/>
        </w:rPr>
        <w:t>. Each Lender expressly acknowledges that neither the Administrative Agent nor any of its officers, directors, employees, agents, attorneys-in-fact or affiliates have made any representations or warranties to it and that no act by the Administrative Agent hereafter taken, including any review of the affairs of a Loan Party or any affiliate of a Loan Party, shall be deemed to constitute any representation or warranty by the Administrative Agent to any Lender. Each Lender represents to the Administrative Agent that it has, independently and without reliance upon the Administrative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and other extensions of credit hereunder and enter into this Agreement. Each Lender also represents that it will, independently and without reliance upon the Administrative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or any of its officers, directors, employees, agents, attorneys-in-fact or affiliates.</w:t>
      </w:r>
    </w:p>
    <w:p>
      <w:pPr>
        <w:spacing w:after="0" w:line="196"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Lenders agree to indemnify the Administrative Agent in its capacity as such (to the extent not reimbursed by or on behalf of the Company if it is required to do so under Section 10.5 and without limiting the obligation of the Company under Section 10.5 to do so), ratably according to their respective Commitments in effect on the date on which indemnification is sought under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20"/>
          </w:cols>
          <w:pgMar w:left="440" w:top="270" w:right="439" w:bottom="1440" w:gutter="0" w:footer="0" w:header="0"/>
        </w:sectPr>
      </w:pPr>
    </w:p>
    <w:bookmarkStart w:id="64" w:name="page65"/>
    <w:bookmarkEnd w:id="64"/>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Section 9.7 (or, if indemnification is sought after the date upon which the Commitments shall have terminated and the Loans shall have been paid in full, ratably in accordance with such Percentages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the Administrative Agent in any way relating to or arising out of, the Commitments, this Agreement, any of the other Loan Documents or any documents contemplated by or referred to herein or therein or the transactions contemplated hereby or thereby or any action taken or omitted by the Administrative Agent under or in connection with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the Administrative Agent’s gross negligence or willful misconduct. The agreements in this Section 9.7 shall survive the payment of the Loans and all other amounts payable hereunder.</w:t>
      </w:r>
    </w:p>
    <w:p>
      <w:pPr>
        <w:spacing w:after="0" w:line="194" w:lineRule="exact"/>
        <w:rPr>
          <w:sz w:val="20"/>
          <w:szCs w:val="20"/>
          <w:color w:val="auto"/>
        </w:rPr>
      </w:pPr>
    </w:p>
    <w:p>
      <w:pPr>
        <w:jc w:val="both"/>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Administrative Agent in Its Individual Capacity</w:t>
      </w:r>
      <w:r>
        <w:rPr>
          <w:rFonts w:ascii="Times New Roman" w:cs="Times New Roman" w:eastAsia="Times New Roman" w:hAnsi="Times New Roman"/>
          <w:sz w:val="18"/>
          <w:szCs w:val="18"/>
          <w:color w:val="auto"/>
        </w:rPr>
        <w:t>. The Administrative Agent and its affiliates may make loans to, accept deposits from and generally engage in any kind of business with any Loan Party as though the Administrative Agent were not the Administrative Agent. With respect to its Loans made or renewed by it and any other extension of credit made by it hereunder, the Administrative Agent shall have the same rights and powers under this Agreement and the other Loan Documents as any Lender and may exercise the same as though it were not the Administrative Agent, and the terms “Lender” and “Lenders” shall include the Administrative Agent in its individual capacity.</w:t>
      </w:r>
    </w:p>
    <w:p>
      <w:pPr>
        <w:spacing w:after="0" w:line="183" w:lineRule="exact"/>
        <w:rPr>
          <w:sz w:val="20"/>
          <w:szCs w:val="20"/>
          <w:color w:val="auto"/>
        </w:rPr>
      </w:pPr>
    </w:p>
    <w:p>
      <w:pPr>
        <w:jc w:val="both"/>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Successor Administrative Agent</w:t>
      </w:r>
      <w:r>
        <w:rPr>
          <w:rFonts w:ascii="Times New Roman" w:cs="Times New Roman" w:eastAsia="Times New Roman" w:hAnsi="Times New Roman"/>
          <w:sz w:val="18"/>
          <w:szCs w:val="18"/>
          <w:color w:val="auto"/>
        </w:rPr>
        <w:t>. The Administrative Agent may resign as Administrative Agent upon 30 days’ notice to the Lenders and the Company.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8(a) or Section 8(e) with respect to the Company shall have occurred and be continuing) be subject to approval by the Company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 may, on behalf of the Lenders and with the consent of the Company (such consent not to be unreasonably withheld or delayed and which consent shall not be required if an Event of Default under Section 8(a) or Section 8(e) with respect to the Company shall have occurred and be continuing), appoint a successor Administrative Agent, which shall be a commercial bank organized or licensed under the laws of the United States of America or of any State thereof and having a combined capital and surplus of at least $500 million.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20"/>
          </w:cols>
          <w:pgMar w:left="440" w:top="270" w:right="439" w:bottom="1440" w:gutter="0" w:footer="0" w:header="0"/>
        </w:sectPr>
      </w:pPr>
    </w:p>
    <w:bookmarkStart w:id="65" w:name="page66"/>
    <w:bookmarkEnd w:id="65"/>
    <w:p>
      <w:pPr>
        <w:jc w:val="both"/>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9.11 </w:t>
      </w:r>
      <w:r>
        <w:rPr>
          <w:rFonts w:ascii="Times New Roman" w:cs="Times New Roman" w:eastAsia="Times New Roman" w:hAnsi="Times New Roman"/>
          <w:sz w:val="18"/>
          <w:szCs w:val="18"/>
          <w:u w:val="single" w:color="auto"/>
          <w:color w:val="auto"/>
        </w:rPr>
        <w:t>Bookrunners, Lead Arrangers, Global and Regional Coordinators, Documentation Agents, and Syndication Agent</w:t>
      </w:r>
      <w:r>
        <w:rPr>
          <w:rFonts w:ascii="Times New Roman" w:cs="Times New Roman" w:eastAsia="Times New Roman" w:hAnsi="Times New Roman"/>
          <w:sz w:val="18"/>
          <w:szCs w:val="18"/>
          <w:color w:val="auto"/>
        </w:rPr>
        <w:t>. None of the Syndication Agent, nor any of the bookrunners, lead arrangers, documentation agents, global or regional coordinator, or other agents identified on the cover page to this Agreement or in any commitment letter relating hereto (collectively, the “</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shall have any duties or responsibilities under this Agreement or the other Loan Documents in their respective capacities as such, nor shall the consent of any such Person, in its capacity as such, be required for any amendment, modification or supplement to this Agreement or any other Loan Document.</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 xml:space="preserve"> (a) Each Lender (x) represents and warrants, as of the date such Person becomes a Lender party hereto, and</w:t>
      </w:r>
    </w:p>
    <w:p>
      <w:pPr>
        <w:spacing w:after="0" w:line="27" w:lineRule="exact"/>
        <w:rPr>
          <w:sz w:val="20"/>
          <w:szCs w:val="20"/>
          <w:color w:val="auto"/>
        </w:rPr>
      </w:pPr>
    </w:p>
    <w:p>
      <w:pPr>
        <w:jc w:val="both"/>
        <w:ind w:left="4" w:right="20" w:hanging="4"/>
        <w:spacing w:after="0" w:line="255" w:lineRule="auto"/>
        <w:tabs>
          <w:tab w:leader="none" w:pos="26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from the date such Person becomes a Lender party hereto, to the date such Person ceases being a Lender party hereto, for the benefit of, the Administrative Agent, and each Arranger and their respective Affiliates, and not, for the avoidance of doubt, to or for the benefit of the Borrowers or any other Loan Party, that at least one of the following is and will be true:</w:t>
      </w:r>
    </w:p>
    <w:p>
      <w:pPr>
        <w:spacing w:after="0" w:line="77" w:lineRule="exact"/>
        <w:rPr>
          <w:rFonts w:ascii="Times New Roman" w:cs="Times New Roman" w:eastAsia="Times New Roman" w:hAnsi="Times New Roman"/>
          <w:sz w:val="18"/>
          <w:szCs w:val="18"/>
          <w:color w:val="auto"/>
        </w:rPr>
      </w:pPr>
    </w:p>
    <w:p>
      <w:pPr>
        <w:ind w:left="984" w:right="20" w:firstLine="408"/>
        <w:spacing w:after="0" w:line="282" w:lineRule="auto"/>
        <w:tabs>
          <w:tab w:leader="none" w:pos="1628"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the Plan Asset Regulations) of one or more Benefit Plans in connection with the Loans or the Commitments,</w:t>
      </w:r>
    </w:p>
    <w:p>
      <w:pPr>
        <w:spacing w:after="0" w:line="53" w:lineRule="exact"/>
        <w:rPr>
          <w:rFonts w:ascii="Times New Roman" w:cs="Times New Roman" w:eastAsia="Times New Roman" w:hAnsi="Times New Roman"/>
          <w:sz w:val="18"/>
          <w:szCs w:val="18"/>
          <w:color w:val="auto"/>
        </w:rPr>
      </w:pPr>
    </w:p>
    <w:p>
      <w:pPr>
        <w:jc w:val="both"/>
        <w:ind w:left="984" w:firstLine="408"/>
        <w:spacing w:after="0" w:line="256" w:lineRule="auto"/>
        <w:tabs>
          <w:tab w:leader="none" w:pos="1689"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79" w:lineRule="exact"/>
        <w:rPr>
          <w:rFonts w:ascii="Times New Roman" w:cs="Times New Roman" w:eastAsia="Times New Roman" w:hAnsi="Times New Roman"/>
          <w:sz w:val="18"/>
          <w:szCs w:val="18"/>
          <w:color w:val="auto"/>
        </w:rPr>
      </w:pPr>
    </w:p>
    <w:p>
      <w:pPr>
        <w:jc w:val="both"/>
        <w:ind w:left="984" w:firstLine="408"/>
        <w:spacing w:after="0" w:line="255" w:lineRule="auto"/>
        <w:tabs>
          <w:tab w:leader="none" w:pos="1704"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w:t>
      </w:r>
    </w:p>
    <w:p>
      <w:pPr>
        <w:spacing w:after="0" w:line="2" w:lineRule="exact"/>
        <w:rPr>
          <w:rFonts w:ascii="Times New Roman" w:cs="Times New Roman" w:eastAsia="Times New Roman" w:hAnsi="Times New Roman"/>
          <w:sz w:val="18"/>
          <w:szCs w:val="18"/>
          <w:color w:val="auto"/>
        </w:rPr>
      </w:pPr>
    </w:p>
    <w:p>
      <w:pPr>
        <w:jc w:val="both"/>
        <w:ind w:left="984" w:right="20" w:firstLine="7"/>
        <w:spacing w:after="0" w:line="255" w:lineRule="auto"/>
        <w:tabs>
          <w:tab w:leader="none" w:pos="124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77" w:lineRule="exact"/>
        <w:rPr>
          <w:rFonts w:ascii="Times New Roman" w:cs="Times New Roman" w:eastAsia="Times New Roman" w:hAnsi="Times New Roman"/>
          <w:sz w:val="18"/>
          <w:szCs w:val="18"/>
          <w:color w:val="auto"/>
        </w:rPr>
      </w:pPr>
    </w:p>
    <w:p>
      <w:pPr>
        <w:ind w:left="984" w:right="20" w:firstLine="408"/>
        <w:spacing w:after="0" w:line="282" w:lineRule="auto"/>
        <w:tabs>
          <w:tab w:leader="none" w:pos="1713"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162" w:lineRule="exact"/>
        <w:rPr>
          <w:sz w:val="20"/>
          <w:szCs w:val="20"/>
          <w:color w:val="auto"/>
        </w:rPr>
      </w:pPr>
    </w:p>
    <w:p>
      <w:pPr>
        <w:jc w:val="both"/>
        <w:ind w:left="4" w:right="20" w:firstLine="987"/>
        <w:spacing w:after="0" w:line="261" w:lineRule="auto"/>
        <w:tabs>
          <w:tab w:leader="none" w:pos="125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either (1) sub-clause (i) in the immediately preceding clause (a) is true with respect to a Lender or (2) a Lender has provided another representation, warranty and covenant as provided in sub-clause (iv) in the immediately preceding clause (a), such Lender further</w:t>
      </w:r>
    </w:p>
    <w:p>
      <w:pPr>
        <w:jc w:val="both"/>
        <w:ind w:left="4" w:right="20" w:hanging="4"/>
        <w:spacing w:after="0" w:line="253" w:lineRule="auto"/>
        <w:tabs>
          <w:tab w:leader="none" w:pos="26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becomes a Lender party hereto, and (y) covenants, from the date such Person becomes a Lender party hereto, to the date such Person ceases being a Lender party hereto, for the benefit of, the Administrative Agent, and each Arranger and their respective Affiliates, and not, for the avoidance of doubt, to or for the benefit of the Borrowers or any other Loan Party, that none of the Administrative Agent, or any Arranger or any of their respective Affiliates is a fiduciary with respect to the assets of such Lender involved in such Lender’s entrance into, participation in, administration of and performance of the Loans, the Commitments and this Agreement (including in connection with the</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24"/>
          </w:cols>
          <w:pgMar w:left="436" w:top="270" w:right="439" w:bottom="1440" w:gutter="0" w:footer="0" w:header="0"/>
        </w:sectPr>
      </w:pPr>
    </w:p>
    <w:bookmarkStart w:id="66" w:name="page67"/>
    <w:bookmarkEnd w:id="66"/>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reservation or exercise of any rights by the Administrative Agent under this Agreement, any Loan Document or any documents related to hereto or thereto).</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Acknowledgements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52" w:lineRule="auto"/>
        <w:tabs>
          <w:tab w:leader="none" w:pos="127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represents and warrants that (i) the Loan Documents set forth the terms of a commercial lending facility, (ii) in participating as a Lender, it is engaged in making, acquiring or holding commercial loans and in providing other facilities set forth herein as may be applicable to such Lender, in each case in the ordinary course of business and is making the Loans hereunder as commercial loans in the ordinary course of its business and not for the purpose of investing in the general performance or operations of any Borrower, or for the purpose of purchasing, acquiring or holding any other type of financial instrument such as a security (and each Lender agrees not to assert a claim in contravention of the foregoing, such as a claim under the federal or state securities laws), (iii) it has, independently and without reliance upon the Administrative Agent, any Arranger, any Syndication Agent, or any other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independently and without reliance upon the Administrative Agent, any Arranger, any Syndication Agent, or any other Lender, or any of the Related Parties of any of the foregoing, and based on such documents and information (which may contain material, non-public information within the meaning of the United States securities laws concerning the Borrowers and their respective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94" w:lineRule="exact"/>
        <w:rPr>
          <w:rFonts w:ascii="Times New Roman" w:cs="Times New Roman" w:eastAsia="Times New Roman" w:hAnsi="Times New Roman"/>
          <w:sz w:val="18"/>
          <w:szCs w:val="18"/>
          <w:color w:val="auto"/>
        </w:rPr>
      </w:pPr>
    </w:p>
    <w:p>
      <w:pPr>
        <w:jc w:val="both"/>
        <w:ind w:firstLine="987"/>
        <w:spacing w:after="0" w:line="261" w:lineRule="auto"/>
        <w:tabs>
          <w:tab w:leader="none" w:pos="124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by delivering its signature page to this Agreement on the Closing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Closing Date.</w:t>
      </w:r>
    </w:p>
    <w:p>
      <w:pPr>
        <w:spacing w:after="0" w:line="179" w:lineRule="exact"/>
        <w:rPr>
          <w:rFonts w:ascii="Times New Roman" w:cs="Times New Roman" w:eastAsia="Times New Roman" w:hAnsi="Times New Roman"/>
          <w:sz w:val="18"/>
          <w:szCs w:val="18"/>
          <w:color w:val="auto"/>
        </w:rPr>
      </w:pPr>
    </w:p>
    <w:p>
      <w:pPr>
        <w:jc w:val="both"/>
        <w:ind w:firstLine="987"/>
        <w:spacing w:after="0" w:line="253" w:lineRule="auto"/>
        <w:tabs>
          <w:tab w:leader="none" w:pos="129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were erroneously transmitted to such Lender (whether or not known to such Lender), and demands the return of such Payment (or a portion thereof), such Lender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customary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20"/>
          </w:cols>
          <w:pgMar w:left="440" w:top="270" w:right="439" w:bottom="1440" w:gutter="0" w:footer="0" w:header="0"/>
        </w:sectPr>
      </w:pPr>
    </w:p>
    <w:bookmarkStart w:id="67" w:name="page68"/>
    <w:bookmarkEnd w:id="67"/>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limitation any defense based on “discharge for value” or any similar doctrine. A notice of the Administrative Agent to any Lender under this Section 9.13(c) shall be conclusive, absent manifest error.</w:t>
      </w:r>
    </w:p>
    <w:p>
      <w:pPr>
        <w:spacing w:after="0" w:line="162" w:lineRule="exact"/>
        <w:rPr>
          <w:sz w:val="20"/>
          <w:szCs w:val="20"/>
          <w:color w:val="auto"/>
        </w:rPr>
      </w:pPr>
    </w:p>
    <w:p>
      <w:pPr>
        <w:jc w:val="both"/>
        <w:ind w:right="20" w:firstLine="987"/>
        <w:spacing w:after="0" w:line="253" w:lineRule="auto"/>
        <w:tabs>
          <w:tab w:leader="none" w:pos="126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customary banking industry rules on interbank compensation from time to time in effect.</w:t>
      </w:r>
    </w:p>
    <w:p>
      <w:pPr>
        <w:spacing w:after="0" w:line="191" w:lineRule="exact"/>
        <w:rPr>
          <w:rFonts w:ascii="Times New Roman" w:cs="Times New Roman" w:eastAsia="Times New Roman" w:hAnsi="Times New Roman"/>
          <w:sz w:val="18"/>
          <w:szCs w:val="18"/>
          <w:color w:val="auto"/>
        </w:rPr>
      </w:pPr>
    </w:p>
    <w:p>
      <w:pPr>
        <w:jc w:val="both"/>
        <w:ind w:right="20" w:firstLine="987"/>
        <w:spacing w:after="0" w:line="256" w:lineRule="auto"/>
        <w:tabs>
          <w:tab w:leader="none" w:pos="133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any Borrower or any other Loan Party except, in each case, to the extent such Payment is, and solely with respect to the amount of such Payment that is, comprised of funds of such Borrower or any other Loan Party (including, for the avoidance of doubt, the proceeds of any financing or contribution incurred or obtained by such Borrower or any Loan Party).</w:t>
      </w:r>
    </w:p>
    <w:p>
      <w:pPr>
        <w:spacing w:after="0" w:line="187"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31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under this Section 9.13(c)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76" w:lineRule="exact"/>
        <w:rPr>
          <w:sz w:val="20"/>
          <w:szCs w:val="20"/>
          <w:color w:val="auto"/>
        </w:rPr>
      </w:pPr>
    </w:p>
    <w:p>
      <w:pPr>
        <w:jc w:val="both"/>
        <w:ind w:firstLine="987"/>
        <w:spacing w:after="0" w:line="253" w:lineRule="auto"/>
        <w:tabs>
          <w:tab w:leader="none" w:pos="129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acknowledge that there may be a constant flow of information (including information which may be subject to confidentiality obligations in favor of the Loan Parties) between the Loan Parties and their Affiliates, on the one hand, and JPMorgan Chase Bank, N.A. and its Affiliates, on the other hand. Without limiting the foregoing, the Loan Parties or their Affiliates may provide information, including updates to previously provided information to JPMorgan Chase Bank, N.A. and/or its Affiliates acting in different capacities, including as Lender, lead bank, arranger or potential securities investor, independent of such entity’s role as administrative agent hereunder. The Lenders acknowledge that neither JPMorgan Chase Bank, N.A. nor its Affiliates shall be under any obligation to provide any of the foregoing information to them. Notwithstanding anything to the contrary set forth herein or in any other Loan Document, except for notices, reports and other documents expressly required to be furnished to the Lenders by the Administrative Agent herein or in any other Loan Document, the Administrative Agent shall not have any duty or responsibility to provide, and shall not be liable for the failure to provide, any Lender with any credit or other information concerning the Loans, the Lenders, the business, prospects, operations, property, financial and other condition or creditworthiness of any of the Loan Parties or any of their respective Affiliates that is communicated to, obtained by, or in the possession of, the Administrative Agent or any of its Affiliates in any capacity, including any information obtained by the Administrative Agent in the course of communications among the Administrative Agent and any Loan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20"/>
          </w:cols>
          <w:pgMar w:left="440" w:top="270" w:right="439" w:bottom="1440" w:gutter="0" w:footer="0" w:header="0"/>
        </w:sectPr>
      </w:pPr>
    </w:p>
    <w:bookmarkStart w:id="68" w:name="page69"/>
    <w:bookmarkEnd w:id="68"/>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Party, any Affiliate thereof or any other Person. Notwithstanding the foregoing, any such information may (but shall not be required to) be shared by the Administrative Agent with one or more Lenders, or any formal or informal committee or ad hoc group of such Lenders, including at the direction of a Loan Party, subject (except (x) with respect to any Company Confidential Information or (y) to the extent pursuant to any such direction of a Loan Party) to any confidentiality agreements between the Loan Parties and their Affiliates and JPMorgan Chase Bank, N.A. and/or its Affiliates that may apply to such disclosure.</w:t>
      </w:r>
    </w:p>
    <w:p>
      <w:pPr>
        <w:spacing w:after="0" w:line="183"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Borrower Communications.</w:t>
      </w:r>
      <w:r>
        <w:rPr>
          <w:rFonts w:ascii="Times New Roman" w:cs="Times New Roman" w:eastAsia="Times New Roman" w:hAnsi="Times New Roman"/>
          <w:sz w:val="18"/>
          <w:szCs w:val="18"/>
          <w:color w:val="auto"/>
        </w:rPr>
        <w:t xml:space="preserve"> (a) The Administrative Agent and the Lenders agree that the Borrowers may, but shall not be obligated to, make any Borrower Communications to the Administrative Agent through an electronic platform chosen by the Administrative Agent to be its electronic transmission system (the “</w:t>
      </w:r>
      <w:r>
        <w:rPr>
          <w:rFonts w:ascii="Times New Roman" w:cs="Times New Roman" w:eastAsia="Times New Roman" w:hAnsi="Times New Roman"/>
          <w:sz w:val="18"/>
          <w:szCs w:val="18"/>
          <w:u w:val="single" w:color="auto"/>
          <w:color w:val="auto"/>
        </w:rPr>
        <w:t>Approved Borrower Portal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987"/>
        <w:spacing w:after="0" w:line="255" w:lineRule="auto"/>
        <w:tabs>
          <w:tab w:leader="none" w:pos="127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Approved Borrower Portal and its primary web portal are secured with generally-applicable security procedures and policies implemented or modified by the Administrative Agent from time to time (including, as of the Closing Date, a user ID/password authorization system), each of the Lenders and each Borrower acknowledges and agrees that the distribution of material through an electronic medium is not necessarily secure, that the Administrative Agent is not responsible for approving or vetting the representatives or contacts of the Borrowers that are added to the Approved Borrower Portal, and that there may be confidentiality and other risks associated with such distribution. Each of the Lenders and each Borrower hereby approves distribution of Borrower Communications through the Approved Borrower Portal and understands and assumes the risks of such distribution.</w:t>
      </w:r>
    </w:p>
    <w:p>
      <w:pPr>
        <w:spacing w:after="0" w:line="188" w:lineRule="exact"/>
        <w:rPr>
          <w:rFonts w:ascii="Times New Roman" w:cs="Times New Roman" w:eastAsia="Times New Roman" w:hAnsi="Times New Roman"/>
          <w:sz w:val="18"/>
          <w:szCs w:val="18"/>
          <w:color w:val="auto"/>
        </w:rPr>
      </w:pPr>
    </w:p>
    <w:p>
      <w:pPr>
        <w:jc w:val="both"/>
        <w:ind w:firstLine="987"/>
        <w:spacing w:after="0" w:line="253" w:lineRule="auto"/>
        <w:tabs>
          <w:tab w:leader="none" w:pos="125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APPROVED BORROWER PORTAL IS PROVIDED “AS IS” AND “AS AVAILABLE”. THE APPLICABLE PARTIES (AS DEFINED BELOW) DO NOT WARRANT THE ACCURACY OR COMPLETENESS OF THE BORROWER COMMUNICATION,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ADMINISTRATIVE AGENT, ANY ARRANGER, ANY CO-DOCUMENTATION AGENT, ANY SYNDICATION AGENT, ANY REGIONAL COORDINATOR OR ANY OF THEIR RESPECTIVE RELATED PARTIES (COLLECTIVELY, “</w:t>
      </w:r>
      <w:r>
        <w:rPr>
          <w:rFonts w:ascii="Times New Roman" w:cs="Times New Roman" w:eastAsia="Times New Roman" w:hAnsi="Times New Roman"/>
          <w:sz w:val="18"/>
          <w:szCs w:val="18"/>
          <w:u w:val="single" w:color="auto"/>
          <w:color w:val="auto"/>
        </w:rPr>
        <w:t>APPLICABLE PARTIES</w:t>
      </w:r>
      <w:r>
        <w:rPr>
          <w:rFonts w:ascii="Times New Roman" w:cs="Times New Roman" w:eastAsia="Times New Roman" w:hAnsi="Times New Roman"/>
          <w:sz w:val="18"/>
          <w:szCs w:val="18"/>
          <w:color w:val="auto"/>
        </w:rPr>
        <w:t>”) HAVE ANY LIABILITY TO ANY LOAN PARTY, ANY LENDER OR ANY OTHER PERSON OR ENTITY FOR DAMAGES OF ANY KIND, INCLUDING DIRECT OR INDIRECT, SPECIAL, INCIDENTAL OR CONSEQUENTIAL DAMAGES, LOSSES OR EXPENSES (WHETHER IN TORT, CONTRACT OR OTHERWISE) ARISING OUT OF ANY BORROWER’S TRANSMISSION OF BORROWER COMMUNICATIONS THROUGH THE INTERNET OR THE APPROVED BORROWER PORTAL.</w:t>
      </w:r>
    </w:p>
    <w:p>
      <w:pPr>
        <w:spacing w:after="0" w:line="187"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Communications</w:t>
      </w:r>
      <w:r>
        <w:rPr>
          <w:rFonts w:ascii="Times New Roman" w:cs="Times New Roman" w:eastAsia="Times New Roman" w:hAnsi="Times New Roman"/>
          <w:sz w:val="18"/>
          <w:szCs w:val="18"/>
          <w:color w:val="auto"/>
        </w:rPr>
        <w:t>” means, collectively, any Borrowing Request, Interest Election Request, notice of prepayment or other notice, demand, communication, information, document or other material provided by or on behalf of any Loan Party pursuant to any Loan Document or the transactions contemplated therein which is distributed by any Borrower to the Administrative Agent through an Approved Borrower Portal.</w:t>
      </w:r>
    </w:p>
    <w:p>
      <w:pPr>
        <w:spacing w:after="0" w:line="176" w:lineRule="exact"/>
        <w:rPr>
          <w:sz w:val="20"/>
          <w:szCs w:val="20"/>
          <w:color w:val="auto"/>
        </w:rPr>
      </w:pPr>
    </w:p>
    <w:p>
      <w:pPr>
        <w:ind w:right="20" w:firstLine="987"/>
        <w:spacing w:after="0" w:line="282" w:lineRule="auto"/>
        <w:tabs>
          <w:tab w:leader="none" w:pos="12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and each Borrower agrees that the Administrative Agent may, but (except as may be required by applicable law) shall not be obligated to, store the Borrower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20"/>
          </w:cols>
          <w:pgMar w:left="440" w:top="270" w:right="439" w:bottom="1440" w:gutter="0" w:footer="0" w:header="0"/>
        </w:sectPr>
      </w:pPr>
    </w:p>
    <w:bookmarkStart w:id="69" w:name="page70"/>
    <w:bookmarkEnd w:id="69"/>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Communications on the Approved Borrower Portal in accordance with the Administrative Agent’s generally applicable document retention procedures and policies.</w:t>
      </w:r>
    </w:p>
    <w:p>
      <w:pPr>
        <w:spacing w:after="0" w:line="162" w:lineRule="exact"/>
        <w:rPr>
          <w:sz w:val="20"/>
          <w:szCs w:val="20"/>
          <w:color w:val="auto"/>
        </w:rPr>
      </w:pPr>
    </w:p>
    <w:p>
      <w:pPr>
        <w:ind w:right="20" w:firstLine="987"/>
        <w:spacing w:after="0" w:line="282" w:lineRule="auto"/>
        <w:tabs>
          <w:tab w:leader="none" w:pos="123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prejudice the right of any Borrower to give any notice or other communication pursuant to any Loan Document in any other manner specified in such Loan Document.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10. MISCELLANEOUS</w:t>
      </w:r>
    </w:p>
    <w:p>
      <w:pPr>
        <w:spacing w:after="0" w:line="225" w:lineRule="exact"/>
        <w:rPr>
          <w:sz w:val="20"/>
          <w:szCs w:val="20"/>
          <w:color w:val="auto"/>
        </w:rPr>
      </w:pPr>
    </w:p>
    <w:p>
      <w:pPr>
        <w:jc w:val="both"/>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(a) Subject to Section 2.18(b) and (c) and Section 10.1(e), neither this Agreement, any other Loan Document, nor any terms hereof or thereof may be amended, supplemented or modified except in accordance with the provisions of this Section 10.1 or as otherwise expressly provided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update or revision to any annex or schedule to any Loan Document (other than any amendment or modification to </w:t>
      </w:r>
      <w:r>
        <w:rPr>
          <w:rFonts w:ascii="Times New Roman" w:cs="Times New Roman" w:eastAsia="Times New Roman" w:hAnsi="Times New Roman"/>
          <w:sz w:val="18"/>
          <w:szCs w:val="18"/>
          <w:u w:val="single" w:color="auto"/>
          <w:color w:val="auto"/>
        </w:rPr>
        <w:t>Schedule 1.1C</w:t>
      </w:r>
      <w:r>
        <w:rPr>
          <w:rFonts w:ascii="Times New Roman" w:cs="Times New Roman" w:eastAsia="Times New Roman" w:hAnsi="Times New Roman"/>
          <w:sz w:val="18"/>
          <w:szCs w:val="18"/>
          <w:color w:val="auto"/>
        </w:rPr>
        <w:t xml:space="preserve"> to this Agreement) (including any update or revision to any annex or schedule to any Loan Document related to a Guarantee Joinder) shall not constitute an amendment, supplement or modification for purposes of this Section 10.1 and shall be effective upon acceptance thereof by the Administrative Agent. The Required Lenders and the Company (on its own behalf and as agent on behalf of any other Loan Party to the relevant Loan Document) may, or, with the written consent of the Required Lenders, the Administrative Agent (on behalf of the Required Lenders) and the Company (on its own behalf and as agent on behalf of any Loan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or obligations of the Administrative Agent, the Lenders or of the Loan Parties hereunder or thereunder or (ii) waive, on such terms and conditions as the Required Lenders or the Administrative Agent, as the case may be, may specify in such instrument, any of the requirements of this Agreement (including any condition precedent to an Extension of Credit) or the other Loan Documents or any Default or Event of Default and its consequences;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waiver and no such amendment, supplement or modification shall:</w:t>
      </w:r>
    </w:p>
    <w:p>
      <w:pPr>
        <w:spacing w:after="0" w:line="89" w:lineRule="exact"/>
        <w:rPr>
          <w:sz w:val="20"/>
          <w:szCs w:val="20"/>
          <w:color w:val="auto"/>
        </w:rPr>
      </w:pPr>
    </w:p>
    <w:p>
      <w:pPr>
        <w:jc w:val="both"/>
        <w:ind w:left="980" w:firstLine="408"/>
        <w:spacing w:after="0" w:line="258" w:lineRule="auto"/>
        <w:tabs>
          <w:tab w:leader="none" w:pos="167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forgive or reduce any principal amount or extend the final scheduled date of maturity of any Loan (for the purpose of clarity each of the foregoing not to include any waiver of a mandatory prepayment), reduce the stated rate of any interest, fee or prepayment premium payable hereunder or under any other Loan Document (except in connection with the waiver of applicability of any post-default increases in interest rates), or extend the scheduled date of any payment thereof or increase the amount or extend the expiration date of any Lender’s Commitment, in each case without the written consent of each Lender directly and adversely affected thereby;</w:t>
      </w:r>
    </w:p>
    <w:p>
      <w:pPr>
        <w:spacing w:after="0" w:line="75"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or reduce the voting rights of any Lender under this Section 10.1 without the written consent of such Lender;</w:t>
      </w:r>
    </w:p>
    <w:p>
      <w:pPr>
        <w:spacing w:after="0" w:line="117" w:lineRule="exact"/>
        <w:rPr>
          <w:rFonts w:ascii="Times New Roman" w:cs="Times New Roman" w:eastAsia="Times New Roman" w:hAnsi="Times New Roman"/>
          <w:sz w:val="18"/>
          <w:szCs w:val="18"/>
          <w:color w:val="auto"/>
        </w:rPr>
      </w:pPr>
    </w:p>
    <w:p>
      <w:pPr>
        <w:jc w:val="both"/>
        <w:ind w:left="980" w:right="20" w:firstLine="408"/>
        <w:spacing w:after="0" w:line="258" w:lineRule="auto"/>
        <w:tabs>
          <w:tab w:leader="none" w:pos="166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assignment or transfer by or release of any Borrower of any of its rights and obligations under this Agreement and the other Loan Documents (except, for the avoidance of doubt, in the case of any Subsidiary Borrower, pursuant to Section 10.1(d) below), release the Company from its obligations under the Guarantee, release all or substantially all of the Subsidiary Guarantors from the obligations under the Guarantee (in each case, except as otherwise provided in the Loan Documents), in each case without the written consent of all Lenders;</w:t>
      </w:r>
    </w:p>
    <w:p>
      <w:pPr>
        <w:spacing w:after="0" w:line="75"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specified in the definition of Required Lenders without the written consent of all Lenders;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20"/>
          </w:cols>
          <w:pgMar w:left="440" w:top="270" w:right="439" w:bottom="1440" w:gutter="0" w:footer="0" w:header="0"/>
        </w:sectPr>
      </w:pPr>
    </w:p>
    <w:bookmarkStart w:id="70" w:name="page71"/>
    <w:bookmarkEnd w:id="70"/>
    <w:p>
      <w:pPr>
        <w:ind w:left="1660" w:hanging="272"/>
        <w:spacing w:after="0"/>
        <w:tabs>
          <w:tab w:leader="none" w:pos="1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w:t>
      </w:r>
    </w:p>
    <w:p>
      <w:pPr>
        <w:spacing w:after="0" w:line="117"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65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waive any provision of Section 9 in a manner adverse to the Administrative Agent without the written consent of the Administrative Agent;</w:t>
      </w:r>
    </w:p>
    <w:p>
      <w:pPr>
        <w:spacing w:after="0" w:line="53"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69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waive any provision of Section 2.19(a) or (b) or Section 10.7 without the written consent of each Lender adversely affected thereby;</w:t>
      </w:r>
    </w:p>
    <w:p>
      <w:pPr>
        <w:spacing w:after="0" w:line="53" w:lineRule="exact"/>
        <w:rPr>
          <w:rFonts w:ascii="Times New Roman" w:cs="Times New Roman" w:eastAsia="Times New Roman" w:hAnsi="Times New Roman"/>
          <w:sz w:val="18"/>
          <w:szCs w:val="18"/>
          <w:color w:val="auto"/>
        </w:rPr>
      </w:pPr>
    </w:p>
    <w:p>
      <w:pPr>
        <w:ind w:left="1620" w:hanging="232"/>
        <w:spacing w:after="0"/>
        <w:tabs>
          <w:tab w:leader="none" w:pos="1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or</w:t>
      </w:r>
    </w:p>
    <w:p>
      <w:pPr>
        <w:spacing w:after="0" w:line="117" w:lineRule="exact"/>
        <w:rPr>
          <w:rFonts w:ascii="Times New Roman" w:cs="Times New Roman" w:eastAsia="Times New Roman" w:hAnsi="Times New Roman"/>
          <w:sz w:val="18"/>
          <w:szCs w:val="18"/>
          <w:color w:val="auto"/>
        </w:rPr>
      </w:pPr>
    </w:p>
    <w:p>
      <w:pPr>
        <w:ind w:left="1620" w:hanging="232"/>
        <w:spacing w:after="0"/>
        <w:tabs>
          <w:tab w:leader="none" w:pos="1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available currencies to the Facility without the written consent of each Lender directly affected thereby.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such waiver and any 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positions and rights hereunder and under the other Loan Documents and any Default or Event of Default waived shall be deemed to be cured and not continuing; but no such waiver shall extend to any subsequent or other Default or Event of Default, or impair any right consequent thereon.</w:t>
      </w:r>
    </w:p>
    <w:p>
      <w:pPr>
        <w:spacing w:after="0" w:line="183" w:lineRule="exact"/>
        <w:rPr>
          <w:sz w:val="20"/>
          <w:szCs w:val="20"/>
          <w:color w:val="auto"/>
        </w:rPr>
      </w:pPr>
    </w:p>
    <w:p>
      <w:pPr>
        <w:jc w:val="both"/>
        <w:ind w:right="20" w:firstLine="987"/>
        <w:spacing w:after="0" w:line="253" w:lineRule="auto"/>
        <w:tabs>
          <w:tab w:leader="none" w:pos="126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paragraph (a), without the consent of the Required Lenders, but subject to any consent required by paragraphs (A) through (J) above, the Administrative Agent (on its own behalf and as agent on behalf of each Lender) and the Company (on its own behalf and as agent on behalf of any other Loan Party who is a party to the relevant Loan Document) may amend, modify or supplement any provision of this Agreement or any other Loan Document, and the Administrative Agent (on its own behalf and as agent on behalf of each Lender) may waive any provision of this Agreement or any other Loan Document, in each case to (A) cure any ambiguity, omission, defect or inconsistency, (B) permit additional affiliates of the Company or other Persons to guarantee the Obligations, (C) release any Subsidiary Guarantor or other guarantor that is required or permitted to be released by the terms of any Loan Document and to release any such Subsidiary Guarantor that was or becomes an Excluded Subsidiary or (D) add or effect changes to administrative or ministerial provisions contained herein reasonably believed to be required as a result of the addition of Subsidiary Borrowers pursuant to Section 10.1(d);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Administrative Agent shall notify the Lenders of any such amendment, modification, supplement or waiver consummated in accordance with this clause (ii) promptly after consummation thereof.</w:t>
      </w:r>
    </w:p>
    <w:p>
      <w:pPr>
        <w:spacing w:after="0" w:line="194" w:lineRule="exact"/>
        <w:rPr>
          <w:rFonts w:ascii="Times New Roman" w:cs="Times New Roman" w:eastAsia="Times New Roman" w:hAnsi="Times New Roman"/>
          <w:sz w:val="18"/>
          <w:szCs w:val="18"/>
          <w:color w:val="auto"/>
        </w:rPr>
      </w:pPr>
    </w:p>
    <w:p>
      <w:pPr>
        <w:jc w:val="both"/>
        <w:ind w:firstLine="987"/>
        <w:spacing w:after="0" w:line="256" w:lineRule="auto"/>
        <w:tabs>
          <w:tab w:leader="none" w:pos="124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it is understood that (i) any transaction permitted by Sections 2.11 shall not be subject to this Section 10.1 and the Company and the Administrative Agent may, without the input or consent of any other Lender (except to the extent provided in any such Section), effect amendments to this Agreement as may be necessary in the reasonable opinion of the Company and the Administrative Agent to effect the provisions of such Sections (including any definitions relating to or necessary to effectuate the foregoing) and (ii) the delivery of a Guarantee Joinder shall not constitute an amendment, supplement or modification for purposes of this Section 10.1 and shall be effective upon the delivery thereof to the Administrative Agent.</w:t>
      </w:r>
    </w:p>
    <w:p>
      <w:pPr>
        <w:spacing w:after="0" w:line="187" w:lineRule="exact"/>
        <w:rPr>
          <w:rFonts w:ascii="Times New Roman" w:cs="Times New Roman" w:eastAsia="Times New Roman" w:hAnsi="Times New Roman"/>
          <w:sz w:val="18"/>
          <w:szCs w:val="18"/>
          <w:color w:val="auto"/>
        </w:rPr>
      </w:pPr>
    </w:p>
    <w:p>
      <w:pPr>
        <w:ind w:right="20" w:firstLine="987"/>
        <w:spacing w:after="0" w:line="282" w:lineRule="auto"/>
        <w:tabs>
          <w:tab w:leader="none" w:pos="125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notwithstanding the foregoing, this Agreement may be amended after the Closing Date without consent of the Lenders, so long as no Default or Event of Default shall have occurred and be continuing, as follows: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20"/>
          </w:cols>
          <w:pgMar w:left="440" w:top="270" w:right="439" w:bottom="1440" w:gutter="0" w:footer="0" w:header="0"/>
        </w:sectPr>
      </w:pPr>
    </w:p>
    <w:bookmarkStart w:id="71" w:name="page72"/>
    <w:bookmarkEnd w:id="71"/>
    <w:p>
      <w:pPr>
        <w:jc w:val="both"/>
        <w:ind w:firstLine="987"/>
        <w:spacing w:after="0" w:line="254" w:lineRule="auto"/>
        <w:tabs>
          <w:tab w:leader="none" w:pos="123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designate any Domestic Subsidiary of the Company as a Subsidiary Borrower upon (A) ten Business Days’ prior notice to the Administrative Agent (such notice to contain the name, primary business address and taxpayer identification number of such Domestic Subsidiary), (B) the execution and delivery by the Company, such Domestic Subsidiary and the Administrative Agent of a Borrower Joinder Agreement, providing for such Domestic Subsidiary to become a Subsidiary Borrower, (C) the agreement and acknowledgment by the Company and each Subsidiary Guarantor (if any), that the Guarantee covers the Obligations of such Domestic Subsidiary, (D) the delivery to the Administrative Agent of corporate or other applicable resolutions, other corporate or other applicable documents, certificates and legal opinions in respect of such Domestic Subsidiary reasonably equivalent to comparable documents delivered on the Closing Date and (E) the delivery to the Administrative Agent of any documentation or other information reasonably requested by the Administrative Agent and necessary to satisfy obligations of the Lenders described in Section 10.18 or any applicable “know your customer” or other anti-money-laundering Requirement of Law; and</w:t>
      </w:r>
    </w:p>
    <w:p>
      <w:pPr>
        <w:spacing w:after="0" w:line="188" w:lineRule="exact"/>
        <w:rPr>
          <w:rFonts w:ascii="Times New Roman" w:cs="Times New Roman" w:eastAsia="Times New Roman" w:hAnsi="Times New Roman"/>
          <w:sz w:val="18"/>
          <w:szCs w:val="18"/>
          <w:color w:val="auto"/>
        </w:rPr>
      </w:pPr>
    </w:p>
    <w:p>
      <w:pPr>
        <w:jc w:val="both"/>
        <w:ind w:firstLine="987"/>
        <w:spacing w:after="0" w:line="258" w:lineRule="auto"/>
        <w:tabs>
          <w:tab w:leader="none" w:pos="125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any Subsidiary as a Subsidiary Borrower upon (A) execution and delivery by the Company to the Administrative Agent of a written notification to such effect, (B) repayment in full of all Loans made to such Subsidiary Borrower and (C) repayment in full of all other amounts owing by such Subsidiary Borrower under this Agreement and the other Loan Documents (it being agreed that any such repayment shall be in accordance with the other terms of this Agreement) (it being understood that in the event any Subsidiary Borrower shall cease to be a Subsidiary of the Company, the Company shall remove such Subsidiary Borrower as a Subsidiary Borrower hereunder in accordance with the terms of this clause (ii)).</w:t>
      </w:r>
    </w:p>
    <w:p>
      <w:pPr>
        <w:spacing w:after="0" w:line="183" w:lineRule="exact"/>
        <w:rPr>
          <w:sz w:val="20"/>
          <w:szCs w:val="20"/>
          <w:color w:val="auto"/>
        </w:rPr>
      </w:pPr>
    </w:p>
    <w:p>
      <w:pPr>
        <w:ind w:right="20" w:firstLine="987"/>
        <w:spacing w:after="0" w:line="282" w:lineRule="auto"/>
        <w:tabs>
          <w:tab w:leader="none" w:pos="128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or any other Loan Document to the contrary, this Agreement may be amended, supplemented or otherwise modified as set forth in Section 2.18.</w:t>
      </w:r>
    </w:p>
    <w:p>
      <w:pPr>
        <w:spacing w:after="0" w:line="162" w:lineRule="exact"/>
        <w:rPr>
          <w:sz w:val="20"/>
          <w:szCs w:val="20"/>
          <w:color w:val="auto"/>
        </w:rPr>
      </w:pPr>
    </w:p>
    <w:p>
      <w:pPr>
        <w:jc w:val="both"/>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 All notices, requests and demands to or upon the respective parties hereto to be effective shall be in writing (including by facsimile or electronic transmission), and, unless otherwise expressly provided herein, shall be deemed to have been duly given or made when delivered, or three Business Days after being deposited in the mail, postage prepaid, or, in the case of facsimile notice or electronic transmission, as received during the recipient’s normal business hours, addressed as follows in the case of any Borrower and the Administrative Agent, and as set forth in an administrative questionnaire delivered to the Administrative Agent and the Company in the case of the Lenders or to such other address as may be hereafter notified by the respective parties hereto:</w:t>
      </w:r>
    </w:p>
    <w:p>
      <w:pPr>
        <w:sectPr>
          <w:pgSz w:w="11900" w:h="16838" w:orient="portrait"/>
          <w:cols w:equalWidth="0" w:num="1">
            <w:col w:w="11020"/>
          </w:cols>
          <w:pgMar w:left="440" w:top="270" w:right="439" w:bottom="1440" w:gutter="0" w:footer="0" w:header="0"/>
        </w:sectPr>
      </w:pP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1240 Woodward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482-22381-1003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Treasurer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1240 Woodward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482-22381-1003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Assistant Treasurer</w:t>
      </w:r>
    </w:p>
    <w:p>
      <w:pPr>
        <w:spacing w:after="0" w:line="153" w:lineRule="exact"/>
        <w:rPr>
          <w:sz w:val="20"/>
          <w:szCs w:val="20"/>
          <w:color w:val="auto"/>
        </w:rPr>
      </w:pPr>
    </w:p>
    <w:p>
      <w:pPr>
        <w:jc w:val="right"/>
        <w:ind w:right="542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2">
            <w:col w:w="2620" w:space="260"/>
            <w:col w:w="8140"/>
          </w:cols>
          <w:pgMar w:left="440" w:top="270" w:right="439" w:bottom="1440" w:gutter="0" w:footer="0" w:header="0"/>
          <w:type w:val="continuous"/>
        </w:sectPr>
      </w:pPr>
    </w:p>
    <w:bookmarkStart w:id="72" w:name="page73"/>
    <w:bookmarkEnd w:id="72"/>
    <w:p>
      <w:pPr>
        <w:spacing w:after="0"/>
        <w:tabs>
          <w:tab w:leader="none" w:pos="28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further copy to (which shall</w:t>
      </w:r>
      <w:r>
        <w:rPr>
          <w:sz w:val="20"/>
          <w:szCs w:val="20"/>
          <w:color w:val="auto"/>
        </w:rPr>
        <w:tab/>
      </w:r>
      <w:r>
        <w:rPr>
          <w:rFonts w:ascii="Times New Roman" w:cs="Times New Roman" w:eastAsia="Times New Roman" w:hAnsi="Times New Roman"/>
          <w:sz w:val="17"/>
          <w:szCs w:val="17"/>
          <w:color w:val="auto"/>
        </w:rPr>
        <w:t>General Motors Company</w:t>
      </w:r>
    </w:p>
    <w:p>
      <w:pPr>
        <w:spacing w:after="0" w:line="27"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not constitute notice):</w:t>
      </w:r>
      <w:r>
        <w:rPr>
          <w:sz w:val="20"/>
          <w:szCs w:val="20"/>
          <w:color w:val="auto"/>
        </w:rPr>
        <w:tab/>
      </w:r>
      <w:r>
        <w:rPr>
          <w:rFonts w:ascii="Times New Roman" w:cs="Times New Roman" w:eastAsia="Times New Roman" w:hAnsi="Times New Roman"/>
          <w:sz w:val="17"/>
          <w:szCs w:val="17"/>
          <w:color w:val="auto"/>
        </w:rPr>
        <w:t>Detroit Treasury Office</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1240 Woodward Avenue</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Mail code: 482-22381-1003</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Detroit, MI 48265</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Attention: Director, Capital Markets</w:t>
      </w:r>
    </w:p>
    <w:p>
      <w:pPr>
        <w:spacing w:after="0" w:line="112"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with a further copy to (which shall</w:t>
      </w:r>
      <w:r>
        <w:rPr>
          <w:sz w:val="20"/>
          <w:szCs w:val="20"/>
          <w:color w:val="auto"/>
        </w:rPr>
        <w:tab/>
      </w:r>
      <w:r>
        <w:rPr>
          <w:rFonts w:ascii="Times New Roman" w:cs="Times New Roman" w:eastAsia="Times New Roman" w:hAnsi="Times New Roman"/>
          <w:sz w:val="17"/>
          <w:szCs w:val="17"/>
          <w:color w:val="auto"/>
        </w:rPr>
        <w:t>General Motors Company</w:t>
      </w:r>
    </w:p>
    <w:p>
      <w:pPr>
        <w:spacing w:after="0" w:line="27"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not constitute notice):</w:t>
      </w:r>
      <w:r>
        <w:rPr>
          <w:sz w:val="20"/>
          <w:szCs w:val="20"/>
          <w:color w:val="auto"/>
        </w:rPr>
        <w:tab/>
      </w:r>
      <w:r>
        <w:rPr>
          <w:rFonts w:ascii="Times New Roman" w:cs="Times New Roman" w:eastAsia="Times New Roman" w:hAnsi="Times New Roman"/>
          <w:sz w:val="17"/>
          <w:szCs w:val="17"/>
          <w:color w:val="auto"/>
        </w:rPr>
        <w:t>Detroit Treasury Office</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1240 Woodward Avenue</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Mail code: 482-22381-1003</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Detroit, MI 48265</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color w:val="auto"/>
        </w:rPr>
        <w:t>Attention: Director, Treasury Operations</w:t>
      </w:r>
    </w:p>
    <w:p>
      <w:pPr>
        <w:sectPr>
          <w:pgSz w:w="11900" w:h="16838" w:orient="portrait"/>
          <w:cols w:equalWidth="0" w:num="1">
            <w:col w:w="11000"/>
          </w:cols>
          <w:pgMar w:left="440" w:top="270" w:right="459" w:bottom="1440" w:gutter="0" w:footer="0" w:header="0"/>
        </w:sectPr>
      </w:pPr>
    </w:p>
    <w:p>
      <w:pPr>
        <w:spacing w:after="0" w:line="12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482-22381-1101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1240 Woodward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grant.dixton@gm.com</w:t>
      </w:r>
    </w:p>
    <w:p>
      <w:pPr>
        <w:spacing w:after="0" w:line="124" w:lineRule="exact"/>
        <w:rPr>
          <w:sz w:val="20"/>
          <w:szCs w:val="20"/>
          <w:color w:val="auto"/>
        </w:rPr>
      </w:pPr>
    </w:p>
    <w:p>
      <w:pPr>
        <w:sectPr>
          <w:pgSz w:w="11900" w:h="16838" w:orient="portrait"/>
          <w:cols w:equalWidth="0" w:num="2">
            <w:col w:w="2640" w:space="240"/>
            <w:col w:w="8120"/>
          </w:cols>
          <w:pgMar w:left="440" w:top="270" w:right="4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with a further copy to (which shall</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Company</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not constitute notice):</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Mail Code 482-22381-1101</w:t>
            </w:r>
          </w:p>
        </w:tc>
      </w:tr>
      <w:tr>
        <w:trPr>
          <w:trHeight w:val="216"/>
        </w:trPr>
        <w:tc>
          <w:tcPr>
            <w:tcW w:w="288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1240 Woodward Avenue</w:t>
            </w:r>
          </w:p>
        </w:tc>
      </w:tr>
      <w:tr>
        <w:trPr>
          <w:trHeight w:val="216"/>
        </w:trPr>
        <w:tc>
          <w:tcPr>
            <w:tcW w:w="288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Detroit, MI 48265</w:t>
            </w:r>
          </w:p>
        </w:tc>
      </w:tr>
      <w:tr>
        <w:trPr>
          <w:trHeight w:val="216"/>
        </w:trPr>
        <w:tc>
          <w:tcPr>
            <w:tcW w:w="288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Attention: Assistant General Counsel, Finance &amp; Governance,</w:t>
            </w:r>
          </w:p>
        </w:tc>
      </w:tr>
      <w:tr>
        <w:trPr>
          <w:trHeight w:val="216"/>
        </w:trPr>
        <w:tc>
          <w:tcPr>
            <w:tcW w:w="288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Assistant Corporate Secretary</w:t>
            </w:r>
          </w:p>
        </w:tc>
      </w:tr>
      <w:tr>
        <w:trPr>
          <w:trHeight w:val="234"/>
        </w:trPr>
        <w:tc>
          <w:tcPr>
            <w:tcW w:w="288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 John.S.Kim@gm.com</w:t>
            </w:r>
          </w:p>
        </w:tc>
      </w:tr>
      <w:tr>
        <w:trPr>
          <w:trHeight w:val="319"/>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Agent   for   all</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(i)If to the Administrative Agent from the Borrower, to</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notices:</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JPMorgan Chase Bank, N.A., at the address separately</w:t>
            </w:r>
          </w:p>
        </w:tc>
      </w:tr>
      <w:tr>
        <w:trPr>
          <w:trHeight w:val="234"/>
        </w:trPr>
        <w:tc>
          <w:tcPr>
            <w:tcW w:w="288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provided to the Borrower.</w:t>
            </w:r>
          </w:p>
        </w:tc>
      </w:tr>
      <w:tr>
        <w:trPr>
          <w:trHeight w:val="319"/>
        </w:trPr>
        <w:tc>
          <w:tcPr>
            <w:tcW w:w="288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(ii)If to the Administrative Agent from the Lenders, to</w:t>
            </w:r>
          </w:p>
        </w:tc>
      </w:tr>
      <w:tr>
        <w:trPr>
          <w:trHeight w:val="216"/>
        </w:trPr>
        <w:tc>
          <w:tcPr>
            <w:tcW w:w="288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JPMorgan Chase Bank, N.A.,</w:t>
            </w:r>
          </w:p>
        </w:tc>
      </w:tr>
      <w:tr>
        <w:trPr>
          <w:trHeight w:val="216"/>
        </w:trPr>
        <w:tc>
          <w:tcPr>
            <w:tcW w:w="288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8181 Communications Pkwy, Bldg B, Floor 6,</w:t>
            </w:r>
          </w:p>
        </w:tc>
      </w:tr>
      <w:tr>
        <w:trPr>
          <w:trHeight w:val="216"/>
        </w:trPr>
        <w:tc>
          <w:tcPr>
            <w:tcW w:w="288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Plano, TX, 75024, United States,</w:t>
            </w:r>
          </w:p>
        </w:tc>
      </w:tr>
      <w:tr>
        <w:trPr>
          <w:trHeight w:val="194"/>
        </w:trPr>
        <w:tc>
          <w:tcPr>
            <w:tcW w:w="2880" w:type="dxa"/>
            <w:vAlign w:val="bottom"/>
          </w:tcPr>
          <w:p>
            <w:pPr>
              <w:spacing w:after="0"/>
              <w:rPr>
                <w:sz w:val="16"/>
                <w:szCs w:val="16"/>
                <w:color w:val="auto"/>
              </w:rPr>
            </w:pPr>
          </w:p>
        </w:tc>
        <w:tc>
          <w:tcPr>
            <w:tcW w:w="44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marlon.mathews@jpmchase.com, 469-462-1337,</w:t>
            </w:r>
          </w:p>
        </w:tc>
      </w:tr>
      <w:tr>
        <w:trPr>
          <w:trHeight w:val="20"/>
        </w:trPr>
        <w:tc>
          <w:tcPr>
            <w:tcW w:w="288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37"/>
        </w:trPr>
        <w:tc>
          <w:tcPr>
            <w:tcW w:w="288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Attention: Marlon Mathews, United States.</w:t>
            </w:r>
          </w:p>
        </w:tc>
      </w:tr>
      <w:tr>
        <w:trPr>
          <w:trHeight w:val="319"/>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Any other Lender</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To such Lender at its address (or telecopy number) set forth in</w:t>
            </w:r>
          </w:p>
        </w:tc>
      </w:tr>
      <w:tr>
        <w:trPr>
          <w:trHeight w:val="234"/>
        </w:trPr>
        <w:tc>
          <w:tcPr>
            <w:tcW w:w="288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Administrative Questionnaire</w:t>
            </w:r>
          </w:p>
        </w:tc>
      </w:tr>
    </w:tbl>
    <w:p>
      <w:pPr>
        <w:spacing w:after="0" w:line="2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notice, request or demand to or upon the Administrative Agent or the Lenders pursuant to Section 2.2, 2.11, 2.12 or 2.14 shall not be effective until received.</w:t>
      </w:r>
    </w:p>
    <w:p>
      <w:pPr>
        <w:spacing w:after="0" w:line="162" w:lineRule="exact"/>
        <w:rPr>
          <w:sz w:val="20"/>
          <w:szCs w:val="20"/>
          <w:color w:val="auto"/>
        </w:rPr>
      </w:pPr>
    </w:p>
    <w:p>
      <w:pPr>
        <w:jc w:val="both"/>
        <w:ind w:firstLine="987"/>
        <w:spacing w:after="0" w:line="224" w:lineRule="auto"/>
        <w:tabs>
          <w:tab w:leader="none" w:pos="128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agrees that the Administrative Agent may, but shall not be obligated to, make any notices or other Communications available to the Lenders by posting such Communications on IntraLinks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a substantially similar electronic platform chosen by the Administrative Agent to be its electronic transmission system (the “</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70" w:right="459" w:bottom="1440" w:gutter="0" w:footer="0" w:header="0"/>
          <w:type w:val="continuous"/>
        </w:sectPr>
      </w:pPr>
    </w:p>
    <w:bookmarkStart w:id="73" w:name="page74"/>
    <w:bookmarkEnd w:id="73"/>
    <w:p>
      <w:pPr>
        <w:jc w:val="both"/>
        <w:ind w:firstLine="987"/>
        <w:spacing w:after="0" w:line="254" w:lineRule="auto"/>
        <w:tabs>
          <w:tab w:leader="none" w:pos="124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Although the Approved Electronic Platform and its primary web portal are secured with generally-applicable security procedures and policies implemented or modified by the Administrative Agent from time to time (including, as of the Closing Date, a dual firewall and a user ID/password authorization system) and the Approved Electronic Platform is secured through a single user-per-deal authorization method whereby each user may access the Approved Electronic Platform only on a deal-by-deal basis, each of the parties hereto acknowledges and agrees that the distribution of material through an electronic medium is not necessarily secure and that there are confidentiality and other risks associated with such distribution. In consideration for the convenience and other benefits afforded by such distribution and for the other consideration provided hereunder, the receipt and sufficiency of which is hereby acknowledged, each of the parties hereto hereby approves distribution of the Communications through the Approved Electronic Platform and understands and assumes the risks of such distribution.</w:t>
      </w:r>
    </w:p>
    <w:p>
      <w:pPr>
        <w:spacing w:after="0" w:line="191" w:lineRule="exact"/>
        <w:rPr>
          <w:rFonts w:ascii="Times New Roman" w:cs="Times New Roman" w:eastAsia="Times New Roman" w:hAnsi="Times New Roman"/>
          <w:sz w:val="18"/>
          <w:szCs w:val="18"/>
          <w:color w:val="auto"/>
        </w:rPr>
      </w:pPr>
    </w:p>
    <w:p>
      <w:pPr>
        <w:jc w:val="both"/>
        <w:ind w:right="20" w:firstLine="987"/>
        <w:spacing w:after="0" w:line="254" w:lineRule="auto"/>
        <w:tabs>
          <w:tab w:leader="none" w:pos="1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APPROVED ELECTRONIC PLATFORM AND THE COMMUNICATIONS ARE PROVIDED “AS IS” AND “AS AVAILABLE”. NONE OF THE ADMINISTRATIVE AGENT OR ANY AFFILIATE THEREOF WARRANTS THE ACCURACY, ADEQUACY OR COMPLETENESS OF THE COMMUNICATIONS OR THE APPROVED ELECTRONIC PLATFORM AND EACH EXPRESSLY DISCLAIMS ANY LIABILITY FOR ERRORS OR OMISSIONS IN THE APPROVED ELECTRONIC COMMUNICATIONS OR THE APPROVED ELECTRONIC PLATFORM. NO WARRANTY OF ANY KIND, EXPRESS, IMPLIED OR STATUTORY, INCLUDING ANY WARRANTY OF MERCHANTABILITY, FITNESS FOR A PARTICULAR PURPOSE, NON-INFRINGEMENT OF THIRD PARTY RIGHTS OR FREEDOM FROM VIRUSES OR OTHER CODE DEFECTS, IS MADE BY THE ADMINISTRATIVE AGENT IN CONNECTION WITH THE COMMUNICATIONS OR THE APPROVED ELECTRONIC PLATFORM.</w:t>
      </w:r>
    </w:p>
    <w:p>
      <w:pPr>
        <w:spacing w:after="0" w:line="191"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5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agrees that the Administrative Agent may, but (except as may be required by applicable law) shall not be obligated to, store the Communications on the Approved Electronic Platform in accordance with the Administrative Agent’s generally-applicable document retention procedures and policies.</w:t>
      </w:r>
    </w:p>
    <w:p>
      <w:pPr>
        <w:spacing w:after="0" w:line="176" w:lineRule="exact"/>
        <w:rPr>
          <w:sz w:val="20"/>
          <w:szCs w:val="20"/>
          <w:color w:val="auto"/>
        </w:rPr>
      </w:pPr>
    </w:p>
    <w:p>
      <w:pPr>
        <w:jc w:val="both"/>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No Waiver; Cumulative Remedies</w:t>
      </w:r>
      <w:r>
        <w:rPr>
          <w:rFonts w:ascii="Times New Roman" w:cs="Times New Roman" w:eastAsia="Times New Roman" w:hAnsi="Times New Roman"/>
          <w:sz w:val="18"/>
          <w:szCs w:val="18"/>
          <w:color w:val="auto"/>
        </w:rPr>
        <w:t>.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or thereunder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3"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Payment of Expenses; Limitation of Liability; 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58" w:lineRule="auto"/>
        <w:tabs>
          <w:tab w:leader="none" w:pos="12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The Company agrees (a) to pay or reimburse the Administrative Agent and the Arrangers for all their reasonable out-of-pocket costs and expenses incurred in connection with the development, preparation and execution of, and any amendment, supplement or modification to, this Agreement and the other Loan Documents and any other documents prepared in connection herewith or therewith, the syndication of the Facility, the consummation and administration of the transactions contemplated hereby and thereby and any amendment or waiver with respect thereto, including (i) the reasonable fees and out-of-pocket disbursements of Simpson Thacher &amp; Bartlett LLP, 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20"/>
          </w:cols>
          <w:pgMar w:left="440" w:top="270" w:right="439" w:bottom="1440" w:gutter="0" w:footer="0" w:header="0"/>
        </w:sectPr>
      </w:pPr>
    </w:p>
    <w:bookmarkStart w:id="74" w:name="page75"/>
    <w:bookmarkEnd w:id="74"/>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one additional local counsel in each relevant jurisdiction for the Administrative Agent and, in the event of a conflict, one separate counsel (and one local counsel in each relevant jurisdiction) for all persons similarly situated as required to address such conflict, (ii) filing and recording fees and expenses and (iii) the charges of IntraLinks, (b) to pay or reimburse the Administrative Agent for all its reasonable out-of-pocket costs and expenses incurred in connection with the enforcement or preservation of any rights under this Agreement and the other Loan Documents, including the reasonable fees and out-of-pocket disbursements and other charges of one primary counsel to the Administrative Agent, one additional local counsel in each relevant jurisdiction which counsel shall act on behalf of all Lenders and the Administrative Agent and, in the event of a conflict, one separate counsel (and one local counsel in each relevant jurisdiction) for all persons similarly situated as required to address such conflict and (c) to pay, indemnify or reimburse each Lender and the Administrative Agent for, and hold each Lender and the Administrative Agent harmless from, any and all recording and filing fees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and the other Loan Documents.</w:t>
      </w:r>
    </w:p>
    <w:p>
      <w:pPr>
        <w:spacing w:after="0" w:line="192" w:lineRule="exact"/>
        <w:rPr>
          <w:sz w:val="20"/>
          <w:szCs w:val="20"/>
          <w:color w:val="auto"/>
        </w:rPr>
      </w:pPr>
    </w:p>
    <w:p>
      <w:pPr>
        <w:jc w:val="both"/>
        <w:ind w:firstLine="987"/>
        <w:spacing w:after="0" w:line="256" w:lineRule="auto"/>
        <w:tabs>
          <w:tab w:leader="none" w:pos="124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To the extent permitted by applicable law, no party hereto shall assert, and each such party hereby waives, any Liability against any other party hereto, on any theory of liability, for any special, indirect, consequential or punitive damages (including any loss of profits, business or anticipated savings) arising out of, in connection with, or as a result of this Agreement or the use or the proposed use of proceeds thereof and the other Loan Documents; provided, that this Section 10.5(b) shall not limit the Loan Parties’ indemnification obligations set forth above to the extent the relevant, special, indirect, consequential or punitive damages are included in any third party claim in connection with which the relevant Indemnitee is entitled to indemnification hereunder.</w:t>
      </w:r>
    </w:p>
    <w:p>
      <w:pPr>
        <w:spacing w:after="0" w:line="187" w:lineRule="exact"/>
        <w:rPr>
          <w:rFonts w:ascii="Times New Roman" w:cs="Times New Roman" w:eastAsia="Times New Roman" w:hAnsi="Times New Roman"/>
          <w:sz w:val="18"/>
          <w:szCs w:val="18"/>
          <w:color w:val="auto"/>
        </w:rPr>
      </w:pPr>
    </w:p>
    <w:p>
      <w:pPr>
        <w:jc w:val="both"/>
        <w:ind w:firstLine="987"/>
        <w:spacing w:after="0" w:line="253" w:lineRule="auto"/>
        <w:tabs>
          <w:tab w:leader="none" w:pos="12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Company shall pay, indemnify or reimburse each Lender, the Administrative Agent, their respective affiliates, and their respective officers, directors, partners, employees, advisors, agents, controlling persons and trustees (each,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for, and hold each Indemnitee harmless from and against any and all liabilities, obligations, losses, damages, penalties, actions, judgments, suits, costs, expenses or disbursements of any kind or nature whatsoever (other than with respect to Taxes, which shall be governed exclusively by Section 2.21 or with respect to the costs, losses or expenses which are of the type covered by Section 2.20 or Section 2.22) in respect of the financing contemplated by this Agreement or the use or the proposed use of proceeds thereof, and the other Loan Documents (all the foregoing, collectively, the “</w:t>
      </w:r>
      <w:r>
        <w:rPr>
          <w:rFonts w:ascii="Times New Roman" w:cs="Times New Roman" w:eastAsia="Times New Roman" w:hAnsi="Times New Roman"/>
          <w:sz w:val="18"/>
          <w:szCs w:val="18"/>
          <w:u w:val="single" w:color="auto"/>
          <w:color w:val="auto"/>
        </w:rPr>
        <w:t>Indemnified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have no obligation hereunder to any Indemnitee with respect to Indemnified Liabilities to the extent such Indemnified Liabilities resulted from (i) the gross negligence or willful misconduct of such Indemnitee as determined by a court of competent jurisdiction in a final and non-appealable judgment, (ii) a material breach of the Loan Documents, by, such Indemnitee, any of its affiliates or its or their respective officers, directors, partners, employees, advisors, agents, controlling persons or trustees as determined by a court of competent jurisdiction in a final and non-appealable judgment or (iii) any dispute solely among Indemnitees not arising out of any act or omission of the Company or any of its affiliates (other than disputes involving claims against any Indemnitee in its capacity as, or fulfilling its role as, the Administrative Agent or an Arranger or similar role in respect of the transactions contemplated hereby).</w:t>
      </w:r>
    </w:p>
    <w:p>
      <w:pPr>
        <w:spacing w:after="0" w:line="187" w:lineRule="exact"/>
        <w:rPr>
          <w:rFonts w:ascii="Times New Roman" w:cs="Times New Roman" w:eastAsia="Times New Roman" w:hAnsi="Times New Roman"/>
          <w:sz w:val="18"/>
          <w:szCs w:val="18"/>
          <w:color w:val="auto"/>
        </w:rPr>
      </w:pPr>
    </w:p>
    <w:p>
      <w:pPr>
        <w:jc w:val="both"/>
        <w:ind w:firstLine="987"/>
        <w:spacing w:after="0" w:line="258" w:lineRule="auto"/>
        <w:tabs>
          <w:tab w:leader="none" w:pos="125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such amounts are being contested in good faith by the Company, all amounts due under this Section 10.5 shall be payable not later than 45 Business Days after the party to whom such amount is owed has provided a statement or invoice therefor, setting forth in reasonable detail, the amount due and the relevant provision of this Section 10.5 under which such amount is payable by the Company and any other Borrower. For purposes of the preceding sentence, it is understood and agreed that the Company may ask for reasonable supporting documentation to support any request to reimburse or pay out-of-pocket expenses, legal fees and disbursements, that the grace period to pay any such amounts shall</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20"/>
          </w:cols>
          <w:pgMar w:left="440" w:top="270" w:right="439" w:bottom="1440" w:gutter="0" w:footer="0" w:header="0"/>
        </w:sectPr>
      </w:pPr>
    </w:p>
    <w:bookmarkStart w:id="75" w:name="page76"/>
    <w:bookmarkEnd w:id="75"/>
    <w:p>
      <w:pPr>
        <w:jc w:val="both"/>
        <w:ind w:left="4"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 commence until such supporting documentation has been received by the Company and that out-of-pocket expenses that are reimbursable by the Company are limited to those that are consistent with the Company’s then prevailing policies and procedures for reimbursement of expenses. The Company agrees to provide upon request by any party that may be entitled to expense reimbursement hereunder, on a confidential basis, a written statement setting forth those portions of its then prevailing policies and procedures that are relevant to obtaining expense reimbursement hereunder. Statements payable by the Company pursuant to this Section 10.5 shall be submitted to the Company at the address of the Company set forth in Section 10.2, or to such other Person or address as may be hereafter designated by the Company in a written notice to the Administrative Agent.</w:t>
      </w:r>
    </w:p>
    <w:p>
      <w:pPr>
        <w:spacing w:after="0" w:line="187" w:lineRule="exact"/>
        <w:rPr>
          <w:sz w:val="20"/>
          <w:szCs w:val="20"/>
          <w:color w:val="auto"/>
        </w:rPr>
      </w:pPr>
    </w:p>
    <w:p>
      <w:pPr>
        <w:jc w:val="both"/>
        <w:ind w:left="4" w:firstLine="987"/>
        <w:spacing w:after="0" w:line="254" w:lineRule="auto"/>
        <w:tabs>
          <w:tab w:leader="none" w:pos="127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in this Section 10.5 shall survive the repayment of the Loans and all other amounts payable hereunder. Without limiting the foregoing, and to the extent permitted by applicable law, the Company agrees not to assert, and to cause each of the Subsidiary Guarantors not to assert, and hereby waives, and agrees to cause each of the Subsidiary Guarantors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unless the same shall have resulted from the gross negligence or willful misconduct of, or material breach of the Loan Documents by, such Indemnitee, any of its affiliates or its or their respective officers, directors, partners, employees, advisors, agents, controlling persons or trustees as determined by a court of competent jurisdiction in a final and non-appealable judgment.</w:t>
      </w:r>
    </w:p>
    <w:p>
      <w:pPr>
        <w:spacing w:after="0" w:line="192" w:lineRule="exact"/>
        <w:rPr>
          <w:sz w:val="20"/>
          <w:szCs w:val="20"/>
          <w:color w:val="auto"/>
        </w:rPr>
      </w:pPr>
    </w:p>
    <w:p>
      <w:pPr>
        <w:jc w:val="both"/>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Successors and Assigns; Participations and Assignments.</w:t>
      </w:r>
      <w:r>
        <w:rPr>
          <w:rFonts w:ascii="Times New Roman" w:cs="Times New Roman" w:eastAsia="Times New Roman" w:hAnsi="Times New Roman"/>
          <w:sz w:val="18"/>
          <w:szCs w:val="18"/>
          <w:color w:val="auto"/>
        </w:rPr>
        <w:t xml:space="preserve"> (a) The provisions of this Agreement shall be binding upon and inure to the benefit of the parties hereto and their respective successors and assigns permitted hereby, except that (i) other than pursuant to Section 7.4, neither the Company nor any Subsidiary Borrower may assign or otherwise transfer any of its rights or obligations hereunder without the prior written consent of each Lender (and any attempted assignment or transfer by the Company or any Subsidiary Borrower without such consent shall be null and void) and</w:t>
      </w:r>
    </w:p>
    <w:p>
      <w:pPr>
        <w:spacing w:after="0" w:line="3" w:lineRule="exact"/>
        <w:rPr>
          <w:sz w:val="20"/>
          <w:szCs w:val="20"/>
          <w:color w:val="auto"/>
        </w:rPr>
      </w:pPr>
    </w:p>
    <w:p>
      <w:pPr>
        <w:ind w:left="264" w:hanging="264"/>
        <w:spacing w:after="0"/>
        <w:tabs>
          <w:tab w:leader="none" w:pos="26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Lender may assign or otherwise transfer its rights or obligations hereunder except in accordance with this Section 10.6.</w:t>
      </w:r>
    </w:p>
    <w:p>
      <w:pPr>
        <w:spacing w:after="0" w:line="206" w:lineRule="exact"/>
        <w:rPr>
          <w:rFonts w:ascii="Times New Roman" w:cs="Times New Roman" w:eastAsia="Times New Roman" w:hAnsi="Times New Roman"/>
          <w:sz w:val="18"/>
          <w:szCs w:val="18"/>
          <w:color w:val="auto"/>
        </w:rPr>
      </w:pPr>
    </w:p>
    <w:p>
      <w:pPr>
        <w:jc w:val="both"/>
        <w:ind w:left="4" w:firstLine="987"/>
        <w:spacing w:after="0" w:line="261" w:lineRule="auto"/>
        <w:tabs>
          <w:tab w:leader="none" w:pos="1255"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Subject to the conditions set forth in paragraph (b)(ii) below and subject to advance notice to the Company, any Lender may assign to one or more assignees (other than the Company or any affiliate of the Company or any natural person) (each, an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all or a portion of its rights and obligations under this Agreement (including all or a portion of its Commitments and the Loans at the time owing to it) with the prior written consent (in each case, not to be unreasonably withheld or delayed) of:</w:t>
      </w:r>
    </w:p>
    <w:p>
      <w:pPr>
        <w:spacing w:after="0" w:line="71" w:lineRule="exact"/>
        <w:rPr>
          <w:rFonts w:ascii="Times New Roman" w:cs="Times New Roman" w:eastAsia="Times New Roman" w:hAnsi="Times New Roman"/>
          <w:sz w:val="18"/>
          <w:szCs w:val="18"/>
          <w:color w:val="auto"/>
        </w:rPr>
      </w:pPr>
    </w:p>
    <w:p>
      <w:pPr>
        <w:jc w:val="both"/>
        <w:ind w:left="984" w:right="20" w:firstLine="910"/>
        <w:spacing w:after="0" w:line="266" w:lineRule="auto"/>
        <w:tabs>
          <w:tab w:leader="none" w:pos="2149"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(unless such assignment is to a Lender to which any two or more of the following ratings have been issued by the relevant rating agency: (a) in the case of S&amp;P, at least BBB; (b) in the case of Moody’s, at least Baa2; and (c) in the case of Fitch, at least BBB); and</w:t>
      </w:r>
    </w:p>
    <w:p>
      <w:pPr>
        <w:spacing w:after="0" w:line="67" w:lineRule="exact"/>
        <w:rPr>
          <w:rFonts w:ascii="Times New Roman" w:cs="Times New Roman" w:eastAsia="Times New Roman" w:hAnsi="Times New Roman"/>
          <w:sz w:val="18"/>
          <w:szCs w:val="18"/>
          <w:color w:val="auto"/>
        </w:rPr>
      </w:pPr>
    </w:p>
    <w:p>
      <w:pPr>
        <w:ind w:left="2144" w:hanging="250"/>
        <w:spacing w:after="0"/>
        <w:tabs>
          <w:tab w:leader="none" w:pos="2144"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(x) no consent provided for in clause (2) above shall be required for an assignment to a Lender or an affiliate thereof and</w:t>
      </w:r>
    </w:p>
    <w:p>
      <w:pPr>
        <w:spacing w:after="0" w:line="27" w:lineRule="exact"/>
        <w:rPr>
          <w:sz w:val="20"/>
          <w:szCs w:val="20"/>
          <w:color w:val="auto"/>
        </w:rPr>
      </w:pPr>
    </w:p>
    <w:p>
      <w:pPr>
        <w:ind w:left="984" w:firstLine="7"/>
        <w:spacing w:after="0" w:line="260" w:lineRule="auto"/>
        <w:tabs>
          <w:tab w:leader="none" w:pos="125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of the Company provided for in clause (1) above shall be required if an Event of Default under Section 8(a) or (e) has occurred and is continuing.</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24"/>
          </w:cols>
          <w:pgMar w:left="436" w:top="270" w:right="439" w:bottom="1440" w:gutter="0" w:footer="0" w:header="0"/>
        </w:sectPr>
      </w:pPr>
    </w:p>
    <w:bookmarkStart w:id="76" w:name="page77"/>
    <w:bookmarkEnd w:id="76"/>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no Lender shall be permitted to assign any of its rights and obligations under this Agreement (including all or a portion of its Commitments and the Loans at the time owing to it) to an Ineligible Assignee without the consent of the Company, which consent may be withheld in its sole discretion.</w:t>
      </w:r>
    </w:p>
    <w:p>
      <w:pPr>
        <w:spacing w:after="0" w:line="68" w:lineRule="exact"/>
        <w:rPr>
          <w:sz w:val="20"/>
          <w:szCs w:val="20"/>
          <w:color w:val="auto"/>
        </w:rPr>
      </w:pPr>
    </w:p>
    <w:p>
      <w:pPr>
        <w:ind w:left="1120" w:hanging="261"/>
        <w:spacing w:after="0"/>
        <w:tabs>
          <w:tab w:leader="none" w:pos="11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Assignments shall be subject to the following additional conditions:</w:t>
      </w:r>
    </w:p>
    <w:p>
      <w:pPr>
        <w:spacing w:after="0" w:line="117" w:lineRule="exact"/>
        <w:rPr>
          <w:rFonts w:ascii="Times New Roman" w:cs="Times New Roman" w:eastAsia="Times New Roman" w:hAnsi="Times New Roman"/>
          <w:sz w:val="18"/>
          <w:szCs w:val="18"/>
          <w:color w:val="auto"/>
        </w:rPr>
      </w:pPr>
    </w:p>
    <w:p>
      <w:pPr>
        <w:jc w:val="both"/>
        <w:ind w:left="980" w:firstLine="408"/>
        <w:spacing w:after="0" w:line="256" w:lineRule="auto"/>
        <w:tabs>
          <w:tab w:leader="none" w:pos="1692"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an assignment to a Lender, an affiliate of a Lender or an Approved Fund or an assignment of the entire remaining amount of the assigning Lender’s Commitments and Loans, the amount of the Commitments and Loans of the assigning Lender subject to each such assignment (determined as of the date the Assignment and Assumption with respect to such assignment is delivered to the Administrative Agent) shall not be less than $10 million, unless each of the Company and the Administrative Agent otherwise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(1) no such consent of the Company shall be required if an Event of Default under Section 8(a) or (e) has occurred and is continuing and (2) such amounts shall be aggregated in respect of each Lender and its affiliates or Approved Funds, if any;</w:t>
      </w:r>
    </w:p>
    <w:p>
      <w:pPr>
        <w:spacing w:after="0" w:line="79" w:lineRule="exact"/>
        <w:rPr>
          <w:rFonts w:ascii="Times New Roman" w:cs="Times New Roman" w:eastAsia="Times New Roman" w:hAnsi="Times New Roman"/>
          <w:sz w:val="18"/>
          <w:szCs w:val="18"/>
          <w:color w:val="auto"/>
        </w:rPr>
      </w:pPr>
    </w:p>
    <w:p>
      <w:pPr>
        <w:jc w:val="both"/>
        <w:ind w:left="980" w:right="20" w:firstLine="408"/>
        <w:spacing w:after="0" w:line="258" w:lineRule="auto"/>
        <w:tabs>
          <w:tab w:leader="none" w:pos="1683"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each assignment (or, in the case of an assignment made pursuant to the exercise of the Company’s rights under Section 2.24, the Administrative Agent, as agent for the assigning Lender, and the Assignee) shall execute and deliver to the Administrative Agent an Assignment and Assumption, together with a processing and recordation fee of $3,500 (which shall be paid by the assigning Lender or the Assignee or, in the case of an assignment made pursuant to the exercise of the Company’s rights under Section 2.24, by the assigning Lender, the Assignee, or the Company); and</w:t>
      </w:r>
    </w:p>
    <w:p>
      <w:pPr>
        <w:spacing w:after="0" w:line="75"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709"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if it shall not be a Lender, shall deliver to the Administrative Agent and the Company an administrative questionnaire.</w:t>
      </w:r>
    </w:p>
    <w:p>
      <w:pPr>
        <w:spacing w:after="0" w:line="53" w:lineRule="exact"/>
        <w:rPr>
          <w:rFonts w:ascii="Times New Roman" w:cs="Times New Roman" w:eastAsia="Times New Roman" w:hAnsi="Times New Roman"/>
          <w:sz w:val="18"/>
          <w:szCs w:val="18"/>
          <w:color w:val="auto"/>
        </w:rPr>
      </w:pPr>
    </w:p>
    <w:p>
      <w:pPr>
        <w:jc w:val="both"/>
        <w:ind w:left="440" w:firstLine="419"/>
        <w:spacing w:after="0" w:line="254" w:lineRule="auto"/>
        <w:tabs>
          <w:tab w:leader="none" w:pos="119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2.20, 2.21, 2.22 and 10.5 with respect to facts and circumstances occurring prior to the effective date of such assignment).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(c) of this Section 10.6.</w:t>
      </w:r>
    </w:p>
    <w:p>
      <w:pPr>
        <w:spacing w:after="0" w:line="80" w:lineRule="exact"/>
        <w:rPr>
          <w:rFonts w:ascii="Times New Roman" w:cs="Times New Roman" w:eastAsia="Times New Roman" w:hAnsi="Times New Roman"/>
          <w:sz w:val="18"/>
          <w:szCs w:val="18"/>
          <w:color w:val="auto"/>
        </w:rPr>
      </w:pPr>
    </w:p>
    <w:p>
      <w:pPr>
        <w:jc w:val="both"/>
        <w:ind w:left="440" w:right="20" w:firstLine="419"/>
        <w:spacing w:after="0" w:line="256" w:lineRule="auto"/>
        <w:tabs>
          <w:tab w:leader="none" w:pos="116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for this purpose as a non-fiduciary agent of the Company, shall maintain at one of its offices a copy of each Assignment and Assumption delivered to it and a register for the recordation of the names and addresses of the Lenders, and the Commitments of, and principal amount of and interest on the Loans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Subject to the last sentence of (b)(iii) above, the entries in the Register shall be conclusive in the absence of manifest error, and the Company, the Administrative Agent and the Lenders shall treat each Person whose name is recorded in the Register pursuant to the terms hereof as a Lender hereunder for all purposes of this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20"/>
          </w:cols>
          <w:pgMar w:left="440" w:top="270" w:right="439" w:bottom="1440" w:gutter="0" w:footer="0" w:header="0"/>
        </w:sectPr>
      </w:pPr>
    </w:p>
    <w:bookmarkStart w:id="77" w:name="page78"/>
    <w:bookmarkEnd w:id="77"/>
    <w:p>
      <w:pPr>
        <w:jc w:val="both"/>
        <w:ind w:left="440"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notice to the contrary. The Register shall be available for inspection by the Company or any Lender at any reasonable time and from time to time upon reasonable prior notice. The Administrative Agent shall provide a copy of the Register to the Company upon its request at any time and from time to time by electronic communication.</w:t>
      </w:r>
    </w:p>
    <w:p>
      <w:pPr>
        <w:spacing w:after="0" w:line="68" w:lineRule="exact"/>
        <w:rPr>
          <w:sz w:val="20"/>
          <w:szCs w:val="20"/>
          <w:color w:val="auto"/>
        </w:rPr>
      </w:pPr>
    </w:p>
    <w:p>
      <w:pPr>
        <w:jc w:val="both"/>
        <w:ind w:left="440" w:firstLine="419"/>
        <w:spacing w:after="0" w:line="274" w:lineRule="auto"/>
        <w:tabs>
          <w:tab w:leader="none" w:pos="1135"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its receipt of a duly completed Assignment and Assumption executed by an assigning Lender (or, in the case of an assignment made pursuant to the exercise of the Company’s rights under Section 2.24, the Administrative Agent, as agent for the assigning Lender) and an Assignee, the Assignee’s completed administrative questionnaire (unless the Assignee shall already be a Lender hereunder), the processing and recordation fee referred to in paragraph (b) of this Section 10.6 and any written consent to such assignment required by paragraph (b) of this Section 10.6,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72" w:lineRule="exact"/>
        <w:rPr>
          <w:rFonts w:ascii="Times New Roman" w:cs="Times New Roman" w:eastAsia="Times New Roman" w:hAnsi="Times New Roman"/>
          <w:sz w:val="17"/>
          <w:szCs w:val="17"/>
          <w:color w:val="auto"/>
        </w:rPr>
      </w:pPr>
    </w:p>
    <w:p>
      <w:pPr>
        <w:jc w:val="both"/>
        <w:ind w:firstLine="987"/>
        <w:spacing w:after="0" w:line="251" w:lineRule="auto"/>
        <w:tabs>
          <w:tab w:leader="none" w:pos="123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Lender may, without the consent of the Company or the Administrative Agent, sell participations to one or more banks or other entities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(including all or a portion of its Commitments and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(C) the Loan Parties, the Administrative Agent and the other Lenders shall continue to deal solely and directly with such Lender in connection with such Lender’s rights and obligations under this Agreement and the other Loan Documents, (D) such Participant shall not be an Ineligible Participant, and (E) no later than January 31 of each year, such Lender shall provide the Company with a written description of each participation of Loans and/or Commitments by such Lender during the prior year (it being understood that any failure to provide notice shall not render the participation invalid). Any agreement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agreement may provide that such Lender will not, without the consent of the Participant, agree to any amendment, modification or waiver that (1) requires the consent of each Lender directly and adversely affected thereby pursuant to clause (A) of the proviso to the second sentence of Section 10.1(a) and (2) directly and adversely affects such Participant. Subject to paragraph (c)(ii) of this Section 10.6, the Company agrees that each Participant shall be entitled to the benefits of Sections 2.20, 2.21 and 2.22 to the same extent as if it were a Lender and had acquired its interest by assignment pursuant to paragraph (b) of this Section 10.6. Each Lender that sells a participation, acting solely for this purpose as a non-fiduciary agent of the Company, shall maintain a register on which it enters the name and address of each Participant and the principal amounts (and stated interest) of each Participant’s interest in the Loans or other obligations under this Agreement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Lender shall have any obligation to disclose all or any portion of the Participant Register to any Person (including the identity of any Participant or any information relating to a Participant’s interest in any Loans or its other obligations under this Agreement) except to the extent that such disclosure is necessary to establish that such Loan or other obligation is in registered form under Section 5f.103-1(c) of the United States Treasury Regulations. The entries in the Participant Register shall be conclusive in the absence of manifest error, and such Lender, the Company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98" w:lineRule="exact"/>
        <w:rPr>
          <w:sz w:val="20"/>
          <w:szCs w:val="20"/>
          <w:color w:val="auto"/>
        </w:rPr>
      </w:pPr>
    </w:p>
    <w:p>
      <w:pPr>
        <w:jc w:val="both"/>
        <w:ind w:left="440" w:right="20" w:firstLine="419"/>
        <w:spacing w:after="0" w:line="266" w:lineRule="auto"/>
        <w:tabs>
          <w:tab w:leader="none" w:pos="112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shall not be entitled to receive any greater payment under Section 2.20 or 2.21 than the applicable Lender would have been entitled to receive with respect to the participation sold to such Participant. A Participant shall not be entitled to receive any funds directly from the Company in respect of Sections 2.20, 2.21, 2.22 or 10.7 unless such Participant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20"/>
          </w:cols>
          <w:pgMar w:left="440" w:top="270" w:right="439" w:bottom="1440" w:gutter="0" w:footer="0" w:header="0"/>
        </w:sectPr>
      </w:pPr>
    </w:p>
    <w:bookmarkStart w:id="78" w:name="page79"/>
    <w:bookmarkEnd w:id="78"/>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have provided to Administrative Agent, acting for this purpose as an agent of the Company, such information as is required to be recorded in the Register pursuant to paragraph (b)(iv) above as if such Participant were a Lender. Any Participant shall not be entitled to the benefits of Section 2.21 unless such Participant complies with Sections 2.21(c), 2.21(d) and 2.21(e) as though it were a Lender.</w:t>
      </w:r>
    </w:p>
    <w:p>
      <w:pPr>
        <w:spacing w:after="0" w:line="176" w:lineRule="exact"/>
        <w:rPr>
          <w:sz w:val="20"/>
          <w:szCs w:val="20"/>
          <w:color w:val="auto"/>
        </w:rPr>
      </w:pPr>
    </w:p>
    <w:p>
      <w:pPr>
        <w:jc w:val="both"/>
        <w:ind w:firstLine="987"/>
        <w:spacing w:after="0" w:line="258" w:lineRule="auto"/>
        <w:tabs>
          <w:tab w:leader="none" w:pos="124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without the consent of the Company or the Administrative Agent at any time pledge or assign a security interest in all or any portion of its rights under this Agreement to secure obligations of such Lender, including any pledge or assignment to secure such Lender’s obligations to a Federal Reserve Bank or any central bank having jurisdiction over such Lender, and this Section 10.6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pledge or assignment of a security interest shall release a Lender from any of its obligations hereunder or substitute any such pledgee or Assignee for such Lender as a party hereto.</w:t>
      </w:r>
    </w:p>
    <w:p>
      <w:pPr>
        <w:spacing w:after="0" w:line="183" w:lineRule="exact"/>
        <w:rPr>
          <w:rFonts w:ascii="Times New Roman" w:cs="Times New Roman" w:eastAsia="Times New Roman" w:hAnsi="Times New Roman"/>
          <w:sz w:val="18"/>
          <w:szCs w:val="18"/>
          <w:color w:val="auto"/>
        </w:rPr>
      </w:pPr>
    </w:p>
    <w:p>
      <w:pPr>
        <w:jc w:val="both"/>
        <w:ind w:firstLine="987"/>
        <w:spacing w:after="0" w:line="256" w:lineRule="auto"/>
        <w:tabs>
          <w:tab w:leader="none" w:pos="125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assignment pursuant hereto, the assigning Lender shall surrender the Note held by it and the Company shall, upon the request to the Administrative Agent by the assigning Lender or the Assignee, as applicable, execute and deliver to the Administrative Agent (in exchange for the outstanding Note of the assigning Lender) a new Note to the order of such assigning Lender or Assignee, as applicable, in the amount equal to the amount of such assigning Lender’s or Assignee’s, as applicable, Commitment to it after giving effect to its applicable assignment (or if the Commitments have terminated, the Loan of such party). Any Notes surrendered by the assigning Lender shall be returned by the Administrative Agent to the Company marked “cancelled.”</w:t>
      </w:r>
    </w:p>
    <w:p>
      <w:pPr>
        <w:spacing w:after="0" w:line="187"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If any Lender (a “</w:t>
      </w:r>
      <w:r>
        <w:rPr>
          <w:rFonts w:ascii="Times New Roman" w:cs="Times New Roman" w:eastAsia="Times New Roman" w:hAnsi="Times New Roman"/>
          <w:sz w:val="18"/>
          <w:szCs w:val="18"/>
          <w:u w:val="single" w:color="auto"/>
          <w:color w:val="auto"/>
        </w:rPr>
        <w:t>Benefitted Lender</w:t>
      </w:r>
      <w:r>
        <w:rPr>
          <w:rFonts w:ascii="Times New Roman" w:cs="Times New Roman" w:eastAsia="Times New Roman" w:hAnsi="Times New Roman"/>
          <w:sz w:val="18"/>
          <w:szCs w:val="18"/>
          <w:color w:val="auto"/>
        </w:rPr>
        <w:t xml:space="preserve">”) shall, at any time after the Loans and all other amounts payable hereunder shall have become due and payable (whether at the stated maturity, by acceleration or otherwise), receive any payment of all or part of the Obligations owing to it (other than in connection with an assignment made pursuant to Section 10.6), or receive any collateral in respect thereof (whether voluntarily or involuntarily, by set off, pursuant to events or proceedings of the nature referred to in Section 8(e), or otherwise), in a greater proportion than any such payment to or collateral received by any other Lender, if any, in respect of the Obligations owing to such other Lender, such Benefitted Lender shall purchase for cash in Dollars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all or any portion of such excess payment or benefits is thereafter recovered from such Benefitted Lender, such purchase shall be rescinded, and the purchase price and benefits returned, to the extent of such recovery, but without interest.</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Counterparts; Electronic Execution.</w:t>
      </w:r>
    </w:p>
    <w:p>
      <w:pPr>
        <w:spacing w:after="0" w:line="225" w:lineRule="exact"/>
        <w:rPr>
          <w:sz w:val="20"/>
          <w:szCs w:val="20"/>
          <w:color w:val="auto"/>
        </w:rPr>
      </w:pPr>
    </w:p>
    <w:p>
      <w:pPr>
        <w:jc w:val="both"/>
        <w:ind w:firstLine="987"/>
        <w:spacing w:after="0" w:line="261" w:lineRule="auto"/>
        <w:tabs>
          <w:tab w:leader="none" w:pos="12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Company and the Administrative Agent.</w:t>
      </w:r>
    </w:p>
    <w:p>
      <w:pPr>
        <w:spacing w:after="0" w:line="179"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4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an executed counterpart of a signature page of (x) this Agreement, (y) any other Loan Documents and/or (z) any document, amendment, approval, consent, information, notice (including, for the avoidance of doubt, any notice delivered pursuant to Section 10.2), certificate, request, statement, disclosure or authorization related to this Agreement, any other Loan Documents and/or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20"/>
          </w:cols>
          <w:pgMar w:left="440" w:top="270" w:right="439" w:bottom="1440" w:gutter="0" w:footer="0" w:header="0"/>
        </w:sectPr>
      </w:pPr>
    </w:p>
    <w:bookmarkStart w:id="79" w:name="page80"/>
    <w:bookmarkEnd w:id="79"/>
    <w:p>
      <w:pPr>
        <w:jc w:val="both"/>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transactions contemplated hereby and/or thereby (each an “</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that is an Electronic Signature transmitted by telecopy, emailed pdf. or any other electronic means that reproduces an image of an actual executed signature page shall be effective as delivery of a manually executed counterpart of this Agreement, such other Loan Documents or such Ancillary Document, as applicable. The words “execution,” “signed,” “signature,” “delivery,” and words of like import in or relating to this Agreement, any other Loan Documents and/or any Ancillary Document shall be deemed to include an electronic symbol or process attached to a contract or other record and adopted by a Person with the intent to sign, authenticate or accept such contract or record (each an “</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Without limiting the generality of the foregoing, (i) to the extent the Administrative Agent has agreed to accept any Electronic Signature, the Administrative Agent and each of the Lenders shall be entitled to rely on such Electronic Signature purportedly given by or on behalf of the Company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Borrower and each Loan Party hereby (i) agrees that, for all purposes, including without limitation, in connection with any workout, restructuring, enforcement of remedies, bankruptcy proceedings or litigation among the Administrative Agent, the Lenders, the Borrowers and the Loan Parties, Electronic Signatures transmitted by telecopy, emailed pdf. or any other electronic means that reproduces an image of an actual executed signature page and/or any electronic images of this Agreement, any other Loan Documents and/or any Ancillary Document shall have the same legal effect, validity and enforceability as any paper original, (ii) the Administrative Agent and each of the Lenders may, at its option, create one or more copies of this Agreement, any other Loan Documents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Documents and/or any Ancillary Document based solely on the lack of paper original copies of this Agreement, such other Loan Document and/or such Ancillary Document, respectively, including with respect to any signature pages thereto and (iv) waives any claim against any Lender, the Administrative Agent, their respective affiliates, and their respective officers, directors, partners, employees, advisors, agents, controlling persons and trustees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any Borrower and/or any other Loan Party to use any available security measures in connection with the execution, delivery or transmission of any Electronic Signature.</w:t>
      </w:r>
    </w:p>
    <w:p>
      <w:pPr>
        <w:spacing w:after="0" w:line="202"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6"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and the other Loan Documents represent the entire agreement of the Borrowers, the Administrative Agent and the Lenders with respect to the subject matter hereof and thereof, and there are no promises, undertakings, representations or warranties by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20"/>
          </w:cols>
          <w:pgMar w:left="440" w:top="270"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Agent or any Lender relative to the subject matter hereof not expressly set forth or referred to herein or in the other Loan Documents.</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RIGHTS AND OBLIGATIONS OF THE PARTIES UNDER THIS AGREEMENT SHALL BE GOVERNED BY, AND CONSTRUED AND INTERPRETED IN ACCORDANCE WITH, THE LAW OF THE STATE OF NEW YORK.</w:t>
      </w:r>
    </w:p>
    <w:p>
      <w:pPr>
        <w:spacing w:after="0" w:line="176"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Submission to Jurisdiction; Waivers.</w:t>
      </w:r>
      <w:r>
        <w:rPr>
          <w:rFonts w:ascii="Times New Roman" w:cs="Times New Roman" w:eastAsia="Times New Roman" w:hAnsi="Times New Roman"/>
          <w:sz w:val="18"/>
          <w:szCs w:val="18"/>
          <w:color w:val="auto"/>
        </w:rPr>
        <w:t xml:space="preserve"> (a) Each of the Administrative Agent, the Lenders, the Company, each Subsidiary Borrower and each other Loan Party hereby irrevocably and unconditionally:</w:t>
      </w:r>
    </w:p>
    <w:p>
      <w:pPr>
        <w:spacing w:after="0" w:line="54" w:lineRule="exact"/>
        <w:rPr>
          <w:sz w:val="20"/>
          <w:szCs w:val="20"/>
          <w:color w:val="auto"/>
        </w:rPr>
      </w:pPr>
    </w:p>
    <w:p>
      <w:pPr>
        <w:jc w:val="both"/>
        <w:ind w:left="440" w:firstLine="419"/>
        <w:spacing w:after="0" w:line="261" w:lineRule="auto"/>
        <w:tabs>
          <w:tab w:leader="none" w:pos="108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located in the Borough of Manhattan, the courts of the United States for the Southern District of New York located in the Borough of Manhattan, and appellate courts from any thereof;</w:t>
      </w:r>
    </w:p>
    <w:p>
      <w:pPr>
        <w:spacing w:after="0" w:line="71" w:lineRule="exact"/>
        <w:rPr>
          <w:rFonts w:ascii="Times New Roman" w:cs="Times New Roman" w:eastAsia="Times New Roman" w:hAnsi="Times New Roman"/>
          <w:sz w:val="18"/>
          <w:szCs w:val="18"/>
          <w:color w:val="auto"/>
        </w:rPr>
      </w:pPr>
    </w:p>
    <w:p>
      <w:pPr>
        <w:jc w:val="both"/>
        <w:ind w:left="440" w:right="20" w:firstLine="419"/>
        <w:spacing w:after="0" w:line="266" w:lineRule="auto"/>
        <w:tabs>
          <w:tab w:leader="none" w:pos="112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and</w:t>
      </w:r>
    </w:p>
    <w:p>
      <w:pPr>
        <w:spacing w:after="0" w:line="6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20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to the maximum extent not prohibited by law, any right it may have to claim or recover in any legal action or proceeding referred to in this Section 10.12 any special, exemplary, punitive or consequential damages.</w:t>
      </w:r>
    </w:p>
    <w:p>
      <w:pPr>
        <w:spacing w:after="0" w:line="161" w:lineRule="exact"/>
        <w:rPr>
          <w:rFonts w:ascii="Times New Roman" w:cs="Times New Roman" w:eastAsia="Times New Roman" w:hAnsi="Times New Roman"/>
          <w:sz w:val="18"/>
          <w:szCs w:val="18"/>
          <w:color w:val="auto"/>
        </w:rPr>
      </w:pPr>
    </w:p>
    <w:p>
      <w:pPr>
        <w:jc w:val="both"/>
        <w:ind w:firstLine="987"/>
        <w:spacing w:after="0" w:line="258" w:lineRule="auto"/>
        <w:tabs>
          <w:tab w:leader="none" w:pos="1251"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Subsidiary Borrower has or hereafter may acquire any immunity (sovereign or otherwise) from any legal action, suit or proceeding, from jurisdiction of any court or from set-off or any legal process (whether service or notice, attachment prior to judgment, attachment in aid of execution of judgment, execution of judgment or otherwise) with respect to itself or any of its property, such Subsidiary Borrower hereby irrevocably waives and agrees not to plead or claim such immunity in respect of its obligations under this Agreement or any other Loan Document.</w:t>
      </w:r>
    </w:p>
    <w:p>
      <w:pPr>
        <w:spacing w:after="0" w:line="183" w:lineRule="exact"/>
        <w:rPr>
          <w:sz w:val="20"/>
          <w:szCs w:val="20"/>
          <w:color w:val="auto"/>
        </w:rPr>
      </w:pPr>
    </w:p>
    <w:p>
      <w:pPr>
        <w:jc w:val="both"/>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Judgment</w:t>
      </w:r>
      <w:r>
        <w:rPr>
          <w:rFonts w:ascii="Times New Roman" w:cs="Times New Roman" w:eastAsia="Times New Roman" w:hAnsi="Times New Roman"/>
          <w:sz w:val="18"/>
          <w:szCs w:val="18"/>
          <w:color w:val="auto"/>
        </w:rPr>
        <w:t>. The obligations of the Company or any Subsidiary Borrower in respect of this Agreement and the other Loan Documents due to any party hereto shall, notwithstanding any judgment in a currency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other than the currency in which the sum originally due to such party is denominated (the “</w:t>
      </w:r>
      <w:r>
        <w:rPr>
          <w:rFonts w:ascii="Times New Roman" w:cs="Times New Roman" w:eastAsia="Times New Roman" w:hAnsi="Times New Roman"/>
          <w:sz w:val="18"/>
          <w:szCs w:val="18"/>
          <w:u w:val="single" w:color="auto"/>
          <w:color w:val="auto"/>
        </w:rPr>
        <w:t>Original Currency</w:t>
      </w:r>
      <w:r>
        <w:rPr>
          <w:rFonts w:ascii="Times New Roman" w:cs="Times New Roman" w:eastAsia="Times New Roman" w:hAnsi="Times New Roman"/>
          <w:sz w:val="18"/>
          <w:szCs w:val="18"/>
          <w:color w:val="auto"/>
        </w:rPr>
        <w:t>”), be discharged only to the extent that on the Business Day following receipt by such party of any sum adjudged to be so due in the Judgment Currency such party may in accordance with normal banking procedures purchase the Original Currency with the Judgment Currency; if the amount of the Original Currency so purchased is less than the sum originally due under such judgment to such party in the Original Currency, the Company agrees, as a separate obligation and notwithstanding any such judgment, to indemnify such party against such loss, and if the amount of the Original Currency so purchased exceeds the sum originally due to any party to this Agreement, such party agrees to remit to the Company such excess. The provisions of this Section 10.13 shall survive the termination of this Agreement and payment of the Loans, interest and Facility Fees payable hereunder or under any other Loan Document.</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Acknowledgments</w:t>
      </w:r>
      <w:r>
        <w:rPr>
          <w:rFonts w:ascii="Times New Roman" w:cs="Times New Roman" w:eastAsia="Times New Roman" w:hAnsi="Times New Roman"/>
          <w:sz w:val="18"/>
          <w:szCs w:val="18"/>
          <w:color w:val="auto"/>
        </w:rPr>
        <w:t>. Each of the Company and the Subsidiary Borrowers hereby acknowledges that: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20"/>
          </w:cols>
          <w:pgMar w:left="440" w:top="270" w:right="439" w:bottom="1440" w:gutter="0" w:footer="0" w:header="0"/>
        </w:sectPr>
      </w:pPr>
    </w:p>
    <w:bookmarkStart w:id="81" w:name="page82"/>
    <w:bookmarkEnd w:id="81"/>
    <w:p>
      <w:pPr>
        <w:ind w:left="1240" w:hanging="253"/>
        <w:spacing w:after="0"/>
        <w:tabs>
          <w:tab w:leader="none" w:pos="12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has been advised by counsel in the negotiation, execution and delivery of this Agreement and the other Loan Documents;</w:t>
      </w:r>
    </w:p>
    <w:p>
      <w:pPr>
        <w:spacing w:after="0" w:line="225"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5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Administrative Agent or any Lender has any fiduciary relationship with or duty to the Company or any Subsidiary arising out of or in connection with this Agreement or any of the other Loan Documents, and the relationship between Administrative Agent and the Lenders, on one hand, and the Company or any Subsidiary, on the other hand, in connection herewith or therewith is solely that of debtor and creditor; and</w:t>
      </w:r>
    </w:p>
    <w:p>
      <w:pPr>
        <w:spacing w:after="0" w:line="175"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joint venture is created hereby or by the other Loan Documents or otherwise exists by virtue of the transactions contemplated hereby among the Lenders or among the Company or any Subsidiary and the Lenders.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Releases of Guarantees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58" w:lineRule="auto"/>
        <w:tabs>
          <w:tab w:leader="none" w:pos="127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or in any other Loan Document, the Administrative Agent is hereby irrevocably authorized by each Lender (without requirement of notice to or consent of any Lender except as expressly required in Section 10.1) to take, and the Administrative Agent hereby agrees to take promptly, any action requested by the Company having the effect of releasing, or evidencing the release of, any collateral or any obligations under the Guarantee (i) to the extent necessary to permit consummation of any transaction not prohibited by any Loan Document or that has been consented to in accordance with Section 10.1 or (ii) under the circumstances described in this Section 10.15.</w:t>
      </w:r>
    </w:p>
    <w:p>
      <w:pPr>
        <w:spacing w:after="0" w:line="183"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5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time as the Loans and interest and fees owing hereunder and under any other Loan Document shall have been paid in full and the Commitments have been terminated, all obligations (other than as expressly provided therein) of each Guarantor under the Guarantee shall terminate, all without delivery of any instrument or performance of any act by any person.</w:t>
      </w:r>
    </w:p>
    <w:p>
      <w:pPr>
        <w:spacing w:after="0" w:line="175"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5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guarantees of the Obligations from a Subsidiary Guarantor (including any obligations of such Subsidiary Guarantor under the Guarantee) will be automatically released if such Subsidiary Guarantor becomes an Excluded Subsidiary or for any other reason ceases to be a Subsidiary Guarantor pursuant to a transaction not otherwise prohibited by the Loan Documents.</w:t>
      </w:r>
    </w:p>
    <w:p>
      <w:pPr>
        <w:spacing w:after="0" w:line="175" w:lineRule="exact"/>
        <w:rPr>
          <w:rFonts w:ascii="Times New Roman" w:cs="Times New Roman" w:eastAsia="Times New Roman" w:hAnsi="Times New Roman"/>
          <w:sz w:val="18"/>
          <w:szCs w:val="18"/>
          <w:color w:val="auto"/>
        </w:rPr>
      </w:pPr>
    </w:p>
    <w:p>
      <w:pPr>
        <w:jc w:val="both"/>
        <w:ind w:firstLine="987"/>
        <w:spacing w:after="0" w:line="255" w:lineRule="auto"/>
        <w:tabs>
          <w:tab w:leader="none" w:pos="126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guarantees of the Obligations from a Subsidiary Guarantor (including any obligations of such Subsidiary Guarantor under the Guarantee) that is required to be a Guarantor solely because it has provided a guarantee of Material Indebtedness of the Company, will be automatically released upon such Subsidiary Guarantor ceasing to provide a guarantee of Material Indebtedness of the Company upon consummation of any transaction not otherwise prohibited by the Loan Documents, so long as, after giving pro forma effect to such release, no Default or Event of Default shall have occurred and be continuing hereunder (and the Administrative Agent may conclusively rely on a certificate to that effect provided to it by the Company upon its reasonable request without further inquiry). The Company shall promptly notify the Administrative Agent of any such occurrence in accordance with this Agreement.</w:t>
      </w:r>
    </w:p>
    <w:p>
      <w:pPr>
        <w:spacing w:after="0" w:line="189" w:lineRule="exact"/>
        <w:rPr>
          <w:sz w:val="20"/>
          <w:szCs w:val="20"/>
          <w:color w:val="auto"/>
        </w:rPr>
      </w:pPr>
    </w:p>
    <w:p>
      <w:pPr>
        <w:jc w:val="both"/>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of the Administrative Agent, each Lender and each Transferee (each a “</w:t>
      </w:r>
      <w:r>
        <w:rPr>
          <w:rFonts w:ascii="Times New Roman" w:cs="Times New Roman" w:eastAsia="Times New Roman" w:hAnsi="Times New Roman"/>
          <w:sz w:val="18"/>
          <w:szCs w:val="18"/>
          <w:u w:val="single" w:color="auto"/>
          <w:color w:val="auto"/>
        </w:rPr>
        <w:t>Receiving Party</w:t>
      </w:r>
      <w:r>
        <w:rPr>
          <w:rFonts w:ascii="Times New Roman" w:cs="Times New Roman" w:eastAsia="Times New Roman" w:hAnsi="Times New Roman"/>
          <w:sz w:val="18"/>
          <w:szCs w:val="18"/>
          <w:color w:val="auto"/>
        </w:rPr>
        <w:t>”) agrees to keep confidential all non-public information provided to it by or on behalf of any Loan Party or any of its respective Subsidiaries, the Administrative Agent or any Lender pursuant to or in connection with any Loan Document (the “</w:t>
      </w:r>
      <w:r>
        <w:rPr>
          <w:rFonts w:ascii="Times New Roman" w:cs="Times New Roman" w:eastAsia="Times New Roman" w:hAnsi="Times New Roman"/>
          <w:sz w:val="18"/>
          <w:szCs w:val="18"/>
          <w:u w:val="single" w:color="auto"/>
          <w:color w:val="auto"/>
        </w:rPr>
        <w:t>Company Confidential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nothing herein shall prevent a Receiving Party from disclosing any such information (a) to the Administrative Agent, any other Lender or any affiliate thereof for purposes of the transactions contemplated by this Agreement (it being acknowledged and agreed that such information would be subject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20"/>
          </w:cols>
          <w:pgMar w:left="440" w:top="270" w:right="439" w:bottom="1440" w:gutter="0" w:footer="0" w:header="0"/>
        </w:sectPr>
      </w:pPr>
    </w:p>
    <w:bookmarkStart w:id="82" w:name="page83"/>
    <w:bookmarkEnd w:id="82"/>
    <w:p>
      <w:pPr>
        <w:jc w:val="both"/>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confidentiality provisions of the this Section 10.16), (b) subject to a written agreement to comply with the provisions of this Section 10.16 (or other provisions at least as restrictive as this Section 10.16), to any actual or prospective Transferee or any pledgee referred to in Section 10.6(c) or any direct or indirect contractual counterparty (or the professional advisors thereto) to any swap or derivative transaction or to any credit insurance or reinsurance provider or broker relating to the Company and its obligations, (c) to its employees, officers, directors, trustees, agents, attorneys, accountants and other professional advisors or those of any of its affiliates for performing the purposes of a Loan Document, in each case, who are subject to or bound by an agreement to comply with the provisions of this Section 10.16 (or other provisions at least as restrictive as this Section 10.16),</w:t>
      </w:r>
    </w:p>
    <w:p>
      <w:pPr>
        <w:spacing w:after="0" w:line="5" w:lineRule="exact"/>
        <w:rPr>
          <w:sz w:val="20"/>
          <w:szCs w:val="20"/>
          <w:color w:val="auto"/>
        </w:rPr>
      </w:pPr>
    </w:p>
    <w:p>
      <w:pPr>
        <w:jc w:val="both"/>
        <w:ind w:left="4" w:hanging="4"/>
        <w:spacing w:after="0" w:line="251" w:lineRule="auto"/>
        <w:tabs>
          <w:tab w:leader="none" w:pos="26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or demand of any Governmental Authority or regulatory agency (including self-regulated agencies), (e) in response to any order of any court or other Governmental Authority or as may otherwise be required pursuant to any Requirement of Law, after notice to the Company if reasonably feasible, (f) if requested or required to do so in connection with any litigation or similar proceeding, after notice to the Company if reasonably feasible, (g) that has been publicly disclosed (other than by such Receiving Party in breach of this Section 10.16), (h) to the National Association of Insurance Commissioners or any similar organization or any nationally recognized rating agency that requires access to information about a Lender’s investment portfolio in connection with ratings issued with respect to such Lender, (i) in connection with the exercise of any remedy hereunder or under any other Loan Document or (j) with the consent of the Company. For the avoidance of doubt, nothing in this Section 10.16 shall prohibit any Person from voluntarily disclosing or providing any information within the scope of this confidentiality provision to any governmental, regulatory or self-regulatory organization (any such entity, a “</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to the extent that any such prohibition on disclosure set forth in this Section 10.16 shall be prohibited by the laws or regulations applicable to such Regulatory Authority.</w:t>
      </w:r>
    </w:p>
    <w:p>
      <w:pPr>
        <w:spacing w:after="0" w:line="193" w:lineRule="exact"/>
        <w:rPr>
          <w:sz w:val="20"/>
          <w:szCs w:val="20"/>
          <w:color w:val="auto"/>
        </w:rPr>
      </w:pPr>
    </w:p>
    <w:p>
      <w:pPr>
        <w:jc w:val="both"/>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u w:val="single" w:color="auto"/>
          <w:color w:val="auto"/>
        </w:rPr>
        <w:t>WAIVERS OF JURY TRIAL</w:t>
      </w:r>
      <w:r>
        <w:rPr>
          <w:rFonts w:ascii="Times New Roman" w:cs="Times New Roman" w:eastAsia="Times New Roman" w:hAnsi="Times New Roman"/>
          <w:sz w:val="18"/>
          <w:szCs w:val="18"/>
          <w:color w:val="auto"/>
        </w:rPr>
        <w:t>. THE COMPANY, EACH SUBSIDIARY BORROWER, THE ADMINISTRATIVE AGENT AND THE LENDERS HEREBY IRREVOCABLY AND UNCONDITIONALLY WAIVE TRIAL BY JURY IN ANY LEGAL ACTION OR PROCEEDING RELATING TO THIS AGREEMENT OR ANY OTHER LOAN DOCUMENT AND FOR ANY COUNTERCLAIM THEREIN.</w:t>
      </w:r>
    </w:p>
    <w:p>
      <w:pPr>
        <w:spacing w:after="0" w:line="176" w:lineRule="exact"/>
        <w:rPr>
          <w:sz w:val="20"/>
          <w:szCs w:val="20"/>
          <w:color w:val="auto"/>
        </w:rPr>
      </w:pPr>
    </w:p>
    <w:p>
      <w:pPr>
        <w:jc w:val="both"/>
        <w:ind w:left="4"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10.18 </w:t>
      </w:r>
      <w:r>
        <w:rPr>
          <w:rFonts w:ascii="Times New Roman" w:cs="Times New Roman" w:eastAsia="Times New Roman" w:hAnsi="Times New Roman"/>
          <w:sz w:val="18"/>
          <w:szCs w:val="18"/>
          <w:u w:val="single" w:color="auto"/>
          <w:color w:val="auto"/>
        </w:rPr>
        <w:t>USA Patriot Act and the Beneficial Ownership Regulation</w:t>
      </w:r>
      <w:r>
        <w:rPr>
          <w:rFonts w:ascii="Times New Roman" w:cs="Times New Roman" w:eastAsia="Times New Roman" w:hAnsi="Times New Roman"/>
          <w:sz w:val="18"/>
          <w:szCs w:val="18"/>
          <w:color w:val="auto"/>
        </w:rPr>
        <w:t>. Each Lender hereby notifies the Company and each Subsidiary Borrower that pursuant to the requirements of the USA Patriot Act (Title III of Pub. L. 107-56 (signed into law October 26, 2001)) (the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and the Beneficial Ownership Regulation, it is required to obtain, verify and record information that identifies the Company and each Subsidiary Borrower, which information includes the name and address of the Company and each Subsidiary Borrower and other information that will allow such Lender to identify the Company and each Subsidiary Borrower in accordance with the USA Patriot Act and the Beneficial Ownership Regulation.</w:t>
      </w:r>
    </w:p>
    <w:p>
      <w:pPr>
        <w:spacing w:after="0" w:line="183" w:lineRule="exact"/>
        <w:rPr>
          <w:sz w:val="20"/>
          <w:szCs w:val="20"/>
          <w:color w:val="auto"/>
        </w:rPr>
      </w:pPr>
    </w:p>
    <w:p>
      <w:pPr>
        <w:jc w:val="both"/>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10.19 </w:t>
      </w:r>
      <w:r>
        <w:rPr>
          <w:rFonts w:ascii="Times New Roman" w:cs="Times New Roman" w:eastAsia="Times New Roman" w:hAnsi="Times New Roman"/>
          <w:sz w:val="18"/>
          <w:szCs w:val="18"/>
          <w:u w:val="single" w:color="auto"/>
          <w:color w:val="auto"/>
        </w:rPr>
        <w:t>No Novation</w:t>
      </w:r>
      <w:r>
        <w:rPr>
          <w:rFonts w:ascii="Times New Roman" w:cs="Times New Roman" w:eastAsia="Times New Roman" w:hAnsi="Times New Roman"/>
          <w:sz w:val="18"/>
          <w:szCs w:val="18"/>
          <w:color w:val="auto"/>
        </w:rPr>
        <w:t>. The terms and conditions of the Existing 364-Day Credit Agreement are amended as set forth in, and restated in their entirety and superseded by, this Agreement. Nothing in this Agreement shall be deemed to be a novation of any of the Obligations as defined in the Existing 364-Day Credit Agreement. Notwithstanding any provision of this Agreement or any other Loan Document or instrument executed in connection herewith, the execution and delivery of this Agreement and the incurrence of Obligations hereunder shall be in substitution for, but not in payment of, the Obligations owed by the Loan Parties under the Existing 364-Day Credit Agreement. From and after the Closing Date, each reference to the “Agreement”, “Credit Agreement” or other reference originally applicable to the Existing 364-Day Credit Agreement contained in any Loan Document shall be a reference to this Agreement, as amended, supplemented, restated or otherwise modified from time to time.</w:t>
      </w:r>
    </w:p>
    <w:p>
      <w:pPr>
        <w:spacing w:after="0" w:line="189" w:lineRule="exact"/>
        <w:rPr>
          <w:sz w:val="20"/>
          <w:szCs w:val="20"/>
          <w:color w:val="auto"/>
        </w:rPr>
      </w:pPr>
    </w:p>
    <w:p>
      <w:pPr>
        <w:jc w:val="both"/>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10.20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24"/>
          </w:cols>
          <w:pgMar w:left="436" w:top="270" w:right="439" w:bottom="1440" w:gutter="0" w:footer="0" w:header="0"/>
        </w:sectPr>
      </w:pPr>
    </w:p>
    <w:bookmarkStart w:id="83" w:name="page84"/>
    <w:bookmarkEnd w:id="83"/>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68" w:lineRule="exact"/>
        <w:rPr>
          <w:sz w:val="20"/>
          <w:szCs w:val="20"/>
          <w:color w:val="auto"/>
        </w:rPr>
      </w:pPr>
    </w:p>
    <w:p>
      <w:pPr>
        <w:ind w:right="20" w:firstLine="987"/>
        <w:spacing w:after="0" w:line="282" w:lineRule="auto"/>
        <w:tabs>
          <w:tab w:leader="none" w:pos="1267"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180" w:hanging="215"/>
        <w:spacing w:after="0"/>
        <w:tabs>
          <w:tab w:leader="none" w:pos="11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jc w:val="both"/>
        <w:ind w:left="440" w:right="20" w:firstLine="525"/>
        <w:spacing w:after="0" w:line="266" w:lineRule="auto"/>
        <w:tabs>
          <w:tab w:leader="none" w:pos="123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67" w:lineRule="exact"/>
        <w:rPr>
          <w:rFonts w:ascii="Times New Roman" w:cs="Times New Roman" w:eastAsia="Times New Roman" w:hAnsi="Times New Roman"/>
          <w:sz w:val="18"/>
          <w:szCs w:val="18"/>
          <w:color w:val="auto"/>
        </w:rPr>
      </w:pPr>
    </w:p>
    <w:p>
      <w:pPr>
        <w:ind w:left="440" w:right="20" w:firstLine="525"/>
        <w:spacing w:after="0" w:line="282" w:lineRule="auto"/>
        <w:tabs>
          <w:tab w:leader="none" w:pos="128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jc w:val="both"/>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10.21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Swap Agreements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9"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20"/>
          </w:cols>
          <w:pgMar w:left="440" w:top="270" w:right="439" w:bottom="1440" w:gutter="0" w:footer="0" w:header="0"/>
        </w:sectPr>
      </w:pPr>
    </w:p>
    <w:bookmarkStart w:id="84" w:name="page85"/>
    <w:bookmarkEnd w:id="84"/>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10.22 </w:t>
      </w:r>
      <w:r>
        <w:rPr>
          <w:rFonts w:ascii="Times New Roman" w:cs="Times New Roman" w:eastAsia="Times New Roman" w:hAnsi="Times New Roman"/>
          <w:sz w:val="18"/>
          <w:szCs w:val="18"/>
          <w:u w:val="single" w:color="auto"/>
          <w:color w:val="auto"/>
        </w:rPr>
        <w:t>Interest Rate Limitations</w:t>
      </w:r>
      <w:r>
        <w:rPr>
          <w:rFonts w:ascii="Times New Roman" w:cs="Times New Roman" w:eastAsia="Times New Roman" w:hAnsi="Times New Roman"/>
          <w:sz w:val="18"/>
          <w:szCs w:val="18"/>
          <w:color w:val="auto"/>
        </w:rPr>
        <w:t xml:space="preserve"> Notwithstanding anything herein to the contrary, if at any time the interest rate applicable to any Loan or other Obligation owing under this Agreement, together with all fees, charges and other amounts that are treated as interest on such Loan or other Obligation under Applicable Law (collectively, “charges”),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that may be contracted for, charged, taken, received or reserved by the Lender or other Person holding such Loan or other Obligation in accordance with Applicable Law, the rate of interest payable in respect of such Loan or other Obligation hereunder, together with all charges payable in respect thereof, shall be limited to the Maximum Rate. To the extent lawful, the interest and charges that would have been paid in respect of such Loan or other Obligation but were not paid as a result of the operation of this Section shall be cumulated and the interest and charges payable to such Lender or other Person in respect of other Loans or Obligations or periods shall be increased (but not above the amount collectible at the Maximum Rate therefor) until such cumulated amount, together with interest thereon at the Federal Funds Effective Rate for each day to the date of repayment, shall have been received by such Lender or other Person. Any amount collected by such Lender or other Person that exceeds the maximum amount collectible at the Maximum Rate shall be applied to the reduction of the principal balance of such Loan or other Obligation or refunded to the applicable Borrower so that at no time shall the interest and charges paid or payable in respect of such Loan or other Obligation exceed the maximum amount collectible at the Maximum Rate.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70" w:right="459" w:bottom="1440" w:gutter="0" w:footer="0" w:header="0"/>
        </w:sectPr>
      </w:pPr>
    </w:p>
    <w:bookmarkStart w:id="85" w:name="page86"/>
    <w:bookmarkEnd w:id="85"/>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duly executed and delivered by their proper and duly authorized officers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Radha Tilton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Radha Tilton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GENERAL MOTORS FINANCIAL COMPANY, INC.</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Amit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Amit Patel</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Executive Vice President and Treasurer</w:t>
      </w:r>
    </w:p>
    <w:p>
      <w:pPr>
        <w:spacing w:after="0" w:line="13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[Signature Page to Eighth Amended and Restated 364-Day Revolving Credit Agreement]</w:t>
      </w:r>
    </w:p>
    <w:p>
      <w:pPr>
        <w:sectPr>
          <w:pgSz w:w="11900" w:h="16838" w:orient="portrait"/>
          <w:cols w:equalWidth="0" w:num="1">
            <w:col w:w="10600"/>
          </w:cols>
          <w:pgMar w:left="440" w:top="270" w:right="859" w:bottom="1440" w:gutter="0" w:footer="0" w:header="0"/>
        </w:sectPr>
      </w:pPr>
    </w:p>
    <w:bookmarkStart w:id="86" w:name="page87"/>
    <w:bookmarkEnd w:id="8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JPMorgan Chase Bank, N.A., as Administrative Agent and</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Marlon Mathews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Marlon Mathews</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860"/>
          </w:cols>
          <w:pgMar w:left="1440" w:top="270" w:right="599" w:bottom="1440" w:gutter="0" w:footer="0" w:header="0"/>
        </w:sectPr>
      </w:pPr>
    </w:p>
    <w:bookmarkStart w:id="87" w:name="page88"/>
    <w:bookmarkEnd w:id="8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Citibank, N.A, as Syndication Agent and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Susan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Susan Olsen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[Signature Page to Eighth Amended and Restated 364-Day Revolving Credit Agreement]</w:t>
      </w:r>
    </w:p>
    <w:p>
      <w:pPr>
        <w:sectPr>
          <w:pgSz w:w="11900" w:h="16838" w:orient="portrait"/>
          <w:cols w:equalWidth="0" w:num="1">
            <w:col w:w="9300"/>
          </w:cols>
          <w:pgMar w:left="1440" w:top="270" w:right="1159" w:bottom="1440" w:gutter="0" w:footer="0" w:header="0"/>
        </w:sectPr>
      </w:pPr>
    </w:p>
    <w:bookmarkStart w:id="88" w:name="page89"/>
    <w:bookmarkEnd w:id="8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Banco Bilbao Vizcaya Argentaria, S.A. New York Branch,</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Brian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Brian Crowley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Armen Semizian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Armen Semizian</w:t>
      </w:r>
    </w:p>
    <w:p>
      <w:pPr>
        <w:spacing w:after="0" w:line="23" w:lineRule="exact"/>
        <w:rPr>
          <w:sz w:val="20"/>
          <w:szCs w:val="20"/>
          <w:color w:val="auto"/>
        </w:rPr>
      </w:pPr>
    </w:p>
    <w:p>
      <w:pPr>
        <w:jc w:val="right"/>
        <w:ind w:right="20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right"/>
        <w:ind w:right="2120"/>
        <w:spacing w:after="0"/>
        <w:rPr>
          <w:sz w:val="20"/>
          <w:szCs w:val="20"/>
          <w:color w:val="auto"/>
        </w:rPr>
      </w:pPr>
      <w:r>
        <w:rPr>
          <w:rFonts w:ascii="Times New Roman" w:cs="Times New Roman" w:eastAsia="Times New Roman" w:hAnsi="Times New Roman"/>
          <w:sz w:val="17"/>
          <w:szCs w:val="17"/>
          <w:color w:val="auto"/>
        </w:rPr>
        <w:t>[Signature Page to Eighth Amended and Restated 364-Day Revolving Credit Agreement]</w:t>
      </w:r>
    </w:p>
    <w:p>
      <w:pPr>
        <w:sectPr>
          <w:pgSz w:w="11900" w:h="16838" w:orient="portrait"/>
          <w:cols w:equalWidth="0" w:num="1">
            <w:col w:w="9840"/>
          </w:cols>
          <w:pgMar w:left="1440" w:top="270" w:right="619" w:bottom="1440" w:gutter="0" w:footer="0" w:header="0"/>
        </w:sectPr>
      </w:pPr>
    </w:p>
    <w:bookmarkStart w:id="89" w:name="page90"/>
    <w:bookmarkEnd w:id="8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Banco Santander, S.A., New York Branch,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Andres Barbosa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Andres Barbosa</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Zara Kamal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Zara Kamal</w:t>
      </w:r>
    </w:p>
    <w:p>
      <w:pPr>
        <w:spacing w:after="0" w:line="23"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9" w:lineRule="exact"/>
        <w:rPr>
          <w:sz w:val="20"/>
          <w:szCs w:val="20"/>
          <w:color w:val="auto"/>
        </w:rPr>
      </w:pPr>
    </w:p>
    <w:p>
      <w:pPr>
        <w:jc w:val="right"/>
        <w:ind w:right="1700"/>
        <w:spacing w:after="0"/>
        <w:rPr>
          <w:sz w:val="20"/>
          <w:szCs w:val="20"/>
          <w:color w:val="auto"/>
        </w:rPr>
      </w:pPr>
      <w:r>
        <w:rPr>
          <w:rFonts w:ascii="Times New Roman" w:cs="Times New Roman" w:eastAsia="Times New Roman" w:hAnsi="Times New Roman"/>
          <w:sz w:val="17"/>
          <w:szCs w:val="17"/>
          <w:color w:val="auto"/>
        </w:rPr>
        <w:t>[Signature Page to Eighth Amended and Restated 364-Day Revolving Credit Agreement]</w:t>
      </w:r>
    </w:p>
    <w:p>
      <w:pPr>
        <w:sectPr>
          <w:pgSz w:w="11900" w:h="16838" w:orient="portrait"/>
          <w:cols w:equalWidth="0" w:num="1">
            <w:col w:w="9420"/>
          </w:cols>
          <w:pgMar w:left="1440" w:top="270" w:right="1039" w:bottom="1440" w:gutter="0" w:footer="0" w:header="0"/>
        </w:sectPr>
      </w:pPr>
    </w:p>
    <w:bookmarkStart w:id="90" w:name="page91"/>
    <w:bookmarkEnd w:id="9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America, N.A.,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Eric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Eric Hill</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[Signature Page to Eighth Amended and Restated 364-Day Revolving Credit Agreement]</w:t>
      </w:r>
    </w:p>
    <w:p>
      <w:pPr>
        <w:sectPr>
          <w:pgSz w:w="11900" w:h="16838" w:orient="portrait"/>
          <w:cols w:equalWidth="0" w:num="1">
            <w:col w:w="9019"/>
          </w:cols>
          <w:pgMar w:left="1440" w:top="270" w:right="1440" w:bottom="1440" w:gutter="0" w:footer="0" w:header="0"/>
        </w:sectPr>
      </w:pPr>
    </w:p>
    <w:bookmarkStart w:id="91" w:name="page92"/>
    <w:bookmarkEnd w:id="9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Barclays Bank PLC,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Charlene Saldanha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jc w:val="right"/>
        <w:ind w:right="1159"/>
        <w:spacing w:after="0"/>
        <w:rPr>
          <w:sz w:val="20"/>
          <w:szCs w:val="20"/>
          <w:color w:val="auto"/>
        </w:rPr>
      </w:pPr>
      <w:r>
        <w:rPr>
          <w:rFonts w:ascii="Times New Roman" w:cs="Times New Roman" w:eastAsia="Times New Roman" w:hAnsi="Times New Roman"/>
          <w:sz w:val="18"/>
          <w:szCs w:val="18"/>
          <w:color w:val="auto"/>
        </w:rPr>
        <w:t>Name: Charlene Saldanha</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[Signature Page to Eighth Amended and Restated 364-Day Revolving Credit Agreement]</w:t>
      </w:r>
    </w:p>
    <w:p>
      <w:pPr>
        <w:sectPr>
          <w:pgSz w:w="11900" w:h="16838" w:orient="portrait"/>
          <w:cols w:equalWidth="0" w:num="1">
            <w:col w:w="9019"/>
          </w:cols>
          <w:pgMar w:left="1440" w:top="270" w:right="1440" w:bottom="1440" w:gutter="0" w:footer="0" w:header="0"/>
        </w:sectPr>
      </w:pPr>
    </w:p>
    <w:bookmarkStart w:id="92" w:name="page93"/>
    <w:bookmarkEnd w:id="9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BNP Paribas,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Valentin Detry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Valentin Detry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Marine Ausset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Marine Ausset</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[Signature Page to Eighth Amended and Restated 364-Day Revolving Credit Agreement]</w:t>
      </w:r>
    </w:p>
    <w:p>
      <w:pPr>
        <w:sectPr>
          <w:pgSz w:w="11900" w:h="16838" w:orient="portrait"/>
          <w:cols w:equalWidth="0" w:num="1">
            <w:col w:w="9019"/>
          </w:cols>
          <w:pgMar w:left="1440" w:top="270" w:right="1440" w:bottom="1440" w:gutter="0" w:footer="0" w:header="0"/>
        </w:sectPr>
      </w:pPr>
    </w:p>
    <w:bookmarkStart w:id="93" w:name="page94"/>
    <w:bookmarkEnd w:id="9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Canadian Imperial Bank of Commerce, New York Branch,</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Lender</w:t>
      </w:r>
    </w:p>
    <w:p>
      <w:pPr>
        <w:spacing w:after="0" w:line="207" w:lineRule="exact"/>
        <w:rPr>
          <w:sz w:val="20"/>
          <w:szCs w:val="20"/>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Noah Shiling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4860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Noah Shiling</w:t>
      </w:r>
    </w:p>
    <w:p>
      <w:pPr>
        <w:spacing w:after="0" w:line="2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Executive Director &amp; Authorized Signatory</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[Signature Page to Eighth Amended and Restated 364-Day Revolving Credit Agreement]</w:t>
      </w:r>
    </w:p>
    <w:p>
      <w:pPr>
        <w:sectPr>
          <w:pgSz w:w="11900" w:h="16838" w:orient="portrait"/>
          <w:cols w:equalWidth="0" w:num="1">
            <w:col w:w="9820"/>
          </w:cols>
          <w:pgMar w:left="1440" w:top="270" w:right="639" w:bottom="1440" w:gutter="0" w:footer="0" w:header="0"/>
        </w:sectPr>
      </w:pPr>
    </w:p>
    <w:bookmarkStart w:id="94" w:name="page95"/>
    <w:bookmarkEnd w:id="9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Agricole Corporate and Investment Bank,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Jill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Jill Wong</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Gordon Yip</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[Signature Page to Eighth Amended and Restated 364-Day Revolving Credit Agreement]</w:t>
      </w:r>
    </w:p>
    <w:p>
      <w:pPr>
        <w:sectPr>
          <w:pgSz w:w="11900" w:h="16838" w:orient="portrait"/>
          <w:cols w:equalWidth="0" w:num="1">
            <w:col w:w="9860"/>
          </w:cols>
          <w:pgMar w:left="1440" w:top="270" w:right="599" w:bottom="1440" w:gutter="0" w:footer="0" w:header="0"/>
        </w:sectPr>
      </w:pPr>
    </w:p>
    <w:bookmarkStart w:id="95" w:name="page96"/>
    <w:bookmarkEnd w:id="9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Deutsche Bank AG New York Branch,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Marko Lukin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Marko Lukin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Douglas Darman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Douglas Darman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[Signature Page to Eighth Amended and Restated 364-Day Revolving Credit Agreement]</w:t>
      </w:r>
    </w:p>
    <w:p>
      <w:pPr>
        <w:sectPr>
          <w:pgSz w:w="11900" w:h="16838" w:orient="portrait"/>
          <w:cols w:equalWidth="0" w:num="1">
            <w:col w:w="9160"/>
          </w:cols>
          <w:pgMar w:left="1440" w:top="270" w:right="1299" w:bottom="1440" w:gutter="0" w:footer="0" w:header="0"/>
        </w:sectPr>
      </w:pPr>
    </w:p>
    <w:bookmarkStart w:id="96" w:name="page97"/>
    <w:bookmarkEnd w:id="9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Goldman Sachs Bank USA,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Jonathan Dworkin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Jonathan Dworkin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[Signature Page to Eighth Amended and Restated 364-Day Revolving Credit Agreement]</w:t>
      </w:r>
    </w:p>
    <w:p>
      <w:pPr>
        <w:sectPr>
          <w:pgSz w:w="11900" w:h="16838" w:orient="portrait"/>
          <w:cols w:equalWidth="0" w:num="1">
            <w:col w:w="9019"/>
          </w:cols>
          <w:pgMar w:left="1440" w:top="270" w:right="1440" w:bottom="1440" w:gutter="0" w:footer="0" w:header="0"/>
        </w:sectPr>
      </w:pPr>
    </w:p>
    <w:bookmarkStart w:id="97" w:name="page98"/>
    <w:bookmarkEnd w:id="9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Industrial and Commercial Bank of China Limited, New</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York Branch, as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M Samms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Christopher M Samms</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Pinyen Shih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Pinyen Shih</w:t>
      </w:r>
    </w:p>
    <w:p>
      <w:pPr>
        <w:spacing w:after="0" w:line="23" w:lineRule="exact"/>
        <w:rPr>
          <w:sz w:val="20"/>
          <w:szCs w:val="20"/>
          <w:color w:val="auto"/>
        </w:rPr>
      </w:pPr>
    </w:p>
    <w:p>
      <w:pPr>
        <w:jc w:val="right"/>
        <w:ind w:right="192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9" w:lineRule="exact"/>
        <w:rPr>
          <w:sz w:val="20"/>
          <w:szCs w:val="20"/>
          <w:color w:val="auto"/>
        </w:rPr>
      </w:pPr>
    </w:p>
    <w:p>
      <w:pPr>
        <w:jc w:val="right"/>
        <w:ind w:right="1960"/>
        <w:spacing w:after="0"/>
        <w:rPr>
          <w:sz w:val="20"/>
          <w:szCs w:val="20"/>
          <w:color w:val="auto"/>
        </w:rPr>
      </w:pPr>
      <w:r>
        <w:rPr>
          <w:rFonts w:ascii="Times New Roman" w:cs="Times New Roman" w:eastAsia="Times New Roman" w:hAnsi="Times New Roman"/>
          <w:sz w:val="17"/>
          <w:szCs w:val="17"/>
          <w:color w:val="auto"/>
        </w:rPr>
        <w:t>[Signature Page to Eighth Amended and Restated 364-Day Revolving Credit Agreement]</w:t>
      </w:r>
    </w:p>
    <w:p>
      <w:pPr>
        <w:sectPr>
          <w:pgSz w:w="11900" w:h="16838" w:orient="portrait"/>
          <w:cols w:equalWidth="0" w:num="1">
            <w:col w:w="9680"/>
          </w:cols>
          <w:pgMar w:left="1440" w:top="270" w:right="779" w:bottom="1440" w:gutter="0" w:footer="0" w:header="0"/>
        </w:sectPr>
      </w:pPr>
    </w:p>
    <w:bookmarkStart w:id="98" w:name="page99"/>
    <w:bookmarkEnd w:id="9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Intesa Sanpaolo S.p.A., New York Branch,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Jordan Schweon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Jordan Schweon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Alessandro Toigo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Alessandro Toigo</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Head of Corporate Desk</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[Signature Page to Eighth Amended and Restated 364-Day Revolving Credit Agreement]</w:t>
      </w:r>
    </w:p>
    <w:p>
      <w:pPr>
        <w:sectPr>
          <w:pgSz w:w="11900" w:h="16838" w:orient="portrait"/>
          <w:cols w:equalWidth="0" w:num="1">
            <w:col w:w="9440"/>
          </w:cols>
          <w:pgMar w:left="1440" w:top="270" w:right="1019" w:bottom="1440" w:gutter="0" w:footer="0" w:header="0"/>
        </w:sectPr>
      </w:pPr>
    </w:p>
    <w:bookmarkStart w:id="99" w:name="page100"/>
    <w:bookmarkEnd w:id="9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Lloyds Bank Corporate Markets plc,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Kamala Basdeo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Kamala Basdeo</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Catherine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Catherine Lim</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Assistant Vice President</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[Signature Page to Eighth Amended and Restated 364-Day Revolving Credit Agreement]</w:t>
      </w:r>
    </w:p>
    <w:p>
      <w:pPr>
        <w:sectPr>
          <w:pgSz w:w="11900" w:h="16838" w:orient="portrait"/>
          <w:cols w:equalWidth="0" w:num="1">
            <w:col w:w="9019"/>
          </w:cols>
          <w:pgMar w:left="1440" w:top="270" w:right="1440" w:bottom="1440" w:gutter="0" w:footer="0" w:header="0"/>
        </w:sectPr>
      </w:pPr>
    </w:p>
    <w:bookmarkStart w:id="100" w:name="page101"/>
    <w:bookmarkEnd w:id="10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Mizuho Bank, Ltd.,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jc w:val="right"/>
        <w:ind w:right="1099"/>
        <w:spacing w:after="0"/>
        <w:rPr>
          <w:sz w:val="20"/>
          <w:szCs w:val="20"/>
          <w:color w:val="auto"/>
        </w:rPr>
      </w:pPr>
      <w:r>
        <w:rPr>
          <w:rFonts w:ascii="Times New Roman" w:cs="Times New Roman" w:eastAsia="Times New Roman" w:hAnsi="Times New Roman"/>
          <w:sz w:val="18"/>
          <w:szCs w:val="18"/>
          <w:color w:val="auto"/>
        </w:rPr>
        <w:t>Name: Donna DeMagistris</w:t>
      </w:r>
    </w:p>
    <w:p>
      <w:pPr>
        <w:spacing w:after="0" w:line="23" w:lineRule="exact"/>
        <w:rPr>
          <w:sz w:val="20"/>
          <w:szCs w:val="20"/>
          <w:color w:val="auto"/>
        </w:rPr>
      </w:pPr>
    </w:p>
    <w:p>
      <w:pPr>
        <w:jc w:val="right"/>
        <w:ind w:right="1239"/>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right"/>
        <w:ind w:right="1299"/>
        <w:spacing w:after="0"/>
        <w:rPr>
          <w:sz w:val="20"/>
          <w:szCs w:val="20"/>
          <w:color w:val="auto"/>
        </w:rPr>
      </w:pPr>
      <w:r>
        <w:rPr>
          <w:rFonts w:ascii="Times New Roman" w:cs="Times New Roman" w:eastAsia="Times New Roman" w:hAnsi="Times New Roman"/>
          <w:sz w:val="17"/>
          <w:szCs w:val="17"/>
          <w:color w:val="auto"/>
        </w:rPr>
        <w:t>[Signature Page to Eighth Amended and Restated 364-Day Revolving Credit Agreement]</w:t>
      </w:r>
    </w:p>
    <w:p>
      <w:pPr>
        <w:sectPr>
          <w:pgSz w:w="11900" w:h="16838" w:orient="portrait"/>
          <w:cols w:equalWidth="0" w:num="1">
            <w:col w:w="9019"/>
          </w:cols>
          <w:pgMar w:left="1440" w:top="270" w:right="1440" w:bottom="1440" w:gutter="0" w:footer="0" w:header="0"/>
        </w:sectPr>
      </w:pPr>
    </w:p>
    <w:bookmarkStart w:id="101" w:name="page102"/>
    <w:bookmarkEnd w:id="10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Morgan Stanley Senior Funding, Inc.,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Michael King</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[Signature Page to Eighth Amended and Restated 364-Day Revolving Credit Agreement]</w:t>
      </w:r>
    </w:p>
    <w:p>
      <w:pPr>
        <w:sectPr>
          <w:pgSz w:w="11900" w:h="16838" w:orient="portrait"/>
          <w:cols w:equalWidth="0" w:num="1">
            <w:col w:w="9080"/>
          </w:cols>
          <w:pgMar w:left="1440" w:top="270" w:right="1379" w:bottom="1440" w:gutter="0" w:footer="0" w:header="0"/>
        </w:sectPr>
      </w:pPr>
    </w:p>
    <w:bookmarkStart w:id="102" w:name="page103"/>
    <w:bookmarkEnd w:id="10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Royal Bank of Canada,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Benjamin Lennon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Benjamin Lennon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[Signature Page to Eighth Amended and Restated 364-Day Revolving Credit Agreement]</w:t>
      </w:r>
    </w:p>
    <w:p>
      <w:pPr>
        <w:sectPr>
          <w:pgSz w:w="11900" w:h="16838" w:orient="portrait"/>
          <w:cols w:equalWidth="0" w:num="1">
            <w:col w:w="9019"/>
          </w:cols>
          <w:pgMar w:left="1440" w:top="270" w:right="1440" w:bottom="1440" w:gutter="0" w:footer="0" w:header="0"/>
        </w:sectPr>
      </w:pPr>
    </w:p>
    <w:bookmarkStart w:id="103" w:name="page104"/>
    <w:bookmarkEnd w:id="10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Société Générale,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Kimberly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jc w:val="right"/>
        <w:ind w:right="1179"/>
        <w:spacing w:after="0"/>
        <w:rPr>
          <w:sz w:val="20"/>
          <w:szCs w:val="20"/>
          <w:color w:val="auto"/>
        </w:rPr>
      </w:pPr>
      <w:r>
        <w:rPr>
          <w:rFonts w:ascii="Times New Roman" w:cs="Times New Roman" w:eastAsia="Times New Roman" w:hAnsi="Times New Roman"/>
          <w:sz w:val="18"/>
          <w:szCs w:val="18"/>
          <w:color w:val="auto"/>
        </w:rPr>
        <w:t>Name: Kimberly Metzger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[Signature Page to Eighth Amended and Restated 364-Day Revolving Credit Agreement]</w:t>
      </w:r>
    </w:p>
    <w:p>
      <w:pPr>
        <w:sectPr>
          <w:pgSz w:w="11900" w:h="16838" w:orient="portrait"/>
          <w:cols w:equalWidth="0" w:num="1">
            <w:col w:w="9019"/>
          </w:cols>
          <w:pgMar w:left="1440" w:top="270" w:right="1440" w:bottom="1440" w:gutter="0" w:footer="0" w:header="0"/>
        </w:sectPr>
      </w:pPr>
    </w:p>
    <w:bookmarkStart w:id="104" w:name="page105"/>
    <w:bookmarkEnd w:id="10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Sumitomo Mitsui Banking Corporation,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Jun Ashley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Jun Ashley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[Signature Page to Eighth Amended and Restated 364-Day Revolving Credit Agreement]</w:t>
      </w:r>
    </w:p>
    <w:p>
      <w:pPr>
        <w:sectPr>
          <w:pgSz w:w="11900" w:h="16838" w:orient="portrait"/>
          <w:cols w:equalWidth="0" w:num="1">
            <w:col w:w="9240"/>
          </w:cols>
          <w:pgMar w:left="1440" w:top="270" w:right="1219" w:bottom="1440" w:gutter="0" w:footer="0" w:header="0"/>
        </w:sectPr>
      </w:pPr>
    </w:p>
    <w:bookmarkStart w:id="105" w:name="page106"/>
    <w:bookmarkEnd w:id="10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Bank of Nova Scotia,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Troy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Troy Washington</w:t>
      </w:r>
    </w:p>
    <w:p>
      <w:pPr>
        <w:spacing w:after="0" w:line="23" w:lineRule="exact"/>
        <w:rPr>
          <w:sz w:val="20"/>
          <w:szCs w:val="20"/>
          <w:color w:val="auto"/>
        </w:rPr>
      </w:pPr>
    </w:p>
    <w:p>
      <w:pPr>
        <w:jc w:val="right"/>
        <w:ind w:right="1239"/>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right"/>
        <w:ind w:right="1299"/>
        <w:spacing w:after="0"/>
        <w:rPr>
          <w:sz w:val="20"/>
          <w:szCs w:val="20"/>
          <w:color w:val="auto"/>
        </w:rPr>
      </w:pPr>
      <w:r>
        <w:rPr>
          <w:rFonts w:ascii="Times New Roman" w:cs="Times New Roman" w:eastAsia="Times New Roman" w:hAnsi="Times New Roman"/>
          <w:sz w:val="17"/>
          <w:szCs w:val="17"/>
          <w:color w:val="auto"/>
        </w:rPr>
        <w:t>[Signature Page to Eighth Amended and Restated 364-Day Revolving Credit Agreement]</w:t>
      </w:r>
    </w:p>
    <w:p>
      <w:pPr>
        <w:sectPr>
          <w:pgSz w:w="11900" w:h="16838" w:orient="portrait"/>
          <w:cols w:equalWidth="0" w:num="1">
            <w:col w:w="9019"/>
          </w:cols>
          <w:pgMar w:left="1440" w:top="270" w:right="1440" w:bottom="1440" w:gutter="0" w:footer="0" w:header="0"/>
        </w:sectPr>
      </w:pPr>
    </w:p>
    <w:bookmarkStart w:id="106" w:name="page107"/>
    <w:bookmarkEnd w:id="10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Toronto-Dominion Bank, New York Branch,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Perlman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[Signature Page to Eighth Amended and Restated 364-Day Revolving Credit Agreement]</w:t>
      </w:r>
    </w:p>
    <w:p>
      <w:pPr>
        <w:sectPr>
          <w:pgSz w:w="11900" w:h="16838" w:orient="portrait"/>
          <w:cols w:equalWidth="0" w:num="1">
            <w:col w:w="9900"/>
          </w:cols>
          <w:pgMar w:left="1440" w:top="270" w:right="559" w:bottom="1440" w:gutter="0" w:footer="0" w:header="0"/>
        </w:sectPr>
      </w:pPr>
    </w:p>
    <w:bookmarkStart w:id="107" w:name="page108"/>
    <w:bookmarkEnd w:id="10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Wells Fargo Bank, National Association,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Bryan Girouard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Bryan Girouard</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[Signature Page to Eighth Amended and Restated 364-Day Revolving Credit Agreement]</w:t>
      </w:r>
    </w:p>
    <w:p>
      <w:pPr>
        <w:sectPr>
          <w:pgSz w:w="11900" w:h="16838" w:orient="portrait"/>
          <w:cols w:equalWidth="0" w:num="1">
            <w:col w:w="9300"/>
          </w:cols>
          <w:pgMar w:left="1440" w:top="270" w:right="1159" w:bottom="1440" w:gutter="0" w:footer="0" w:header="0"/>
        </w:sectPr>
      </w:pPr>
    </w:p>
    <w:bookmarkStart w:id="108" w:name="page109"/>
    <w:bookmarkEnd w:id="10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UniCredit Bank GmbH, New York Branch,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Douglas Riahi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Douglas Riahi</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Peter Daugavietis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Peter Daugavietis</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[Signature Page to Eighth Amended and Restated 364-Day Revolving Credit Agreement]</w:t>
      </w:r>
    </w:p>
    <w:p>
      <w:pPr>
        <w:sectPr>
          <w:pgSz w:w="11900" w:h="16838" w:orient="portrait"/>
          <w:cols w:equalWidth="0" w:num="1">
            <w:col w:w="9480"/>
          </w:cols>
          <w:pgMar w:left="1440" w:top="270" w:right="979" w:bottom="1440" w:gutter="0" w:footer="0" w:header="0"/>
        </w:sectPr>
      </w:pPr>
    </w:p>
    <w:bookmarkStart w:id="109" w:name="page110"/>
    <w:bookmarkEnd w:id="10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DBS Bank Ltd.,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Lim Sok Hoon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Lim Sok Hoon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Assistant Vice President</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[Signature Page to Eighth Amended and Restated 364-Day Revolving Credit Agreement]</w:t>
      </w:r>
    </w:p>
    <w:p>
      <w:pPr>
        <w:sectPr>
          <w:pgSz w:w="11900" w:h="16838" w:orient="portrait"/>
          <w:cols w:equalWidth="0" w:num="1">
            <w:col w:w="9019"/>
          </w:cols>
          <w:pgMar w:left="1440" w:top="270" w:right="1440" w:bottom="1440" w:gutter="0" w:footer="0" w:header="0"/>
        </w:sectPr>
      </w:pPr>
    </w:p>
    <w:bookmarkStart w:id="110" w:name="page111"/>
    <w:bookmarkEnd w:id="11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MUFG Bank, Ltd.,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George Stoecklein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jc w:val="right"/>
        <w:ind w:right="1179"/>
        <w:spacing w:after="0"/>
        <w:rPr>
          <w:sz w:val="20"/>
          <w:szCs w:val="20"/>
          <w:color w:val="auto"/>
        </w:rPr>
      </w:pPr>
      <w:r>
        <w:rPr>
          <w:rFonts w:ascii="Times New Roman" w:cs="Times New Roman" w:eastAsia="Times New Roman" w:hAnsi="Times New Roman"/>
          <w:sz w:val="18"/>
          <w:szCs w:val="18"/>
          <w:color w:val="auto"/>
        </w:rPr>
        <w:t>Name: George Stoecklein</w:t>
      </w:r>
    </w:p>
    <w:p>
      <w:pPr>
        <w:spacing w:after="0" w:line="23" w:lineRule="exact"/>
        <w:rPr>
          <w:sz w:val="20"/>
          <w:szCs w:val="20"/>
          <w:color w:val="auto"/>
        </w:rPr>
      </w:pPr>
    </w:p>
    <w:p>
      <w:pPr>
        <w:jc w:val="right"/>
        <w:ind w:right="1239"/>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right"/>
        <w:ind w:right="1299"/>
        <w:spacing w:after="0"/>
        <w:rPr>
          <w:sz w:val="20"/>
          <w:szCs w:val="20"/>
          <w:color w:val="auto"/>
        </w:rPr>
      </w:pPr>
      <w:r>
        <w:rPr>
          <w:rFonts w:ascii="Times New Roman" w:cs="Times New Roman" w:eastAsia="Times New Roman" w:hAnsi="Times New Roman"/>
          <w:sz w:val="17"/>
          <w:szCs w:val="17"/>
          <w:color w:val="auto"/>
        </w:rPr>
        <w:t>[Signature Page to Eighth Amended and Restated 364-Day Revolving Credit Agreement]</w:t>
      </w:r>
    </w:p>
    <w:p>
      <w:pPr>
        <w:sectPr>
          <w:pgSz w:w="11900" w:h="16838" w:orient="portrait"/>
          <w:cols w:equalWidth="0" w:num="1">
            <w:col w:w="9019"/>
          </w:cols>
          <w:pgMar w:left="1440" w:top="270" w:right="1440" w:bottom="1440" w:gutter="0" w:footer="0" w:header="0"/>
        </w:sectPr>
      </w:pPr>
    </w:p>
    <w:bookmarkStart w:id="111" w:name="page112"/>
    <w:bookmarkEnd w:id="11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Bank,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Wetherell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18"/>
          <w:szCs w:val="18"/>
          <w:color w:val="auto"/>
        </w:rPr>
        <w:t>Name: Michael Wetherell</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[Signature Page to Eighth Amended and Restated 364-Day Revolving Credit Agreement]</w:t>
      </w:r>
    </w:p>
    <w:p>
      <w:pPr>
        <w:sectPr>
          <w:pgSz w:w="11900" w:h="16838" w:orient="portrait"/>
          <w:cols w:equalWidth="0" w:num="1">
            <w:col w:w="9019"/>
          </w:cols>
          <w:pgMar w:left="1440" w:top="270" w:right="1440" w:bottom="1440" w:gutter="0" w:footer="0" w:header="0"/>
        </w:sectPr>
      </w:pPr>
    </w:p>
    <w:bookmarkStart w:id="112" w:name="page113"/>
    <w:bookmarkEnd w:id="11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Montreal, as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 Clark</w:t>
      </w:r>
    </w:p>
    <w:p>
      <w:pPr>
        <w:spacing w:after="0" w:line="23" w:lineRule="exact"/>
        <w:rPr>
          <w:sz w:val="20"/>
          <w:szCs w:val="20"/>
          <w:color w:val="auto"/>
        </w:rPr>
      </w:pPr>
    </w:p>
    <w:p>
      <w:pPr>
        <w:jc w:val="right"/>
        <w:ind w:right="1239"/>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right"/>
        <w:ind w:right="1299"/>
        <w:spacing w:after="0"/>
        <w:rPr>
          <w:sz w:val="20"/>
          <w:szCs w:val="20"/>
          <w:color w:val="auto"/>
        </w:rPr>
      </w:pPr>
      <w:r>
        <w:rPr>
          <w:rFonts w:ascii="Times New Roman" w:cs="Times New Roman" w:eastAsia="Times New Roman" w:hAnsi="Times New Roman"/>
          <w:sz w:val="17"/>
          <w:szCs w:val="17"/>
          <w:color w:val="auto"/>
        </w:rPr>
        <w:t>[Signature Page to Eighth Amended and Restated 364-Day Revolving Credit Agreement]</w:t>
      </w:r>
    </w:p>
    <w:p>
      <w:pPr>
        <w:sectPr>
          <w:pgSz w:w="11900" w:h="16838" w:orient="portrait"/>
          <w:cols w:equalWidth="0" w:num="1">
            <w:col w:w="9019"/>
          </w:cols>
          <w:pgMar w:left="1440" w:top="270" w:right="1440" w:bottom="1440" w:gutter="0" w:footer="0" w:header="0"/>
        </w:sectPr>
      </w:pPr>
    </w:p>
    <w:bookmarkStart w:id="113" w:name="page114"/>
    <w:bookmarkEnd w:id="11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Bank of New York Mellon,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Tak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Tak Cheng</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[Signature Page to Eighth Amended and Restated 364-Day Revolving Credit Agreement]</w:t>
      </w:r>
    </w:p>
    <w:p>
      <w:pPr>
        <w:sectPr>
          <w:pgSz w:w="11900" w:h="16838" w:orient="portrait"/>
          <w:cols w:equalWidth="0" w:num="1">
            <w:col w:w="9019"/>
          </w:cols>
          <w:pgMar w:left="1440" w:top="270" w:right="1440" w:bottom="1440" w:gutter="0" w:footer="0" w:header="0"/>
        </w:sectPr>
      </w:pPr>
    </w:p>
    <w:bookmarkStart w:id="114" w:name="page115"/>
    <w:bookmarkEnd w:id="11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ING Bank N.V., Dublin Branch, as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Rory Fitzgerald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Rory Fitzgerald</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Sean Hassett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Sean Hassett</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[Signature Page to Eighth Amended and Restated 364-Day Revolving Credit Agreement]</w:t>
      </w:r>
    </w:p>
    <w:p>
      <w:pPr>
        <w:sectPr>
          <w:pgSz w:w="11900" w:h="16838" w:orient="portrait"/>
          <w:cols w:equalWidth="0" w:num="1">
            <w:col w:w="9019"/>
          </w:cols>
          <w:pgMar w:left="1440" w:top="270" w:right="1440"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SCHEDULE 1.1A</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to          </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Credit Agreement</w:t>
            </w:r>
          </w:p>
        </w:tc>
        <w:tc>
          <w:tcPr>
            <w:tcW w:w="0" w:type="dxa"/>
            <w:vAlign w:val="bottom"/>
          </w:tcPr>
          <w:p>
            <w:pPr>
              <w:spacing w:after="0"/>
              <w:rPr>
                <w:sz w:val="1"/>
                <w:szCs w:val="1"/>
                <w:color w:val="auto"/>
              </w:rPr>
            </w:pPr>
          </w:p>
        </w:tc>
      </w:tr>
      <w:tr>
        <w:trPr>
          <w:trHeight w:val="391"/>
        </w:trPr>
        <w:tc>
          <w:tcPr>
            <w:tcW w:w="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40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OMMITMENTS</w:t>
            </w:r>
            <w:r>
              <w:rPr>
                <w:rFonts w:ascii="Times New Roman" w:cs="Times New Roman" w:eastAsia="Times New Roman" w:hAnsi="Times New Roman"/>
                <w:sz w:val="18"/>
                <w:szCs w:val="18"/>
                <w:b w:val="1"/>
                <w:bCs w:val="1"/>
                <w:color w:val="auto"/>
              </w:rPr>
              <w:t>/DTTP I</w:t>
            </w:r>
            <w:r>
              <w:rPr>
                <w:rFonts w:ascii="Times New Roman" w:cs="Times New Roman" w:eastAsia="Times New Roman" w:hAnsi="Times New Roman"/>
                <w:sz w:val="14"/>
                <w:szCs w:val="14"/>
                <w:b w:val="1"/>
                <w:bCs w:val="1"/>
                <w:color w:val="auto"/>
              </w:rPr>
              <w:t>NFORMATION</w:t>
            </w: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3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Scheme Reference</w:t>
            </w:r>
          </w:p>
        </w:tc>
        <w:tc>
          <w:tcPr>
            <w:tcW w:w="900" w:type="dxa"/>
            <w:vAlign w:val="bottom"/>
          </w:tcPr>
          <w:p>
            <w:pPr>
              <w:spacing w:after="0"/>
              <w:rPr>
                <w:sz w:val="24"/>
                <w:szCs w:val="24"/>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3300" w:type="dxa"/>
            <w:vAlign w:val="bottom"/>
            <w:vMerge w:val="restart"/>
          </w:tcPr>
          <w:p>
            <w:pPr>
              <w:spacing w:after="0"/>
              <w:rPr>
                <w:sz w:val="12"/>
                <w:szCs w:val="12"/>
                <w:color w:val="auto"/>
              </w:rPr>
            </w:pPr>
          </w:p>
        </w:tc>
        <w:tc>
          <w:tcPr>
            <w:tcW w:w="3400" w:type="dxa"/>
            <w:vAlign w:val="bottom"/>
            <w:gridSpan w:val="4"/>
            <w:vMerge w:val="restart"/>
          </w:tcPr>
          <w:p>
            <w:pPr>
              <w:jc w:val="center"/>
              <w:ind w:right="2580"/>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2140" w:type="dxa"/>
            <w:vAlign w:val="bottom"/>
            <w:gridSpan w:val="3"/>
            <w:vMerge w:val="continue"/>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of Tax</w:t>
            </w:r>
          </w:p>
        </w:tc>
        <w:tc>
          <w:tcPr>
            <w:tcW w:w="0" w:type="dxa"/>
            <w:vAlign w:val="bottom"/>
          </w:tcPr>
          <w:p>
            <w:pPr>
              <w:spacing w:after="0"/>
              <w:rPr>
                <w:sz w:val="1"/>
                <w:szCs w:val="1"/>
                <w:color w:val="auto"/>
              </w:rPr>
            </w:pPr>
          </w:p>
        </w:tc>
      </w:tr>
      <w:tr>
        <w:trPr>
          <w:trHeight w:val="173"/>
        </w:trPr>
        <w:tc>
          <w:tcPr>
            <w:tcW w:w="460" w:type="dxa"/>
            <w:vAlign w:val="bottom"/>
            <w:vMerge w:val="continue"/>
          </w:tcPr>
          <w:p>
            <w:pPr>
              <w:spacing w:after="0"/>
              <w:rPr>
                <w:sz w:val="15"/>
                <w:szCs w:val="15"/>
                <w:color w:val="auto"/>
              </w:rPr>
            </w:pPr>
          </w:p>
        </w:tc>
        <w:tc>
          <w:tcPr>
            <w:tcW w:w="3300" w:type="dxa"/>
            <w:vAlign w:val="bottom"/>
            <w:vMerge w:val="continue"/>
          </w:tcPr>
          <w:p>
            <w:pPr>
              <w:spacing w:after="0"/>
              <w:rPr>
                <w:sz w:val="15"/>
                <w:szCs w:val="15"/>
                <w:color w:val="auto"/>
              </w:rPr>
            </w:pPr>
          </w:p>
        </w:tc>
        <w:tc>
          <w:tcPr>
            <w:tcW w:w="3400" w:type="dxa"/>
            <w:vAlign w:val="bottom"/>
            <w:gridSpan w:val="4"/>
            <w:vMerge w:val="continue"/>
          </w:tcPr>
          <w:p>
            <w:pPr>
              <w:spacing w:after="0"/>
              <w:rPr>
                <w:sz w:val="15"/>
                <w:szCs w:val="15"/>
                <w:color w:val="auto"/>
              </w:rPr>
            </w:pPr>
          </w:p>
        </w:tc>
        <w:tc>
          <w:tcPr>
            <w:tcW w:w="2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Residence</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JPMorgan Chase</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13/M/0268710/DTTP</w:t>
            </w:r>
          </w:p>
        </w:tc>
        <w:tc>
          <w:tcPr>
            <w:tcW w:w="900" w:type="dxa"/>
            <w:vAlign w:val="bottom"/>
          </w:tcPr>
          <w:p>
            <w:pPr>
              <w:spacing w:after="0"/>
              <w:rPr>
                <w:sz w:val="22"/>
                <w:szCs w:val="22"/>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3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N.A.</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Citibank, N.A.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13/C/62301/DTTP</w:t>
            </w:r>
          </w:p>
        </w:tc>
        <w:tc>
          <w:tcPr>
            <w:tcW w:w="900" w:type="dxa"/>
            <w:vAlign w:val="bottom"/>
          </w:tcPr>
          <w:p>
            <w:pPr>
              <w:spacing w:after="0"/>
              <w:rPr>
                <w:sz w:val="24"/>
                <w:szCs w:val="24"/>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30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Banco Bilbao</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9/B/75354/DTTP</w:t>
            </w:r>
          </w:p>
        </w:tc>
        <w:tc>
          <w:tcPr>
            <w:tcW w:w="900" w:type="dxa"/>
            <w:vAlign w:val="bottom"/>
          </w:tcPr>
          <w:p>
            <w:pPr>
              <w:spacing w:after="0"/>
              <w:rPr>
                <w:sz w:val="24"/>
                <w:szCs w:val="24"/>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Spain</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Vizcaya Argentaria,</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 New York</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Branch</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Banco Santander,</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013/S/357603/DTTP</w:t>
            </w:r>
          </w:p>
        </w:tc>
        <w:tc>
          <w:tcPr>
            <w:tcW w:w="900" w:type="dxa"/>
            <w:vAlign w:val="bottom"/>
          </w:tcPr>
          <w:p>
            <w:pPr>
              <w:spacing w:after="0"/>
              <w:rPr>
                <w:sz w:val="24"/>
                <w:szCs w:val="24"/>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 New York</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Branch</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of America,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13/B/7418/DTTP</w:t>
            </w:r>
          </w:p>
        </w:tc>
        <w:tc>
          <w:tcPr>
            <w:tcW w:w="900" w:type="dxa"/>
            <w:vAlign w:val="bottom"/>
          </w:tcPr>
          <w:p>
            <w:pPr>
              <w:spacing w:after="0"/>
              <w:rPr>
                <w:sz w:val="24"/>
                <w:szCs w:val="24"/>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3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Barclays Bank PLC</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2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color w:val="auto"/>
                <w:w w:val="96"/>
              </w:rPr>
              <w:t>N/A</w:t>
            </w:r>
          </w:p>
        </w:tc>
        <w:tc>
          <w:tcPr>
            <w:tcW w:w="900" w:type="dxa"/>
            <w:vAlign w:val="bottom"/>
          </w:tcPr>
          <w:p>
            <w:pPr>
              <w:spacing w:after="0"/>
              <w:rPr>
                <w:sz w:val="24"/>
                <w:szCs w:val="24"/>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UK</w:t>
            </w:r>
          </w:p>
        </w:tc>
        <w:tc>
          <w:tcPr>
            <w:tcW w:w="0" w:type="dxa"/>
            <w:vAlign w:val="bottom"/>
          </w:tcPr>
          <w:p>
            <w:pPr>
              <w:spacing w:after="0"/>
              <w:rPr>
                <w:sz w:val="1"/>
                <w:szCs w:val="1"/>
                <w:color w:val="auto"/>
              </w:rPr>
            </w:pPr>
          </w:p>
        </w:tc>
      </w:tr>
      <w:tr>
        <w:trPr>
          <w:trHeight w:val="32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BNP Paribas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5/B/255139/DTTP</w:t>
            </w:r>
          </w:p>
        </w:tc>
        <w:tc>
          <w:tcPr>
            <w:tcW w:w="900" w:type="dxa"/>
            <w:vAlign w:val="bottom"/>
          </w:tcPr>
          <w:p>
            <w:pPr>
              <w:spacing w:after="0"/>
              <w:rPr>
                <w:sz w:val="24"/>
                <w:szCs w:val="24"/>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30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Canadian Imperial</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3/C/80001/DTTP</w:t>
            </w:r>
          </w:p>
        </w:tc>
        <w:tc>
          <w:tcPr>
            <w:tcW w:w="900" w:type="dxa"/>
            <w:vAlign w:val="bottom"/>
          </w:tcPr>
          <w:p>
            <w:pPr>
              <w:spacing w:after="0"/>
              <w:rPr>
                <w:sz w:val="24"/>
                <w:szCs w:val="24"/>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Canada</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of</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Commerce, New</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York Branch</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Agricole Corporate</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8"/>
              </w:rPr>
              <w:t>5/C/0222082/DTTP</w:t>
            </w:r>
          </w:p>
        </w:tc>
        <w:tc>
          <w:tcPr>
            <w:tcW w:w="900" w:type="dxa"/>
            <w:vAlign w:val="bottom"/>
          </w:tcPr>
          <w:p>
            <w:pPr>
              <w:spacing w:after="0"/>
              <w:rPr>
                <w:sz w:val="24"/>
                <w:szCs w:val="24"/>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3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Investment Bank</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Deutsche Bank AG</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8"/>
              </w:rPr>
              <w:t>07/D/70006/DTTP</w:t>
            </w:r>
          </w:p>
        </w:tc>
        <w:tc>
          <w:tcPr>
            <w:tcW w:w="900" w:type="dxa"/>
            <w:vAlign w:val="bottom"/>
          </w:tcPr>
          <w:p>
            <w:pPr>
              <w:spacing w:after="0"/>
              <w:rPr>
                <w:sz w:val="24"/>
                <w:szCs w:val="24"/>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Germany</w:t>
            </w:r>
          </w:p>
        </w:tc>
        <w:tc>
          <w:tcPr>
            <w:tcW w:w="0" w:type="dxa"/>
            <w:vAlign w:val="bottom"/>
          </w:tcPr>
          <w:p>
            <w:pPr>
              <w:spacing w:after="0"/>
              <w:rPr>
                <w:sz w:val="1"/>
                <w:szCs w:val="1"/>
                <w:color w:val="auto"/>
              </w:rPr>
            </w:pPr>
          </w:p>
        </w:tc>
      </w:tr>
      <w:tr>
        <w:trPr>
          <w:trHeight w:val="23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Branch</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13/G/0351779/DTTP</w:t>
            </w:r>
          </w:p>
        </w:tc>
        <w:tc>
          <w:tcPr>
            <w:tcW w:w="900" w:type="dxa"/>
            <w:vAlign w:val="bottom"/>
          </w:tcPr>
          <w:p>
            <w:pPr>
              <w:spacing w:after="0"/>
              <w:rPr>
                <w:sz w:val="24"/>
                <w:szCs w:val="24"/>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3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USA</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Credit Agreement Schedule 1.1A</w:t>
      </w:r>
    </w:p>
    <w:p>
      <w:pPr>
        <w:sectPr>
          <w:pgSz w:w="11900" w:h="16838" w:orient="portrait"/>
          <w:cols w:equalWidth="0" w:num="1">
            <w:col w:w="11020"/>
          </w:cols>
          <w:pgMar w:left="440" w:top="270" w:right="4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0" w:type="dxa"/>
            <w:vAlign w:val="bottom"/>
            <w:gridSpan w:val="3"/>
            <w:vMerge w:val="restart"/>
          </w:tcPr>
          <w:p>
            <w:pPr>
              <w:jc w:val="center"/>
              <w:ind w:left="1272"/>
              <w:spacing w:after="0"/>
              <w:rPr>
                <w:sz w:val="20"/>
                <w:szCs w:val="20"/>
                <w:color w:val="auto"/>
              </w:rPr>
            </w:pPr>
            <w:r>
              <w:rPr>
                <w:rFonts w:ascii="Times New Roman" w:cs="Times New Roman" w:eastAsia="Times New Roman" w:hAnsi="Times New Roman"/>
                <w:sz w:val="14"/>
                <w:szCs w:val="14"/>
                <w:b w:val="1"/>
                <w:bCs w:val="1"/>
                <w:color w:val="auto"/>
              </w:rPr>
              <w:t>Scheme Reference</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0" w:type="dxa"/>
            <w:vAlign w:val="bottom"/>
          </w:tcPr>
          <w:p>
            <w:pPr>
              <w:spacing w:after="0"/>
              <w:rPr>
                <w:sz w:val="1"/>
                <w:szCs w:val="1"/>
                <w:color w:val="auto"/>
              </w:rPr>
            </w:pPr>
          </w:p>
        </w:tc>
      </w:tr>
      <w:tr>
        <w:trPr>
          <w:trHeight w:val="148"/>
        </w:trPr>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3520" w:type="dxa"/>
            <w:vAlign w:val="bottom"/>
            <w:vMerge w:val="restart"/>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5400" w:type="dxa"/>
            <w:vAlign w:val="bottom"/>
            <w:gridSpan w:val="3"/>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of Tax</w:t>
            </w:r>
          </w:p>
        </w:tc>
        <w:tc>
          <w:tcPr>
            <w:tcW w:w="0" w:type="dxa"/>
            <w:vAlign w:val="bottom"/>
          </w:tcPr>
          <w:p>
            <w:pPr>
              <w:spacing w:after="0"/>
              <w:rPr>
                <w:sz w:val="1"/>
                <w:szCs w:val="1"/>
                <w:color w:val="auto"/>
              </w:rPr>
            </w:pPr>
          </w:p>
        </w:tc>
      </w:tr>
      <w:tr>
        <w:trPr>
          <w:trHeight w:val="173"/>
        </w:trPr>
        <w:tc>
          <w:tcPr>
            <w:tcW w:w="460" w:type="dxa"/>
            <w:vAlign w:val="bottom"/>
            <w:vMerge w:val="continue"/>
          </w:tcPr>
          <w:p>
            <w:pPr>
              <w:spacing w:after="0"/>
              <w:rPr>
                <w:sz w:val="15"/>
                <w:szCs w:val="15"/>
                <w:color w:val="auto"/>
              </w:rPr>
            </w:pPr>
          </w:p>
        </w:tc>
        <w:tc>
          <w:tcPr>
            <w:tcW w:w="35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5400" w:type="dxa"/>
            <w:vAlign w:val="bottom"/>
            <w:gridSpan w:val="3"/>
          </w:tcPr>
          <w:p>
            <w:pPr>
              <w:jc w:val="center"/>
              <w:ind w:left="127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Residence</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 and</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0" w:type="dxa"/>
            <w:vAlign w:val="bottom"/>
            <w:gridSpan w:val="3"/>
          </w:tcPr>
          <w:p>
            <w:pPr>
              <w:jc w:val="center"/>
              <w:ind w:left="1292"/>
              <w:spacing w:after="0"/>
              <w:rPr>
                <w:sz w:val="20"/>
                <w:szCs w:val="20"/>
                <w:color w:val="auto"/>
              </w:rPr>
            </w:pPr>
            <w:r>
              <w:rPr>
                <w:rFonts w:ascii="Times New Roman" w:cs="Times New Roman" w:eastAsia="Times New Roman" w:hAnsi="Times New Roman"/>
                <w:sz w:val="18"/>
                <w:szCs w:val="18"/>
                <w:color w:val="auto"/>
                <w:w w:val="99"/>
              </w:rPr>
              <w:t>23/I/358686/DTTP</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Bank</w:t>
            </w:r>
          </w:p>
        </w:tc>
        <w:tc>
          <w:tcPr>
            <w:tcW w:w="8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China Limited,</w:t>
            </w:r>
          </w:p>
        </w:tc>
        <w:tc>
          <w:tcPr>
            <w:tcW w:w="8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Branch</w:t>
            </w:r>
          </w:p>
        </w:tc>
        <w:tc>
          <w:tcPr>
            <w:tcW w:w="8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Intesa Sanpaolo</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140" w:type="dxa"/>
            <w:vAlign w:val="bottom"/>
          </w:tcPr>
          <w:p>
            <w:pPr>
              <w:spacing w:after="0"/>
              <w:rPr>
                <w:sz w:val="24"/>
                <w:szCs w:val="24"/>
                <w:color w:val="auto"/>
              </w:rPr>
            </w:pPr>
          </w:p>
        </w:tc>
        <w:tc>
          <w:tcPr>
            <w:tcW w:w="2260" w:type="dxa"/>
            <w:vAlign w:val="bottom"/>
            <w:gridSpan w:val="2"/>
          </w:tcPr>
          <w:p>
            <w:pPr>
              <w:jc w:val="center"/>
              <w:ind w:right="1780"/>
              <w:spacing w:after="0"/>
              <w:rPr>
                <w:sz w:val="20"/>
                <w:szCs w:val="20"/>
                <w:color w:val="auto"/>
              </w:rPr>
            </w:pPr>
            <w:r>
              <w:rPr>
                <w:rFonts w:ascii="Times New Roman" w:cs="Times New Roman" w:eastAsia="Times New Roman" w:hAnsi="Times New Roman"/>
                <w:sz w:val="18"/>
                <w:szCs w:val="18"/>
                <w:color w:val="auto"/>
              </w:rPr>
              <w:t>N/A</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UK</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 New York</w:t>
            </w:r>
          </w:p>
        </w:tc>
        <w:tc>
          <w:tcPr>
            <w:tcW w:w="8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Branch</w:t>
            </w:r>
          </w:p>
        </w:tc>
        <w:tc>
          <w:tcPr>
            <w:tcW w:w="8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Lloyds Bank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140" w:type="dxa"/>
            <w:vAlign w:val="bottom"/>
          </w:tcPr>
          <w:p>
            <w:pPr>
              <w:spacing w:after="0"/>
              <w:rPr>
                <w:sz w:val="24"/>
                <w:szCs w:val="24"/>
                <w:color w:val="auto"/>
              </w:rPr>
            </w:pPr>
          </w:p>
        </w:tc>
        <w:tc>
          <w:tcPr>
            <w:tcW w:w="2260" w:type="dxa"/>
            <w:vAlign w:val="bottom"/>
            <w:gridSpan w:val="2"/>
          </w:tcPr>
          <w:p>
            <w:pPr>
              <w:jc w:val="center"/>
              <w:ind w:right="1780"/>
              <w:spacing w:after="0"/>
              <w:rPr>
                <w:sz w:val="20"/>
                <w:szCs w:val="20"/>
                <w:color w:val="auto"/>
              </w:rPr>
            </w:pPr>
            <w:r>
              <w:rPr>
                <w:rFonts w:ascii="Times New Roman" w:cs="Times New Roman" w:eastAsia="Times New Roman" w:hAnsi="Times New Roman"/>
                <w:sz w:val="18"/>
                <w:szCs w:val="18"/>
                <w:color w:val="auto"/>
              </w:rPr>
              <w:t>N/A</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UK</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Markets</w:t>
            </w:r>
          </w:p>
        </w:tc>
        <w:tc>
          <w:tcPr>
            <w:tcW w:w="8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plc</w:t>
            </w:r>
          </w:p>
        </w:tc>
        <w:tc>
          <w:tcPr>
            <w:tcW w:w="8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Mizuho Bank, Ltd.</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0" w:type="dxa"/>
            <w:vAlign w:val="bottom"/>
            <w:gridSpan w:val="3"/>
          </w:tcPr>
          <w:p>
            <w:pPr>
              <w:jc w:val="center"/>
              <w:ind w:left="1272"/>
              <w:spacing w:after="0"/>
              <w:rPr>
                <w:sz w:val="20"/>
                <w:szCs w:val="20"/>
                <w:color w:val="auto"/>
              </w:rPr>
            </w:pPr>
            <w:r>
              <w:rPr>
                <w:rFonts w:ascii="Times New Roman" w:cs="Times New Roman" w:eastAsia="Times New Roman" w:hAnsi="Times New Roman"/>
                <w:sz w:val="18"/>
                <w:szCs w:val="18"/>
                <w:color w:val="auto"/>
                <w:w w:val="99"/>
              </w:rPr>
              <w:t>43/M/274822/DTTP</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30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0" w:type="dxa"/>
            <w:vAlign w:val="bottom"/>
            <w:gridSpan w:val="3"/>
          </w:tcPr>
          <w:p>
            <w:pPr>
              <w:jc w:val="center"/>
              <w:ind w:left="1272"/>
              <w:spacing w:after="0"/>
              <w:rPr>
                <w:sz w:val="20"/>
                <w:szCs w:val="20"/>
                <w:color w:val="auto"/>
              </w:rPr>
            </w:pPr>
            <w:r>
              <w:rPr>
                <w:rFonts w:ascii="Times New Roman" w:cs="Times New Roman" w:eastAsia="Times New Roman" w:hAnsi="Times New Roman"/>
                <w:sz w:val="18"/>
                <w:szCs w:val="18"/>
                <w:color w:val="auto"/>
                <w:w w:val="99"/>
              </w:rPr>
              <w:t>13/M/227953/DTTP</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Funding,</w:t>
            </w:r>
          </w:p>
        </w:tc>
        <w:tc>
          <w:tcPr>
            <w:tcW w:w="8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w:t>
            </w:r>
          </w:p>
        </w:tc>
        <w:tc>
          <w:tcPr>
            <w:tcW w:w="8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Royal Bank of</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0" w:type="dxa"/>
            <w:vAlign w:val="bottom"/>
            <w:gridSpan w:val="3"/>
          </w:tcPr>
          <w:p>
            <w:pPr>
              <w:jc w:val="center"/>
              <w:ind w:left="1292"/>
              <w:spacing w:after="0"/>
              <w:rPr>
                <w:sz w:val="20"/>
                <w:szCs w:val="20"/>
                <w:color w:val="auto"/>
              </w:rPr>
            </w:pPr>
            <w:r>
              <w:rPr>
                <w:rFonts w:ascii="Times New Roman" w:cs="Times New Roman" w:eastAsia="Times New Roman" w:hAnsi="Times New Roman"/>
                <w:sz w:val="18"/>
                <w:szCs w:val="18"/>
                <w:color w:val="auto"/>
                <w:w w:val="99"/>
              </w:rPr>
              <w:t>3/R/70780/DTTP</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0" w:type="dxa"/>
            <w:vAlign w:val="bottom"/>
          </w:tcPr>
          <w:p>
            <w:pPr>
              <w:spacing w:after="0"/>
              <w:rPr>
                <w:sz w:val="1"/>
                <w:szCs w:val="1"/>
                <w:color w:val="auto"/>
              </w:rPr>
            </w:pPr>
          </w:p>
        </w:tc>
      </w:tr>
      <w:tr>
        <w:trPr>
          <w:trHeight w:val="234"/>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8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Societe Generale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0" w:type="dxa"/>
            <w:vAlign w:val="bottom"/>
            <w:gridSpan w:val="3"/>
          </w:tcPr>
          <w:p>
            <w:pPr>
              <w:jc w:val="center"/>
              <w:ind w:left="1272"/>
              <w:spacing w:after="0"/>
              <w:rPr>
                <w:sz w:val="20"/>
                <w:szCs w:val="20"/>
                <w:color w:val="auto"/>
              </w:rPr>
            </w:pPr>
            <w:r>
              <w:rPr>
                <w:rFonts w:ascii="Times New Roman" w:cs="Times New Roman" w:eastAsia="Times New Roman" w:hAnsi="Times New Roman"/>
                <w:sz w:val="18"/>
                <w:szCs w:val="18"/>
                <w:color w:val="auto"/>
                <w:w w:val="99"/>
              </w:rPr>
              <w:t>5/S/70085/DTTP</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30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Sumitomo Mitsui</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0" w:type="dxa"/>
            <w:vAlign w:val="bottom"/>
            <w:gridSpan w:val="3"/>
          </w:tcPr>
          <w:p>
            <w:pPr>
              <w:jc w:val="center"/>
              <w:ind w:left="1292"/>
              <w:spacing w:after="0"/>
              <w:rPr>
                <w:sz w:val="20"/>
                <w:szCs w:val="20"/>
                <w:color w:val="auto"/>
              </w:rPr>
            </w:pPr>
            <w:r>
              <w:rPr>
                <w:rFonts w:ascii="Times New Roman" w:cs="Times New Roman" w:eastAsia="Times New Roman" w:hAnsi="Times New Roman"/>
                <w:sz w:val="18"/>
                <w:szCs w:val="18"/>
                <w:color w:val="auto"/>
                <w:w w:val="99"/>
              </w:rPr>
              <w:t>43/S/274647/DTTP</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Banking</w:t>
            </w:r>
          </w:p>
        </w:tc>
        <w:tc>
          <w:tcPr>
            <w:tcW w:w="8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Corporation</w:t>
            </w:r>
          </w:p>
        </w:tc>
        <w:tc>
          <w:tcPr>
            <w:tcW w:w="8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Bank of Nova</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0" w:type="dxa"/>
            <w:vAlign w:val="bottom"/>
            <w:gridSpan w:val="3"/>
          </w:tcPr>
          <w:p>
            <w:pPr>
              <w:jc w:val="center"/>
              <w:ind w:left="1272"/>
              <w:spacing w:after="0"/>
              <w:rPr>
                <w:sz w:val="20"/>
                <w:szCs w:val="20"/>
                <w:color w:val="auto"/>
              </w:rPr>
            </w:pPr>
            <w:r>
              <w:rPr>
                <w:rFonts w:ascii="Times New Roman" w:cs="Times New Roman" w:eastAsia="Times New Roman" w:hAnsi="Times New Roman"/>
                <w:sz w:val="18"/>
                <w:szCs w:val="18"/>
                <w:color w:val="auto"/>
                <w:w w:val="99"/>
              </w:rPr>
              <w:t>003/T/0366714/DTTP</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0" w:type="dxa"/>
            <w:vAlign w:val="bottom"/>
          </w:tcPr>
          <w:p>
            <w:pPr>
              <w:spacing w:after="0"/>
              <w:rPr>
                <w:sz w:val="1"/>
                <w:szCs w:val="1"/>
                <w:color w:val="auto"/>
              </w:rPr>
            </w:pPr>
          </w:p>
        </w:tc>
      </w:tr>
      <w:tr>
        <w:trPr>
          <w:trHeight w:val="234"/>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Scotia</w:t>
            </w:r>
          </w:p>
        </w:tc>
        <w:tc>
          <w:tcPr>
            <w:tcW w:w="8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Toronto-</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0" w:type="dxa"/>
            <w:vAlign w:val="bottom"/>
            <w:gridSpan w:val="3"/>
          </w:tcPr>
          <w:p>
            <w:pPr>
              <w:jc w:val="center"/>
              <w:ind w:left="1272"/>
              <w:spacing w:after="0"/>
              <w:rPr>
                <w:sz w:val="20"/>
                <w:szCs w:val="20"/>
                <w:color w:val="auto"/>
              </w:rPr>
            </w:pPr>
            <w:r>
              <w:rPr>
                <w:rFonts w:ascii="Times New Roman" w:cs="Times New Roman" w:eastAsia="Times New Roman" w:hAnsi="Times New Roman"/>
                <w:sz w:val="18"/>
                <w:szCs w:val="18"/>
                <w:color w:val="auto"/>
                <w:w w:val="99"/>
              </w:rPr>
              <w:t>3/T/80000/DTTP</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Dominion Bank,</w:t>
            </w:r>
          </w:p>
        </w:tc>
        <w:tc>
          <w:tcPr>
            <w:tcW w:w="8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Branch</w:t>
            </w:r>
          </w:p>
        </w:tc>
        <w:tc>
          <w:tcPr>
            <w:tcW w:w="8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0" w:type="dxa"/>
            <w:vAlign w:val="bottom"/>
            <w:gridSpan w:val="3"/>
          </w:tcPr>
          <w:p>
            <w:pPr>
              <w:jc w:val="center"/>
              <w:ind w:left="1272"/>
              <w:spacing w:after="0"/>
              <w:rPr>
                <w:sz w:val="20"/>
                <w:szCs w:val="20"/>
                <w:color w:val="auto"/>
              </w:rPr>
            </w:pPr>
            <w:r>
              <w:rPr>
                <w:rFonts w:ascii="Times New Roman" w:cs="Times New Roman" w:eastAsia="Times New Roman" w:hAnsi="Times New Roman"/>
                <w:sz w:val="18"/>
                <w:szCs w:val="18"/>
                <w:color w:val="auto"/>
                <w:w w:val="99"/>
              </w:rPr>
              <w:t>13/W/61173/DTTP</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34"/>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LLC</w:t>
            </w:r>
          </w:p>
        </w:tc>
        <w:tc>
          <w:tcPr>
            <w:tcW w:w="8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of Montreal</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0" w:type="dxa"/>
            <w:vAlign w:val="bottom"/>
            <w:gridSpan w:val="3"/>
          </w:tcPr>
          <w:p>
            <w:pPr>
              <w:jc w:val="center"/>
              <w:ind w:left="1272"/>
              <w:spacing w:after="0"/>
              <w:rPr>
                <w:sz w:val="20"/>
                <w:szCs w:val="20"/>
                <w:color w:val="auto"/>
              </w:rPr>
            </w:pPr>
            <w:r>
              <w:rPr>
                <w:rFonts w:ascii="Times New Roman" w:cs="Times New Roman" w:eastAsia="Times New Roman" w:hAnsi="Times New Roman"/>
                <w:sz w:val="18"/>
                <w:szCs w:val="18"/>
                <w:color w:val="auto"/>
              </w:rPr>
              <w:t>3/M/270436/DTTP</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0" w:type="dxa"/>
            <w:vAlign w:val="bottom"/>
          </w:tcPr>
          <w:p>
            <w:pPr>
              <w:spacing w:after="0"/>
              <w:rPr>
                <w:sz w:val="1"/>
                <w:szCs w:val="1"/>
                <w:color w:val="auto"/>
              </w:rPr>
            </w:pPr>
          </w:p>
        </w:tc>
      </w:tr>
      <w:tr>
        <w:trPr>
          <w:trHeight w:val="324"/>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DBS Bank Ltd.</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0" w:type="dxa"/>
            <w:vAlign w:val="bottom"/>
            <w:gridSpan w:val="3"/>
          </w:tcPr>
          <w:p>
            <w:pPr>
              <w:jc w:val="center"/>
              <w:ind w:left="1272"/>
              <w:spacing w:after="0"/>
              <w:rPr>
                <w:sz w:val="20"/>
                <w:szCs w:val="20"/>
                <w:color w:val="auto"/>
              </w:rPr>
            </w:pPr>
            <w:r>
              <w:rPr>
                <w:rFonts w:ascii="Times New Roman" w:cs="Times New Roman" w:eastAsia="Times New Roman" w:hAnsi="Times New Roman"/>
                <w:sz w:val="18"/>
                <w:szCs w:val="18"/>
                <w:color w:val="auto"/>
                <w:w w:val="99"/>
              </w:rPr>
              <w:t>67/D/363894/DTTP</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324"/>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MUFG Bank, Ltd.</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0" w:type="dxa"/>
            <w:vAlign w:val="bottom"/>
            <w:gridSpan w:val="3"/>
          </w:tcPr>
          <w:p>
            <w:pPr>
              <w:jc w:val="center"/>
              <w:ind w:left="1272"/>
              <w:spacing w:after="0"/>
              <w:rPr>
                <w:sz w:val="20"/>
                <w:szCs w:val="20"/>
                <w:color w:val="auto"/>
              </w:rPr>
            </w:pPr>
            <w:r>
              <w:rPr>
                <w:rFonts w:ascii="Times New Roman" w:cs="Times New Roman" w:eastAsia="Times New Roman" w:hAnsi="Times New Roman"/>
                <w:sz w:val="18"/>
                <w:szCs w:val="18"/>
                <w:color w:val="auto"/>
                <w:w w:val="99"/>
              </w:rPr>
              <w:t>43/B/322072/DTTP</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324"/>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Bank National Association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0" w:type="dxa"/>
            <w:vAlign w:val="bottom"/>
            <w:gridSpan w:val="3"/>
          </w:tcPr>
          <w:p>
            <w:pPr>
              <w:jc w:val="center"/>
              <w:ind w:left="1272"/>
              <w:spacing w:after="0"/>
              <w:rPr>
                <w:sz w:val="20"/>
                <w:szCs w:val="20"/>
                <w:color w:val="auto"/>
              </w:rPr>
            </w:pPr>
            <w:r>
              <w:rPr>
                <w:rFonts w:ascii="Times New Roman" w:cs="Times New Roman" w:eastAsia="Times New Roman" w:hAnsi="Times New Roman"/>
                <w:sz w:val="18"/>
                <w:szCs w:val="18"/>
                <w:color w:val="auto"/>
                <w:w w:val="99"/>
              </w:rPr>
              <w:t>13/U/62184/DTTP</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30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UniCredit Bank</w:t>
            </w:r>
          </w:p>
        </w:tc>
        <w:tc>
          <w:tcPr>
            <w:tcW w:w="8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GmbH, New York</w:t>
            </w:r>
          </w:p>
        </w:tc>
        <w:tc>
          <w:tcPr>
            <w:tcW w:w="8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Branch</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0" w:type="dxa"/>
            <w:vAlign w:val="bottom"/>
            <w:gridSpan w:val="3"/>
          </w:tcPr>
          <w:p>
            <w:pPr>
              <w:jc w:val="center"/>
              <w:ind w:left="1272"/>
              <w:spacing w:after="0"/>
              <w:rPr>
                <w:sz w:val="20"/>
                <w:szCs w:val="20"/>
                <w:color w:val="auto"/>
              </w:rPr>
            </w:pPr>
            <w:r>
              <w:rPr>
                <w:rFonts w:ascii="Times New Roman" w:cs="Times New Roman" w:eastAsia="Times New Roman" w:hAnsi="Times New Roman"/>
                <w:sz w:val="18"/>
                <w:szCs w:val="18"/>
                <w:color w:val="auto"/>
                <w:w w:val="99"/>
              </w:rPr>
              <w:t>7/U/237605/DTTP</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40"/>
          </w:cols>
          <w:pgMar w:left="440" w:top="251"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17" w:name="page118"/>
    <w:bookmarkEnd w:id="117"/>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9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Scheme Reference</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0" w:type="dxa"/>
            <w:vAlign w:val="bottom"/>
          </w:tcPr>
          <w:p>
            <w:pPr>
              <w:spacing w:after="0"/>
              <w:rPr>
                <w:sz w:val="1"/>
                <w:szCs w:val="1"/>
                <w:color w:val="auto"/>
              </w:rPr>
            </w:pPr>
          </w:p>
        </w:tc>
      </w:tr>
      <w:tr>
        <w:trPr>
          <w:trHeight w:val="148"/>
        </w:trPr>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2060" w:type="dxa"/>
            <w:vAlign w:val="bottom"/>
            <w:vMerge w:val="restart"/>
          </w:tcPr>
          <w:p>
            <w:pPr>
              <w:spacing w:after="0"/>
              <w:rPr>
                <w:sz w:val="12"/>
                <w:szCs w:val="12"/>
                <w:color w:val="auto"/>
              </w:rPr>
            </w:pPr>
          </w:p>
        </w:tc>
        <w:tc>
          <w:tcPr>
            <w:tcW w:w="1460" w:type="dxa"/>
            <w:vAlign w:val="bottom"/>
          </w:tcPr>
          <w:p>
            <w:pPr>
              <w:spacing w:after="0"/>
              <w:rPr>
                <w:sz w:val="12"/>
                <w:szCs w:val="12"/>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1460" w:type="dxa"/>
            <w:vAlign w:val="bottom"/>
            <w:vMerge w:val="restart"/>
          </w:tcPr>
          <w:p>
            <w:pPr>
              <w:spacing w:after="0"/>
              <w:rPr>
                <w:sz w:val="12"/>
                <w:szCs w:val="12"/>
                <w:color w:val="auto"/>
              </w:rPr>
            </w:pPr>
          </w:p>
        </w:tc>
        <w:tc>
          <w:tcPr>
            <w:tcW w:w="3940" w:type="dxa"/>
            <w:vAlign w:val="bottom"/>
            <w:gridSpan w:val="3"/>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of Tax</w:t>
            </w:r>
          </w:p>
        </w:tc>
        <w:tc>
          <w:tcPr>
            <w:tcW w:w="0" w:type="dxa"/>
            <w:vAlign w:val="bottom"/>
          </w:tcPr>
          <w:p>
            <w:pPr>
              <w:spacing w:after="0"/>
              <w:rPr>
                <w:sz w:val="1"/>
                <w:szCs w:val="1"/>
                <w:color w:val="auto"/>
              </w:rPr>
            </w:pPr>
          </w:p>
        </w:tc>
      </w:tr>
      <w:tr>
        <w:trPr>
          <w:trHeight w:val="173"/>
        </w:trPr>
        <w:tc>
          <w:tcPr>
            <w:tcW w:w="460" w:type="dxa"/>
            <w:vAlign w:val="bottom"/>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14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39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Residence</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ING Bank N.V.,</w:t>
            </w:r>
          </w:p>
        </w:tc>
        <w:tc>
          <w:tcPr>
            <w:tcW w:w="2280" w:type="dxa"/>
            <w:vAlign w:val="bottom"/>
            <w:gridSpan w:val="2"/>
          </w:tcPr>
          <w:p>
            <w:pPr>
              <w:jc w:val="center"/>
              <w:ind w:left="139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spacing w:after="0"/>
              <w:rPr>
                <w:sz w:val="24"/>
                <w:szCs w:val="24"/>
                <w:color w:val="auto"/>
              </w:rPr>
            </w:pPr>
          </w:p>
        </w:tc>
        <w:tc>
          <w:tcPr>
            <w:tcW w:w="39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12-I-371270-DTTP</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Ireland</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Dublin Branch</w:t>
            </w:r>
          </w:p>
        </w:tc>
        <w:tc>
          <w:tcPr>
            <w:tcW w:w="1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9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(with respect to ING</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9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Ireland DAC as</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9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applicable lending</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60" w:type="dxa"/>
            <w:vAlign w:val="bottom"/>
            <w:gridSpan w:val="2"/>
          </w:tcPr>
          <w:p>
            <w:pPr>
              <w:jc w:val="center"/>
              <w:ind w:right="1780"/>
              <w:spacing w:after="0"/>
              <w:rPr>
                <w:sz w:val="20"/>
                <w:szCs w:val="20"/>
                <w:color w:val="auto"/>
              </w:rPr>
            </w:pPr>
            <w:r>
              <w:rPr>
                <w:rFonts w:ascii="Times New Roman" w:cs="Times New Roman" w:eastAsia="Times New Roman" w:hAnsi="Times New Roman"/>
                <w:sz w:val="18"/>
                <w:szCs w:val="18"/>
                <w:color w:val="auto"/>
                <w:w w:val="99"/>
              </w:rPr>
              <w:t>office)</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Bank of New</w:t>
            </w:r>
          </w:p>
        </w:tc>
        <w:tc>
          <w:tcPr>
            <w:tcW w:w="2280" w:type="dxa"/>
            <w:vAlign w:val="bottom"/>
            <w:gridSpan w:val="2"/>
          </w:tcPr>
          <w:p>
            <w:pPr>
              <w:jc w:val="center"/>
              <w:ind w:left="139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spacing w:after="0"/>
              <w:rPr>
                <w:sz w:val="24"/>
                <w:szCs w:val="24"/>
                <w:color w:val="auto"/>
              </w:rPr>
            </w:pPr>
          </w:p>
        </w:tc>
        <w:tc>
          <w:tcPr>
            <w:tcW w:w="39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13/B/357401/DTTP</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U.S.A.</w:t>
            </w:r>
          </w:p>
        </w:tc>
        <w:tc>
          <w:tcPr>
            <w:tcW w:w="0" w:type="dxa"/>
            <w:vAlign w:val="bottom"/>
          </w:tcPr>
          <w:p>
            <w:pPr>
              <w:spacing w:after="0"/>
              <w:rPr>
                <w:sz w:val="1"/>
                <w:szCs w:val="1"/>
                <w:color w:val="auto"/>
              </w:rPr>
            </w:pPr>
          </w:p>
        </w:tc>
      </w:tr>
      <w:tr>
        <w:trPr>
          <w:trHeight w:val="241"/>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York Mellon</w:t>
            </w:r>
          </w:p>
        </w:tc>
        <w:tc>
          <w:tcPr>
            <w:tcW w:w="1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Total</w:t>
            </w:r>
          </w:p>
        </w:tc>
        <w:tc>
          <w:tcPr>
            <w:tcW w:w="37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$2,000,000,000</w:t>
            </w:r>
          </w:p>
        </w:tc>
        <w:tc>
          <w:tcPr>
            <w:tcW w:w="1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40"/>
          </w:cols>
          <w:pgMar w:left="440" w:top="251"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18" w:name="page119"/>
    <w:bookmarkEnd w:id="118"/>
    <w:p>
      <w:pPr>
        <w:ind w:left="96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1.1B</w:t>
      </w:r>
    </w:p>
    <w:p>
      <w:pPr>
        <w:spacing w:after="0" w:line="27"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 xml:space="preserve">to 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8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Initial Excluded Subsidiaries</w:t>
            </w:r>
          </w:p>
        </w:tc>
        <w:tc>
          <w:tcPr>
            <w:tcW w:w="0" w:type="dxa"/>
            <w:vAlign w:val="bottom"/>
          </w:tcPr>
          <w:p>
            <w:pPr>
              <w:spacing w:after="0"/>
              <w:rPr>
                <w:sz w:val="1"/>
                <w:szCs w:val="1"/>
                <w:color w:val="auto"/>
              </w:rPr>
            </w:pPr>
          </w:p>
        </w:tc>
      </w:tr>
      <w:tr>
        <w:trPr>
          <w:trHeight w:val="367"/>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Entity</w:t>
            </w:r>
          </w:p>
        </w:tc>
        <w:tc>
          <w:tcPr>
            <w:tcW w:w="5820" w:type="dxa"/>
            <w:vAlign w:val="bottom"/>
            <w:gridSpan w:val="3"/>
          </w:tcPr>
          <w:p>
            <w:pPr>
              <w:jc w:val="center"/>
              <w:ind w:left="4839"/>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0" w:type="dxa"/>
            <w:vAlign w:val="bottom"/>
          </w:tcPr>
          <w:p>
            <w:pPr>
              <w:spacing w:after="0"/>
              <w:rPr>
                <w:sz w:val="1"/>
                <w:szCs w:val="1"/>
                <w:color w:val="auto"/>
              </w:rPr>
            </w:pPr>
          </w:p>
        </w:tc>
      </w:tr>
      <w:tr>
        <w:trPr>
          <w:trHeight w:val="173"/>
        </w:trPr>
        <w:tc>
          <w:tcPr>
            <w:tcW w:w="3720" w:type="dxa"/>
            <w:vAlign w:val="bottom"/>
            <w:gridSpan w:val="2"/>
            <w:vMerge w:val="continue"/>
          </w:tcPr>
          <w:p>
            <w:pPr>
              <w:spacing w:after="0"/>
              <w:rPr>
                <w:sz w:val="15"/>
                <w:szCs w:val="15"/>
                <w:color w:val="auto"/>
              </w:rPr>
            </w:pPr>
          </w:p>
        </w:tc>
        <w:tc>
          <w:tcPr>
            <w:tcW w:w="4960" w:type="dxa"/>
            <w:vAlign w:val="bottom"/>
          </w:tcPr>
          <w:p>
            <w:pPr>
              <w:spacing w:after="0"/>
              <w:rPr>
                <w:sz w:val="15"/>
                <w:szCs w:val="15"/>
                <w:color w:val="auto"/>
              </w:rPr>
            </w:pP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0" w:type="dxa"/>
            <w:vAlign w:val="bottom"/>
          </w:tcPr>
          <w:p>
            <w:pPr>
              <w:spacing w:after="0"/>
              <w:rPr>
                <w:sz w:val="1"/>
                <w:szCs w:val="1"/>
                <w:color w:val="auto"/>
              </w:rPr>
            </w:pPr>
          </w:p>
        </w:tc>
      </w:tr>
      <w:tr>
        <w:trPr>
          <w:trHeight w:val="200"/>
        </w:trPr>
        <w:tc>
          <w:tcPr>
            <w:tcW w:w="94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w w:val="96"/>
              </w:rPr>
              <w:t>Cruise LLC</w:t>
            </w:r>
          </w:p>
        </w:tc>
        <w:tc>
          <w:tcPr>
            <w:tcW w:w="278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82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Delaware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General Motors China LLC</w:t>
            </w:r>
          </w:p>
        </w:tc>
        <w:tc>
          <w:tcPr>
            <w:tcW w:w="4960" w:type="dxa"/>
            <w:vAlign w:val="bottom"/>
          </w:tcPr>
          <w:p>
            <w:pPr>
              <w:spacing w:after="0"/>
              <w:rPr>
                <w:sz w:val="19"/>
                <w:szCs w:val="19"/>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General Motors Ventures LLC</w:t>
            </w:r>
          </w:p>
        </w:tc>
        <w:tc>
          <w:tcPr>
            <w:tcW w:w="4960" w:type="dxa"/>
            <w:vAlign w:val="bottom"/>
          </w:tcPr>
          <w:p>
            <w:pPr>
              <w:spacing w:after="0"/>
              <w:rPr>
                <w:sz w:val="19"/>
                <w:szCs w:val="19"/>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29"/>
        </w:trPr>
        <w:tc>
          <w:tcPr>
            <w:tcW w:w="3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Global Services Detroit LLC</w:t>
            </w:r>
          </w:p>
        </w:tc>
        <w:tc>
          <w:tcPr>
            <w:tcW w:w="4960" w:type="dxa"/>
            <w:vAlign w:val="bottom"/>
          </w:tcPr>
          <w:p>
            <w:pPr>
              <w:spacing w:after="0"/>
              <w:rPr>
                <w:sz w:val="19"/>
                <w:szCs w:val="19"/>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GM Regional Holdings LLC</w:t>
            </w:r>
          </w:p>
        </w:tc>
        <w:tc>
          <w:tcPr>
            <w:tcW w:w="4960" w:type="dxa"/>
            <w:vAlign w:val="bottom"/>
          </w:tcPr>
          <w:p>
            <w:pPr>
              <w:spacing w:after="0"/>
              <w:rPr>
                <w:sz w:val="19"/>
                <w:szCs w:val="19"/>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29"/>
        </w:trPr>
        <w:tc>
          <w:tcPr>
            <w:tcW w:w="3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Maven Drive LLC</w:t>
            </w:r>
          </w:p>
        </w:tc>
        <w:tc>
          <w:tcPr>
            <w:tcW w:w="4960" w:type="dxa"/>
            <w:vAlign w:val="bottom"/>
          </w:tcPr>
          <w:p>
            <w:pPr>
              <w:spacing w:after="0"/>
              <w:rPr>
                <w:sz w:val="19"/>
                <w:szCs w:val="19"/>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29"/>
        </w:trPr>
        <w:tc>
          <w:tcPr>
            <w:tcW w:w="3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OnStar, LLC</w:t>
            </w:r>
          </w:p>
        </w:tc>
        <w:tc>
          <w:tcPr>
            <w:tcW w:w="4960" w:type="dxa"/>
            <w:vAlign w:val="bottom"/>
          </w:tcPr>
          <w:p>
            <w:pPr>
              <w:spacing w:after="0"/>
              <w:rPr>
                <w:sz w:val="19"/>
                <w:szCs w:val="19"/>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General Motors AV Holdings LLC</w:t>
            </w:r>
          </w:p>
        </w:tc>
        <w:tc>
          <w:tcPr>
            <w:tcW w:w="4960" w:type="dxa"/>
            <w:vAlign w:val="bottom"/>
          </w:tcPr>
          <w:p>
            <w:pPr>
              <w:spacing w:after="0"/>
              <w:rPr>
                <w:sz w:val="19"/>
                <w:szCs w:val="19"/>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29"/>
        </w:trPr>
        <w:tc>
          <w:tcPr>
            <w:tcW w:w="3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GM Cruise Holdings LLC</w:t>
            </w:r>
          </w:p>
        </w:tc>
        <w:tc>
          <w:tcPr>
            <w:tcW w:w="4960" w:type="dxa"/>
            <w:vAlign w:val="bottom"/>
          </w:tcPr>
          <w:p>
            <w:pPr>
              <w:spacing w:after="0"/>
              <w:rPr>
                <w:sz w:val="19"/>
                <w:szCs w:val="19"/>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OnStar Global Services Corporation</w:t>
            </w:r>
          </w:p>
        </w:tc>
        <w:tc>
          <w:tcPr>
            <w:tcW w:w="4960" w:type="dxa"/>
            <w:vAlign w:val="bottom"/>
          </w:tcPr>
          <w:p>
            <w:pPr>
              <w:spacing w:after="0"/>
              <w:rPr>
                <w:sz w:val="19"/>
                <w:szCs w:val="19"/>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29"/>
        </w:trPr>
        <w:tc>
          <w:tcPr>
            <w:tcW w:w="3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BrightDrop LLC</w:t>
            </w:r>
          </w:p>
        </w:tc>
        <w:tc>
          <w:tcPr>
            <w:tcW w:w="4960" w:type="dxa"/>
            <w:vAlign w:val="bottom"/>
          </w:tcPr>
          <w:p>
            <w:pPr>
              <w:spacing w:after="0"/>
              <w:rPr>
                <w:sz w:val="19"/>
                <w:szCs w:val="19"/>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29"/>
        </w:trPr>
        <w:tc>
          <w:tcPr>
            <w:tcW w:w="3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BrightDrop Solutions LLC</w:t>
            </w:r>
          </w:p>
        </w:tc>
        <w:tc>
          <w:tcPr>
            <w:tcW w:w="4960" w:type="dxa"/>
            <w:vAlign w:val="bottom"/>
          </w:tcPr>
          <w:p>
            <w:pPr>
              <w:spacing w:after="0"/>
              <w:rPr>
                <w:sz w:val="19"/>
                <w:szCs w:val="19"/>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BrightDrop Vehicle Distribution LLC</w:t>
            </w:r>
          </w:p>
        </w:tc>
        <w:tc>
          <w:tcPr>
            <w:tcW w:w="4960" w:type="dxa"/>
            <w:vAlign w:val="bottom"/>
          </w:tcPr>
          <w:p>
            <w:pPr>
              <w:spacing w:after="0"/>
              <w:rPr>
                <w:sz w:val="19"/>
                <w:szCs w:val="19"/>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8"/>
        </w:trPr>
        <w:tc>
          <w:tcPr>
            <w:tcW w:w="3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General Motors Energy LLC</w:t>
            </w:r>
          </w:p>
        </w:tc>
        <w:tc>
          <w:tcPr>
            <w:tcW w:w="4960" w:type="dxa"/>
            <w:vAlign w:val="bottom"/>
          </w:tcPr>
          <w:p>
            <w:pPr>
              <w:spacing w:after="0"/>
              <w:rPr>
                <w:sz w:val="22"/>
                <w:szCs w:val="22"/>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Credit Agreement Schedule 1.1B</w:t>
      </w:r>
    </w:p>
    <w:p>
      <w:pPr>
        <w:sectPr>
          <w:pgSz w:w="11900" w:h="16838" w:orient="portrait"/>
          <w:cols w:equalWidth="0" w:num="1">
            <w:col w:w="11020"/>
          </w:cols>
          <w:pgMar w:left="440" w:top="270" w:right="439" w:bottom="1440" w:gutter="0" w:footer="0" w:header="0"/>
        </w:sectPr>
      </w:pPr>
    </w:p>
    <w:bookmarkStart w:id="119" w:name="page120"/>
    <w:bookmarkEnd w:id="119"/>
    <w:p>
      <w:pPr>
        <w:ind w:left="96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1.1C</w:t>
      </w:r>
    </w:p>
    <w:p>
      <w:pPr>
        <w:spacing w:after="0" w:line="27"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 xml:space="preserve">to 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PRICING GRID</w:t>
      </w:r>
    </w:p>
    <w:p>
      <w:pPr>
        <w:spacing w:after="0" w:line="237"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470"/>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All-in Spread</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470"/>
              <w:spacing w:after="0" w:line="149" w:lineRule="exact"/>
              <w:rPr>
                <w:sz w:val="20"/>
                <w:szCs w:val="20"/>
                <w:color w:val="auto"/>
              </w:rPr>
            </w:pPr>
            <w:r>
              <w:rPr>
                <w:rFonts w:ascii="Times New Roman" w:cs="Times New Roman" w:eastAsia="Times New Roman" w:hAnsi="Times New Roman"/>
                <w:sz w:val="14"/>
                <w:szCs w:val="14"/>
                <w:b w:val="1"/>
                <w:bCs w:val="1"/>
                <w:color w:val="auto"/>
              </w:rPr>
              <w:t>Margin for</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290"/>
              <w:spacing w:after="0" w:line="149" w:lineRule="exact"/>
              <w:rPr>
                <w:sz w:val="20"/>
                <w:szCs w:val="20"/>
                <w:color w:val="auto"/>
              </w:rPr>
            </w:pPr>
            <w:r>
              <w:rPr>
                <w:rFonts w:ascii="Times New Roman" w:cs="Times New Roman" w:eastAsia="Times New Roman" w:hAnsi="Times New Roman"/>
                <w:sz w:val="14"/>
                <w:szCs w:val="14"/>
                <w:b w:val="1"/>
                <w:bCs w:val="1"/>
                <w:color w:val="auto"/>
              </w:rPr>
              <w:t>for Daily</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80" w:type="dxa"/>
            <w:vAlign w:val="bottom"/>
            <w:gridSpan w:val="3"/>
          </w:tcPr>
          <w:p>
            <w:pPr>
              <w:jc w:val="center"/>
              <w:ind w:right="230"/>
              <w:spacing w:after="0" w:line="149" w:lineRule="exact"/>
              <w:rPr>
                <w:sz w:val="20"/>
                <w:szCs w:val="20"/>
                <w:color w:val="auto"/>
              </w:rPr>
            </w:pPr>
            <w:r>
              <w:rPr>
                <w:rFonts w:ascii="Times New Roman" w:cs="Times New Roman" w:eastAsia="Times New Roman" w:hAnsi="Times New Roman"/>
                <w:sz w:val="14"/>
                <w:szCs w:val="14"/>
                <w:b w:val="1"/>
                <w:bCs w:val="1"/>
                <w:color w:val="auto"/>
              </w:rPr>
              <w:t>Daily Simple</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80" w:type="dxa"/>
            <w:vAlign w:val="bottom"/>
            <w:gridSpan w:val="3"/>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Simple SOFR</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80" w:type="dxa"/>
            <w:vAlign w:val="bottom"/>
            <w:gridSpan w:val="3"/>
          </w:tcPr>
          <w:p>
            <w:pPr>
              <w:jc w:val="center"/>
              <w:ind w:right="230"/>
              <w:spacing w:after="0" w:line="149" w:lineRule="exact"/>
              <w:rPr>
                <w:sz w:val="20"/>
                <w:szCs w:val="20"/>
                <w:color w:val="auto"/>
              </w:rPr>
            </w:pPr>
            <w:r>
              <w:rPr>
                <w:rFonts w:ascii="Times New Roman" w:cs="Times New Roman" w:eastAsia="Times New Roman" w:hAnsi="Times New Roman"/>
                <w:sz w:val="14"/>
                <w:szCs w:val="14"/>
                <w:b w:val="1"/>
                <w:bCs w:val="1"/>
                <w:color w:val="auto"/>
              </w:rPr>
              <w:t>SOFR Loans</w:t>
            </w:r>
          </w:p>
        </w:tc>
        <w:tc>
          <w:tcPr>
            <w:tcW w:w="240" w:type="dxa"/>
            <w:vAlign w:val="bottom"/>
          </w:tcPr>
          <w:p>
            <w:pPr>
              <w:spacing w:after="0"/>
              <w:rPr>
                <w:sz w:val="12"/>
                <w:szCs w:val="12"/>
                <w:color w:val="auto"/>
              </w:rPr>
            </w:pPr>
          </w:p>
        </w:tc>
        <w:tc>
          <w:tcPr>
            <w:tcW w:w="1560" w:type="dxa"/>
            <w:vAlign w:val="bottom"/>
            <w:gridSpan w:val="2"/>
            <w:vMerge w:val="restart"/>
          </w:tcPr>
          <w:p>
            <w:pPr>
              <w:jc w:val="center"/>
              <w:ind w:right="490"/>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240" w:type="dxa"/>
            <w:vAlign w:val="bottom"/>
          </w:tcPr>
          <w:p>
            <w:pPr>
              <w:spacing w:after="0"/>
              <w:rPr>
                <w:sz w:val="12"/>
                <w:szCs w:val="12"/>
                <w:color w:val="auto"/>
              </w:rPr>
            </w:pPr>
          </w:p>
        </w:tc>
        <w:tc>
          <w:tcPr>
            <w:tcW w:w="1240" w:type="dxa"/>
            <w:vAlign w:val="bottom"/>
            <w:gridSpan w:val="2"/>
          </w:tcPr>
          <w:p>
            <w:pPr>
              <w:jc w:val="center"/>
              <w:ind w:right="310"/>
              <w:spacing w:after="0" w:line="149" w:lineRule="exact"/>
              <w:rPr>
                <w:sz w:val="20"/>
                <w:szCs w:val="20"/>
                <w:color w:val="auto"/>
              </w:rPr>
            </w:pPr>
            <w:r>
              <w:rPr>
                <w:rFonts w:ascii="Times New Roman" w:cs="Times New Roman" w:eastAsia="Times New Roman" w:hAnsi="Times New Roman"/>
                <w:sz w:val="14"/>
                <w:szCs w:val="14"/>
                <w:b w:val="1"/>
                <w:bCs w:val="1"/>
                <w:color w:val="auto"/>
              </w:rPr>
              <w:t>Loans and</w:t>
            </w:r>
          </w:p>
        </w:tc>
        <w:tc>
          <w:tcPr>
            <w:tcW w:w="0" w:type="dxa"/>
            <w:vAlign w:val="bottom"/>
          </w:tcPr>
          <w:p>
            <w:pPr>
              <w:spacing w:after="0"/>
              <w:rPr>
                <w:sz w:val="1"/>
                <w:szCs w:val="1"/>
                <w:color w:val="auto"/>
              </w:rPr>
            </w:pPr>
          </w:p>
        </w:tc>
      </w:tr>
      <w:tr>
        <w:trPr>
          <w:trHeight w:val="148"/>
        </w:trPr>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S&amp;P / Moody’s / Fitch</w:t>
            </w:r>
          </w:p>
        </w:tc>
        <w:tc>
          <w:tcPr>
            <w:tcW w:w="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490"/>
              <w:spacing w:after="0" w:line="149" w:lineRule="exact"/>
              <w:rPr>
                <w:sz w:val="20"/>
                <w:szCs w:val="20"/>
                <w:color w:val="auto"/>
              </w:rPr>
            </w:pPr>
            <w:r>
              <w:rPr>
                <w:rFonts w:ascii="Times New Roman" w:cs="Times New Roman" w:eastAsia="Times New Roman" w:hAnsi="Times New Roman"/>
                <w:sz w:val="14"/>
                <w:szCs w:val="14"/>
                <w:b w:val="1"/>
                <w:bCs w:val="1"/>
                <w:color w:val="auto"/>
              </w:rPr>
              <w:t>and Term</w:t>
            </w:r>
          </w:p>
        </w:tc>
        <w:tc>
          <w:tcPr>
            <w:tcW w:w="2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1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0" w:type="dxa"/>
            <w:vAlign w:val="bottom"/>
          </w:tcPr>
          <w:p>
            <w:pPr>
              <w:spacing w:after="0"/>
              <w:rPr>
                <w:sz w:val="1"/>
                <w:szCs w:val="1"/>
                <w:color w:val="auto"/>
              </w:rPr>
            </w:pPr>
          </w:p>
        </w:tc>
      </w:tr>
      <w:tr>
        <w:trPr>
          <w:trHeight w:val="146"/>
        </w:trPr>
        <w:tc>
          <w:tcPr>
            <w:tcW w:w="2200" w:type="dxa"/>
            <w:vAlign w:val="bottom"/>
            <w:gridSpan w:val="2"/>
            <w:vMerge w:val="continue"/>
          </w:tcPr>
          <w:p>
            <w:pPr>
              <w:spacing w:after="0"/>
              <w:rPr>
                <w:sz w:val="12"/>
                <w:szCs w:val="12"/>
                <w:color w:val="auto"/>
              </w:rPr>
            </w:pPr>
          </w:p>
        </w:tc>
        <w:tc>
          <w:tcPr>
            <w:tcW w:w="2200" w:type="dxa"/>
            <w:vAlign w:val="bottom"/>
            <w:gridSpan w:val="3"/>
            <w:vMerge w:val="restart"/>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Facility Fee Rate</w:t>
            </w:r>
          </w:p>
        </w:tc>
        <w:tc>
          <w:tcPr>
            <w:tcW w:w="240" w:type="dxa"/>
            <w:vAlign w:val="bottom"/>
          </w:tcPr>
          <w:p>
            <w:pPr>
              <w:spacing w:after="0"/>
              <w:rPr>
                <w:sz w:val="12"/>
                <w:szCs w:val="12"/>
                <w:color w:val="auto"/>
              </w:rPr>
            </w:pPr>
          </w:p>
        </w:tc>
        <w:tc>
          <w:tcPr>
            <w:tcW w:w="1340" w:type="dxa"/>
            <w:vAlign w:val="bottom"/>
            <w:gridSpan w:val="2"/>
          </w:tcPr>
          <w:p>
            <w:pPr>
              <w:jc w:val="center"/>
              <w:ind w:right="490"/>
              <w:spacing w:after="0" w:line="146" w:lineRule="exact"/>
              <w:rPr>
                <w:sz w:val="20"/>
                <w:szCs w:val="20"/>
                <w:color w:val="auto"/>
              </w:rPr>
            </w:pPr>
            <w:r>
              <w:rPr>
                <w:rFonts w:ascii="Times New Roman" w:cs="Times New Roman" w:eastAsia="Times New Roman" w:hAnsi="Times New Roman"/>
                <w:sz w:val="14"/>
                <w:szCs w:val="14"/>
                <w:b w:val="1"/>
                <w:bCs w:val="1"/>
                <w:color w:val="auto"/>
              </w:rPr>
              <w:t>Benchmark</w:t>
            </w:r>
          </w:p>
        </w:tc>
        <w:tc>
          <w:tcPr>
            <w:tcW w:w="1800" w:type="dxa"/>
            <w:vAlign w:val="bottom"/>
            <w:gridSpan w:val="3"/>
          </w:tcPr>
          <w:p>
            <w:pPr>
              <w:jc w:val="center"/>
              <w:ind w:right="230"/>
              <w:spacing w:after="0" w:line="146" w:lineRule="exact"/>
              <w:rPr>
                <w:sz w:val="20"/>
                <w:szCs w:val="20"/>
                <w:color w:val="auto"/>
              </w:rPr>
            </w:pPr>
            <w:r>
              <w:rPr>
                <w:rFonts w:ascii="Times New Roman" w:cs="Times New Roman" w:eastAsia="Times New Roman" w:hAnsi="Times New Roman"/>
                <w:sz w:val="14"/>
                <w:szCs w:val="14"/>
                <w:b w:val="1"/>
                <w:bCs w:val="1"/>
                <w:color w:val="auto"/>
              </w:rPr>
              <w:t>Margin for ABR</w:t>
            </w:r>
          </w:p>
        </w:tc>
        <w:tc>
          <w:tcPr>
            <w:tcW w:w="240" w:type="dxa"/>
            <w:vAlign w:val="bottom"/>
          </w:tcPr>
          <w:p>
            <w:pPr>
              <w:spacing w:after="0"/>
              <w:rPr>
                <w:sz w:val="12"/>
                <w:szCs w:val="12"/>
                <w:color w:val="auto"/>
              </w:rPr>
            </w:pPr>
          </w:p>
        </w:tc>
        <w:tc>
          <w:tcPr>
            <w:tcW w:w="1240" w:type="dxa"/>
            <w:vAlign w:val="bottom"/>
            <w:gridSpan w:val="2"/>
          </w:tcPr>
          <w:p>
            <w:pPr>
              <w:jc w:val="center"/>
              <w:ind w:right="310"/>
              <w:spacing w:after="0" w:line="146" w:lineRule="exact"/>
              <w:rPr>
                <w:sz w:val="20"/>
                <w:szCs w:val="20"/>
                <w:color w:val="auto"/>
              </w:rPr>
            </w:pPr>
            <w:r>
              <w:rPr>
                <w:rFonts w:ascii="Times New Roman" w:cs="Times New Roman" w:eastAsia="Times New Roman" w:hAnsi="Times New Roman"/>
                <w:sz w:val="14"/>
                <w:szCs w:val="14"/>
                <w:b w:val="1"/>
                <w:bCs w:val="1"/>
                <w:color w:val="auto"/>
              </w:rPr>
              <w:t>Benchmark</w:t>
            </w:r>
          </w:p>
        </w:tc>
        <w:tc>
          <w:tcPr>
            <w:tcW w:w="0" w:type="dxa"/>
            <w:vAlign w:val="bottom"/>
          </w:tcPr>
          <w:p>
            <w:pPr>
              <w:spacing w:after="0"/>
              <w:rPr>
                <w:sz w:val="1"/>
                <w:szCs w:val="1"/>
                <w:color w:val="auto"/>
              </w:rPr>
            </w:pPr>
          </w:p>
        </w:tc>
      </w:tr>
      <w:tr>
        <w:trPr>
          <w:trHeight w:val="182"/>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Applicable Rating</w:t>
            </w:r>
          </w:p>
        </w:tc>
        <w:tc>
          <w:tcPr>
            <w:tcW w:w="1080" w:type="dxa"/>
            <w:vAlign w:val="bottom"/>
          </w:tcPr>
          <w:p>
            <w:pPr>
              <w:spacing w:after="0"/>
              <w:rPr>
                <w:sz w:val="15"/>
                <w:szCs w:val="15"/>
                <w:color w:val="auto"/>
              </w:rPr>
            </w:pPr>
          </w:p>
        </w:tc>
        <w:tc>
          <w:tcPr>
            <w:tcW w:w="220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47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240" w:type="dxa"/>
            <w:vAlign w:val="bottom"/>
          </w:tcPr>
          <w:p>
            <w:pPr>
              <w:spacing w:after="0"/>
              <w:rPr>
                <w:sz w:val="15"/>
                <w:szCs w:val="15"/>
                <w:color w:val="auto"/>
              </w:rPr>
            </w:pPr>
          </w:p>
        </w:tc>
        <w:tc>
          <w:tcPr>
            <w:tcW w:w="1560" w:type="dxa"/>
            <w:vAlign w:val="bottom"/>
            <w:gridSpan w:val="2"/>
          </w:tcPr>
          <w:p>
            <w:pPr>
              <w:jc w:val="center"/>
              <w:ind w:right="49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240" w:type="dxa"/>
            <w:vAlign w:val="bottom"/>
          </w:tcPr>
          <w:p>
            <w:pPr>
              <w:spacing w:after="0"/>
              <w:rPr>
                <w:sz w:val="15"/>
                <w:szCs w:val="15"/>
                <w:color w:val="auto"/>
              </w:rPr>
            </w:pPr>
          </w:p>
        </w:tc>
        <w:tc>
          <w:tcPr>
            <w:tcW w:w="1240" w:type="dxa"/>
            <w:vAlign w:val="bottom"/>
            <w:gridSpan w:val="2"/>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203"/>
        </w:trPr>
        <w:tc>
          <w:tcPr>
            <w:tcW w:w="22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A/A2/A</w:t>
            </w:r>
          </w:p>
        </w:tc>
        <w:tc>
          <w:tcPr>
            <w:tcW w:w="6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76"/>
              </w:rPr>
              <w:t>[***]</w:t>
            </w: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76"/>
              </w:rPr>
              <w:t>[***]</w:t>
            </w: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1"/>
              </w:rPr>
              <w:t>[***]</w:t>
            </w:r>
          </w:p>
        </w:tc>
        <w:tc>
          <w:tcPr>
            <w:tcW w:w="2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76"/>
              </w:rPr>
              <w:t>[***]</w:t>
            </w: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A-/A3/A-</w:t>
            </w:r>
          </w:p>
        </w:tc>
        <w:tc>
          <w:tcPr>
            <w:tcW w:w="22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BBB+ / Baa1 / BBB+</w:t>
            </w:r>
          </w:p>
        </w:tc>
        <w:tc>
          <w:tcPr>
            <w:tcW w:w="22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BBB / Baa2 / BBB</w:t>
            </w:r>
          </w:p>
        </w:tc>
        <w:tc>
          <w:tcPr>
            <w:tcW w:w="22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BBB- / Baa3 / BBB-</w:t>
            </w:r>
          </w:p>
        </w:tc>
        <w:tc>
          <w:tcPr>
            <w:tcW w:w="22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BB+ / Ba1 / BB+</w:t>
            </w:r>
          </w:p>
        </w:tc>
        <w:tc>
          <w:tcPr>
            <w:tcW w:w="22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BB / Ba2 / BB</w:t>
            </w:r>
          </w:p>
        </w:tc>
        <w:tc>
          <w:tcPr>
            <w:tcW w:w="22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Changes in the Applicable Margin and Facility Fee Rate set forth in the pricing grid above shall become effective on the third Business Day following the date on which S&amp;P, Moody’s and/or Fitch changes the rating it has issued with respect to the applicable facility rating (as determined in the manner set forth in the last sentence of this paragraph) or, in the absence of a facility rating, the Company’s senior unsecured debt rating. Each such change in the Applicable Margin or Facility Fee Rate, as applicable, shall apply during the period commencing on the effective date of such change and ending on the date immediately preceding the effective date of the next such change.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Schedule 1.1C to reflect such changed rating system or the unavailability of ratings from such rating agency and, pending the effectiveness of any such amendment, the Applicable Margin and the Facility Fee Rate shall be determined by reference to the rating on the Company’s senior unsecured long-term debt rating or, if not available, then the rating most recently in effect prior to such change or cessation. [***]</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Schedule 1.1C</w:t>
      </w:r>
    </w:p>
    <w:p>
      <w:pPr>
        <w:sectPr>
          <w:pgSz w:w="11900" w:h="16838" w:orient="portrait"/>
          <w:cols w:equalWidth="0" w:num="1">
            <w:col w:w="11020"/>
          </w:cols>
          <w:pgMar w:left="440" w:top="270" w:right="439" w:bottom="1440" w:gutter="0" w:footer="0" w:header="0"/>
        </w:sectPr>
      </w:pPr>
    </w:p>
    <w:bookmarkStart w:id="120" w:name="page121"/>
    <w:bookmarkEnd w:id="120"/>
    <w:p>
      <w:pPr>
        <w:ind w:left="96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1.1D</w:t>
      </w:r>
    </w:p>
    <w:p>
      <w:pPr>
        <w:spacing w:after="0" w:line="39"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 xml:space="preserve">to 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Existing Liens</w:t>
      </w:r>
    </w:p>
    <w:p>
      <w:pPr>
        <w:spacing w:after="0" w:line="225" w:lineRule="exact"/>
        <w:rPr>
          <w:sz w:val="20"/>
          <w:szCs w:val="20"/>
          <w:color w:val="auto"/>
        </w:rPr>
      </w:pPr>
    </w:p>
    <w:p>
      <w:pPr>
        <w:ind w:right="1460"/>
        <w:spacing w:after="0" w:line="454" w:lineRule="auto"/>
        <w:rPr>
          <w:sz w:val="20"/>
          <w:szCs w:val="20"/>
          <w:color w:val="auto"/>
        </w:rPr>
      </w:pPr>
      <w:r>
        <w:rPr>
          <w:rFonts w:ascii="Times New Roman" w:cs="Times New Roman" w:eastAsia="Times New Roman" w:hAnsi="Times New Roman"/>
          <w:sz w:val="18"/>
          <w:szCs w:val="18"/>
          <w:color w:val="auto"/>
        </w:rPr>
        <w:t>Liens reflected in the lien search results, dated as of March 17, 2026 delivered to the Administrative Agent prior to the Closing Date. Credit Agreement Schedule 1.1D</w:t>
      </w:r>
    </w:p>
    <w:p>
      <w:pPr>
        <w:sectPr>
          <w:pgSz w:w="11900" w:h="16838" w:orient="portrait"/>
          <w:cols w:equalWidth="0" w:num="1">
            <w:col w:w="11020"/>
          </w:cols>
          <w:pgMar w:left="440" w:top="270" w:right="439" w:bottom="1440" w:gutter="0" w:footer="0" w:header="0"/>
        </w:sectPr>
      </w:pPr>
    </w:p>
    <w:bookmarkStart w:id="121" w:name="page122"/>
    <w:bookmarkEnd w:id="121"/>
    <w:p>
      <w:pPr>
        <w:ind w:left="96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 E</w:t>
      </w:r>
    </w:p>
    <w:p>
      <w:pPr>
        <w:spacing w:after="0" w:line="27"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 xml:space="preserve">to 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Excluded Subsidiary Businesses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Schedule 1.1E</w:t>
      </w:r>
    </w:p>
    <w:p>
      <w:pPr>
        <w:sectPr>
          <w:pgSz w:w="11900" w:h="16838" w:orient="portrait"/>
          <w:cols w:equalWidth="0" w:num="1">
            <w:col w:w="11020"/>
          </w:cols>
          <w:pgMar w:left="440" w:top="270" w:right="439" w:bottom="1440" w:gutter="0" w:footer="0" w:header="0"/>
        </w:sectPr>
      </w:pPr>
    </w:p>
    <w:bookmarkStart w:id="122" w:name="page123"/>
    <w:bookmarkEnd w:id="122"/>
    <w:p>
      <w:pPr>
        <w:ind w:left="98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4.6</w:t>
      </w:r>
    </w:p>
    <w:p>
      <w:pPr>
        <w:spacing w:after="0" w:line="27"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 xml:space="preserve">to 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w:t>
      </w:r>
      <w:r>
        <w:rPr>
          <w:rFonts w:ascii="Times New Roman" w:cs="Times New Roman" w:eastAsia="Times New Roman" w:hAnsi="Times New Roman"/>
          <w:sz w:val="14"/>
          <w:szCs w:val="14"/>
          <w:b w:val="1"/>
          <w:bCs w:val="1"/>
          <w:u w:val="single" w:color="auto"/>
          <w:color w:val="auto"/>
        </w:rPr>
        <w:t>ITIGATION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Schedule 4.6</w:t>
      </w:r>
    </w:p>
    <w:p>
      <w:pPr>
        <w:sectPr>
          <w:pgSz w:w="11900" w:h="16838" w:orient="portrait"/>
          <w:cols w:equalWidth="0" w:num="1">
            <w:col w:w="11020"/>
          </w:cols>
          <w:pgMar w:left="440" w:top="270" w:right="4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962660</wp:posOffset>
            </wp:positionV>
            <wp:extent cx="6995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1005840</wp:posOffset>
            </wp:positionV>
            <wp:extent cx="6995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EIGHTH AMENDED AND RESTATED GUARANTEE AGREEMENT</w:t>
      </w:r>
    </w:p>
    <w:p>
      <w:pPr>
        <w:spacing w:after="0" w:line="200" w:lineRule="exact"/>
        <w:rPr>
          <w:sz w:val="20"/>
          <w:szCs w:val="20"/>
          <w:color w:val="auto"/>
        </w:rPr>
      </w:pPr>
    </w:p>
    <w:p>
      <w:pPr>
        <w:spacing w:after="0" w:line="24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made by</w:t>
      </w:r>
    </w:p>
    <w:p>
      <w:pPr>
        <w:spacing w:after="0" w:line="200" w:lineRule="exact"/>
        <w:rPr>
          <w:sz w:val="20"/>
          <w:szCs w:val="20"/>
          <w:color w:val="auto"/>
        </w:rPr>
      </w:pPr>
    </w:p>
    <w:p>
      <w:pPr>
        <w:spacing w:after="0" w:line="24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 xml:space="preserve">AND CERTAIN OTHER PERSONS FROM TIME TO TIME PARTIES HERETO, </w:t>
      </w:r>
      <w:r>
        <w:rPr>
          <w:rFonts w:ascii="Times New Roman" w:cs="Times New Roman" w:eastAsia="Times New Roman" w:hAnsi="Times New Roman"/>
          <w:sz w:val="18"/>
          <w:szCs w:val="18"/>
          <w:i w:val="1"/>
          <w:iCs w:val="1"/>
          <w:color w:val="auto"/>
        </w:rPr>
        <w:t>as the Guarantors</w:t>
      </w:r>
    </w:p>
    <w:p>
      <w:pPr>
        <w:spacing w:after="0" w:line="200" w:lineRule="exact"/>
        <w:rPr>
          <w:sz w:val="20"/>
          <w:szCs w:val="20"/>
          <w:color w:val="auto"/>
        </w:rPr>
      </w:pPr>
    </w:p>
    <w:p>
      <w:pPr>
        <w:spacing w:after="0" w:line="24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in favor of</w:t>
      </w:r>
    </w:p>
    <w:p>
      <w:pPr>
        <w:spacing w:after="0" w:line="200" w:lineRule="exact"/>
        <w:rPr>
          <w:sz w:val="20"/>
          <w:szCs w:val="20"/>
          <w:color w:val="auto"/>
        </w:rPr>
      </w:pPr>
    </w:p>
    <w:p>
      <w:pPr>
        <w:spacing w:after="0" w:line="23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 xml:space="preserve">JPMORGAN CHASE BANK, N.A., </w:t>
      </w:r>
      <w:r>
        <w:rPr>
          <w:rFonts w:ascii="Times New Roman" w:cs="Times New Roman" w:eastAsia="Times New Roman" w:hAnsi="Times New Roman"/>
          <w:sz w:val="18"/>
          <w:szCs w:val="18"/>
          <w:i w:val="1"/>
          <w:iCs w:val="1"/>
          <w:color w:val="auto"/>
        </w:rPr>
        <w:t>as the Administrative Agent</w:t>
      </w:r>
    </w:p>
    <w:p>
      <w:pPr>
        <w:spacing w:after="0" w:line="200" w:lineRule="exact"/>
        <w:rPr>
          <w:sz w:val="20"/>
          <w:szCs w:val="20"/>
          <w:color w:val="auto"/>
        </w:rPr>
      </w:pPr>
    </w:p>
    <w:p>
      <w:pPr>
        <w:spacing w:after="0" w:line="24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Dated as of March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506095</wp:posOffset>
            </wp:positionV>
            <wp:extent cx="6995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548640</wp:posOffset>
            </wp:positionV>
            <wp:extent cx="6995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266" w:right="4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2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TABLE OF CONTENTS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 1.</w:t>
            </w:r>
          </w:p>
        </w:tc>
        <w:tc>
          <w:tcPr>
            <w:tcW w:w="98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DEFINED TERMS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234"/>
        </w:trPr>
        <w:tc>
          <w:tcPr>
            <w:tcW w:w="860" w:type="dxa"/>
            <w:vAlign w:val="bottom"/>
            <w:gridSpan w:val="2"/>
            <w:vMerge w:val="continue"/>
          </w:tcPr>
          <w:p>
            <w:pPr>
              <w:spacing w:after="0"/>
              <w:rPr>
                <w:sz w:val="20"/>
                <w:szCs w:val="20"/>
                <w:color w:val="auto"/>
              </w:rPr>
            </w:pPr>
          </w:p>
        </w:tc>
        <w:tc>
          <w:tcPr>
            <w:tcW w:w="9820" w:type="dxa"/>
            <w:vAlign w:val="bottom"/>
            <w:vMerge w:val="continue"/>
          </w:tcPr>
          <w:p>
            <w:pPr>
              <w:spacing w:after="0"/>
              <w:rPr>
                <w:sz w:val="20"/>
                <w:szCs w:val="20"/>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9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9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Definitional Provisions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2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w:t>
            </w:r>
          </w:p>
        </w:tc>
        <w:tc>
          <w:tcPr>
            <w:tcW w:w="9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Guarantee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6"/>
        </w:trPr>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9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Guarantee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9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 of Contribution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9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Subrogation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9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Amendments, etc. with respect to the Guaranteed Obligations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9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Guarantee Absolute and Unconditional</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9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Reinstatement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4"/>
        </w:trPr>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9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2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w:t>
            </w:r>
          </w:p>
        </w:tc>
        <w:tc>
          <w:tcPr>
            <w:tcW w:w="9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MISCELLANEOUS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06"/>
        </w:trPr>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9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Authority of Administrative Agent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9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Amendments in Writing</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9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9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Waiver by Course of Conduct; Cumulative Remedies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9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Enforcement Expenses; Indemnification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9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Successors and Assigns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9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 Electronic Signature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9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9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Headings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2"/>
        </w:trPr>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c>
          <w:tcPr>
            <w:tcW w:w="9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Integration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0"/>
        </w:trPr>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w:t>
            </w:r>
          </w:p>
        </w:tc>
        <w:tc>
          <w:tcPr>
            <w:tcW w:w="98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c>
          <w:tcPr>
            <w:tcW w:w="9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Submission To Jurisdiction; Waivers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w:t>
            </w:r>
          </w:p>
        </w:tc>
        <w:tc>
          <w:tcPr>
            <w:tcW w:w="9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Judgment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w:t>
            </w:r>
          </w:p>
        </w:tc>
        <w:tc>
          <w:tcPr>
            <w:tcW w:w="9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Guarantors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5"/>
        </w:trPr>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w:t>
            </w:r>
          </w:p>
        </w:tc>
        <w:tc>
          <w:tcPr>
            <w:tcW w:w="9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Releases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8"/>
        </w:trPr>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c>
          <w:tcPr>
            <w:tcW w:w="98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WAIVER OF JURY TRIAL</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823"/>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ANNEX</w:t>
            </w:r>
          </w:p>
        </w:tc>
        <w:tc>
          <w:tcPr>
            <w:tcW w:w="9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Annex I</w:t>
            </w:r>
          </w:p>
        </w:tc>
        <w:tc>
          <w:tcPr>
            <w:tcW w:w="240" w:type="dxa"/>
            <w:vAlign w:val="bottom"/>
          </w:tcPr>
          <w:p>
            <w:pPr>
              <w:spacing w:after="0"/>
              <w:rPr>
                <w:sz w:val="24"/>
                <w:szCs w:val="24"/>
                <w:color w:val="auto"/>
              </w:rPr>
            </w:pPr>
          </w:p>
        </w:tc>
        <w:tc>
          <w:tcPr>
            <w:tcW w:w="9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Joinder Agreement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20" w:type="dxa"/>
            <w:vAlign w:val="bottom"/>
          </w:tcPr>
          <w:p>
            <w:pPr>
              <w:ind w:left="4600"/>
              <w:spacing w:after="0"/>
              <w:rPr>
                <w:sz w:val="20"/>
                <w:szCs w:val="20"/>
                <w:color w:val="auto"/>
              </w:rPr>
            </w:pPr>
            <w:r>
              <w:rPr>
                <w:rFonts w:ascii="Times New Roman" w:cs="Times New Roman" w:eastAsia="Times New Roman" w:hAnsi="Times New Roman"/>
                <w:sz w:val="18"/>
                <w:szCs w:val="18"/>
                <w:color w:val="auto"/>
              </w:rPr>
              <w:t>ii</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25" w:name="page126"/>
    <w:bookmarkEnd w:id="125"/>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EIGHTH AMENDED AND RESTATED GUARANTEE AGREEMENT, dated as of March 23, 2026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made by GENERAL MOTORS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each of the Subsidiary Guarantors (such term and certain other capitalized terms used herein being defined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from time to time party hereto, and each of the Other Guarantors from time to time party hereto (together with the Company and the Subsidiary Guarantors, collectively,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in favor of JPMORGAN CHASE BANK, N.A.,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for the lenders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from time to time party to the Eighth Amended and Restated 364-Day Revolving Credit Agreement, dated as of the date hereof (as amended, restated, amended and restated, renewed,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Company, General Motors Financial Company, Inc., a Texas Corporation, the other Subsidiary Borrowers from time to time parties thereto, the Lenders, the Administrative Agent, Citibank, N.A., as syndication agent (in such capacity, the “</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Bank of America, N.A., as co-syndication agent (in such capacity, the “</w:t>
      </w:r>
      <w:r>
        <w:rPr>
          <w:rFonts w:ascii="Times New Roman" w:cs="Times New Roman" w:eastAsia="Times New Roman" w:hAnsi="Times New Roman"/>
          <w:sz w:val="18"/>
          <w:szCs w:val="18"/>
          <w:u w:val="single" w:color="auto"/>
          <w:color w:val="auto"/>
        </w:rPr>
        <w:t>Co-Syndication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the other agents named therein.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91"/>
        <w:spacing w:after="0" w:line="282" w:lineRule="auto"/>
        <w:rPr>
          <w:sz w:val="20"/>
          <w:szCs w:val="20"/>
          <w:color w:val="auto"/>
        </w:rPr>
      </w:pPr>
      <w:r>
        <w:rPr>
          <w:rFonts w:ascii="Times New Roman" w:cs="Times New Roman" w:eastAsia="Times New Roman" w:hAnsi="Times New Roman"/>
          <w:sz w:val="18"/>
          <w:szCs w:val="18"/>
          <w:color w:val="auto"/>
        </w:rPr>
        <w:t>WHEREAS, pursuant to the Credit Agreement, the Lenders have severally agreed to make extensions of credit to or for the account of the Company and the Subsidiary Borrowers upon the terms and subject to the conditions set forth therein;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each of the Company and the Subsidiary Borrowers is a member of an affiliated group of companies that includes each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w:t>
      </w:r>
    </w:p>
    <w:p>
      <w:pPr>
        <w:spacing w:after="0" w:line="207"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WHEREAS, each Guarantor will derive substantial direct and indirect benefit from the making of the extensions of credit made by the Lenders to or for the account of the Company or any Subsidiary Borrower, as applicable, under the Credit Agreement; and</w:t>
      </w:r>
    </w:p>
    <w:p>
      <w:pPr>
        <w:spacing w:after="0" w:line="162"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WHEREAS, it is a condition precedent to the obligation of the Lenders to make their respective extensions of credit to or for the account of the Company or any Subsidiary Borrower, as applicable, under the Credit Agreement that each Guarantor shall have executed and delivered this Agreement to the Administrative Agent;</w:t>
      </w:r>
    </w:p>
    <w:p>
      <w:pPr>
        <w:spacing w:after="0" w:line="176"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NOW, THEREFORE, in consideration of the premises and to induce the Administrative Agent and the Lenders to enter into the Credit Agreement and to induce the Lenders to make their respective extensions of credit to or for the account of the Company or any Subsidiary Borrower, as applicable, under the Credit Agreement, each Guarantor hereby agrees with the Administrative Agent, for the benefit of the Guaranteed Parties, as follows: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 DEFINED TERMS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82" w:lineRule="auto"/>
        <w:tabs>
          <w:tab w:leader="none" w:pos="68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assigned to such terms in the Credit Agreement.</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terms shall have the following meanings: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70" w:right="439" w:bottom="1440" w:gutter="0" w:footer="0" w:header="0"/>
        </w:sectPr>
      </w:pPr>
    </w:p>
    <w:bookmarkStart w:id="126" w:name="page127"/>
    <w:bookmarkEnd w:id="12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means, collectively, the unpaid principal of and interest on the Loans and all other obligations and liabilities of the Company and the Subsidiary Borrowers (including interest on such other obligations or liabilities accruing at the then applicable rate provided in the Credit Agreement after the maturity of the Loans and interest accruing on the Loans and such other obligations and liabilities at the then applicable rate provided in the Credit Agreement after the filing of any petition in bankruptcy, or the commencement of any insolvency, reorganization or like proceeding, relating to the Company or any Subsidiary Borrower, whether or not a claim for post-filing or post-petition interest is allowed in such proceeding) to the Administrative Agent or any Lender thereunder, whether direct or indirect, absolute or contingent, due or to become due, or now existing or hereafter incurred, which may arise under, out of, or in connection with the Loan Documents to which the Company or any Subsidiary Borrower is a party, in each case whether on account of principal, interest, reimbursement obligations, fees, prepayment premiums, indemnities, costs, expenses or otherwise (including all reasonable fees and out-of-pocket disbursements of external counsel to the Administrative Agent or the Lenders that are required to be paid by the Company or any Subsidiary Borrower pursuant to the terms of any of the Loan Documents).</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Parties</w:t>
      </w:r>
      <w:r>
        <w:rPr>
          <w:rFonts w:ascii="Times New Roman" w:cs="Times New Roman" w:eastAsia="Times New Roman" w:hAnsi="Times New Roman"/>
          <w:sz w:val="18"/>
          <w:szCs w:val="18"/>
          <w:color w:val="auto"/>
        </w:rPr>
        <w:t>” means, collectively, the Administrative Agent, the Lenders, and each other Person that holds a Guaranteed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Guarantors</w:t>
      </w:r>
      <w:r>
        <w:rPr>
          <w:rFonts w:ascii="Times New Roman" w:cs="Times New Roman" w:eastAsia="Times New Roman" w:hAnsi="Times New Roman"/>
          <w:sz w:val="18"/>
          <w:szCs w:val="18"/>
          <w:color w:val="auto"/>
        </w:rPr>
        <w:t xml:space="preserve">” means each Person, other than the Company, a Subsidiary Guarantor or the Administrative Agent, that becomes a party to this Agreement pursuant to a Joinder Agreement executed and delivered by such Person pursuant to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paid in full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payment in full</w:t>
      </w:r>
      <w:r>
        <w:rPr>
          <w:rFonts w:ascii="Times New Roman" w:cs="Times New Roman" w:eastAsia="Times New Roman" w:hAnsi="Times New Roman"/>
          <w:sz w:val="18"/>
          <w:szCs w:val="18"/>
          <w:color w:val="auto"/>
        </w:rPr>
        <w:t>” means with respect to the Guaranteed Obligations, the payment in full in cash of the principal of and accrued (but unpaid) interest (including post-petition interest) and premium, if any, on, all such Guaranteed Obligations after or concurrently with termination of all commitments thereunder and payment in full in cash of all fees payable with respect to a Guaranteed Obligation at or prior to the time such principal and interest are paid.</w:t>
      </w:r>
    </w:p>
    <w:p>
      <w:pPr>
        <w:spacing w:after="0" w:line="180"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means each Principal Domestic Subsidiary that became a party to this Agreement pursuant to Section 6.6(a) or 10.1(b) of the Credit Agreement.</w:t>
      </w:r>
    </w:p>
    <w:p>
      <w:pPr>
        <w:spacing w:after="0" w:line="67"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u w:val="single" w:color="auto"/>
          <w:color w:val="auto"/>
        </w:rPr>
        <w:t>Other Definitional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82" w:lineRule="auto"/>
        <w:tabs>
          <w:tab w:leader="none" w:pos="72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“herein”, “hereto” and “hereunder” and words of similar import when used in this Agreement shall refer to this Agreement as a whole and not to any particular provision of this Agreement, and Section references are to this Agreement unless otherwise specified.</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meanings given to terms defined herein shall be equally applicable to both the singular and plural forms of such terms.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127" w:name="page128"/>
    <w:bookmarkEnd w:id="127"/>
    <w:p>
      <w:pPr>
        <w:jc w:val="both"/>
        <w:ind w:right="20" w:firstLine="436"/>
        <w:spacing w:after="0" w:line="258" w:lineRule="auto"/>
        <w:tabs>
          <w:tab w:leader="none" w:pos="70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References to agreements defined in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shall, unless otherwise specified, be deemed to refer to such agreements as amended, supplemented, restated or otherwise modified from time to time, references to any Person shall include its successors and permitted assigns, and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2. GUARANTEE</w:t>
      </w:r>
    </w:p>
    <w:p>
      <w:pPr>
        <w:spacing w:after="0" w:line="252"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436"/>
        <w:spacing w:after="0" w:line="261" w:lineRule="auto"/>
        <w:tabs>
          <w:tab w:leader="none" w:pos="69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Guarantors hereby, jointly and severally, unconditionally and irrevocably, guarantees, as primary obligor and not merely as surety, to the Administrative Agent, for the ratable benefit of the Guaranteed Parties, the prompt and complete payment, and not collection, and performance by the Company and each Subsidiary Borrower, as applicable, when due (whether at the stated maturity, by acceleration or otherwise) and at all times thereafter, of all Guaranteed Obligations.</w:t>
      </w:r>
    </w:p>
    <w:p>
      <w:pPr>
        <w:spacing w:after="0" w:line="179" w:lineRule="exact"/>
        <w:rPr>
          <w:rFonts w:ascii="Times New Roman" w:cs="Times New Roman" w:eastAsia="Times New Roman" w:hAnsi="Times New Roman"/>
          <w:sz w:val="18"/>
          <w:szCs w:val="18"/>
          <w:color w:val="auto"/>
        </w:rPr>
      </w:pPr>
    </w:p>
    <w:p>
      <w:pPr>
        <w:jc w:val="both"/>
        <w:ind w:right="20" w:firstLine="436"/>
        <w:spacing w:after="0" w:line="266" w:lineRule="auto"/>
        <w:tabs>
          <w:tab w:leader="none" w:pos="69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herein or in any other Loan Document to the contrary notwithstanding, the maximum liability of each Guarantor hereunder shall in no event exceed the amount which can be guaranteed by such Guarantor under applicable federal and state laws relating to the insolvency of debtors (after giving effect to the right of contribution established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436"/>
        <w:spacing w:after="0" w:line="266" w:lineRule="auto"/>
        <w:tabs>
          <w:tab w:leader="none" w:pos="70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Guarantor agrees that the Guaranteed Obligations may at any time and from time to time exceed the amount of the liability of such Guarantor hereunder without impairing the guarantee contained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affecting the rights and remedies of the Guaranteed Parties hereunder.</w:t>
      </w:r>
    </w:p>
    <w:p>
      <w:pPr>
        <w:spacing w:after="0" w:line="175" w:lineRule="exact"/>
        <w:rPr>
          <w:rFonts w:ascii="Times New Roman" w:cs="Times New Roman" w:eastAsia="Times New Roman" w:hAnsi="Times New Roman"/>
          <w:sz w:val="18"/>
          <w:szCs w:val="18"/>
          <w:color w:val="auto"/>
        </w:rPr>
      </w:pPr>
    </w:p>
    <w:p>
      <w:pPr>
        <w:jc w:val="both"/>
        <w:ind w:right="20" w:firstLine="436"/>
        <w:spacing w:after="0" w:line="266" w:lineRule="auto"/>
        <w:tabs>
          <w:tab w:leader="none" w:pos="69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guarantee contained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remain in full force and effect until all the Guaranteed Obligations shall have been paid in full, notwithstanding that from time to time during the term of the Credit Agreement, the Company and/or one or more of the Subsidiary Borrowers may be free from any Guaranteed Obligations.</w:t>
      </w:r>
    </w:p>
    <w:p>
      <w:pPr>
        <w:spacing w:after="0" w:line="175" w:lineRule="exact"/>
        <w:rPr>
          <w:rFonts w:ascii="Times New Roman" w:cs="Times New Roman" w:eastAsia="Times New Roman" w:hAnsi="Times New Roman"/>
          <w:sz w:val="18"/>
          <w:szCs w:val="18"/>
          <w:color w:val="auto"/>
        </w:rPr>
      </w:pPr>
    </w:p>
    <w:p>
      <w:pPr>
        <w:jc w:val="both"/>
        <w:ind w:right="20" w:firstLine="436"/>
        <w:spacing w:after="0" w:line="255" w:lineRule="auto"/>
        <w:tabs>
          <w:tab w:leader="none" w:pos="69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made by the Company, any Subsidiary Borrower, any of the Guarantors, any other guarantor or any other Person or received or collected by any Guaranteed Party from the Company, any Subsidiary Borrower, any of the Guarantors, any other guarantor or any other Person by virtue of any action or proceeding or any set-off or appropriation or application at any time or from time to time in reduction of or in payment of the Guaranteed Obligations shall be deemed to modify, reduce, release or otherwise affect the liability of any Guarantor hereunder which shall, notwithstanding any such payment (other than any payment made by such Guarantor in respect of the Guaranteed Obligations or any payment received or collected from such Guarantor in respect of the Guaranteed Obligations), remain liable for the Guaranteed Obligations up to the maximum liability of such Guarantor hereunder until the Guaranteed Obligations are paid in full.</w:t>
      </w:r>
    </w:p>
    <w:p>
      <w:pPr>
        <w:spacing w:after="0" w:line="216"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u w:val="single" w:color="auto"/>
          <w:color w:val="auto"/>
        </w:rPr>
        <w:t>Right of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in no respect limit the obligations and liabilities 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128" w:name="page129"/>
    <w:bookmarkEnd w:id="12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Guarantor to any Guaranteed Party and each Guarantor shall remain liable to such Guaranteed Party for the full amount guaranteed by such Guarantor hereunder.</w:t>
      </w:r>
    </w:p>
    <w:p>
      <w:pPr>
        <w:spacing w:after="0" w:line="189"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auto"/>
        </w:rPr>
        <w:t>No Subrogation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Notwithstanding any payment made by any Guarantor hereunder or any set-off or application of funds of any Guarantor by any Guaranteed Party, no Guarantor shall be entitled to be subrogated to any of the rights of any Guaranteed Party against the Company, any of the Subsidiary Borrowers or any other Guarantor or any collateral security or guarantee or right of offset held by the Administrative Agent or any other Guaranteed Party for the payment of the Guaranteed Obligations, nor shall any Guarantor seek or be entitled to seek any contribution or reimbursement from the Company, any Subsidiary Borrower or any other Guarantor in respect of payments made by such Guarantor hereunder, until all amounts owing to the Guaranteed Parties by the Company and the Subsidiary Borrowers on account of the Guaranteed Obligations are paid in full. If any amount shall be paid to any Guarantor on account of such subrogation rights at any time when all of the Guaranteed Obligations shall not have been paid in full, such amount shall be held by such Guarantor in trust for the Guaranteed Parties, and shall, forthwith upon receipt by such Guarantor, be turned over to the Administrative Agent in the form received by such Guarantor (duly indorsed by such Guarantor to the Administrative Agent, if required), to be applied against the Guaranteed Obligations, whether matured or unmatured, in such order as such Guarantor (or, if an Event of Default shall have occurred and be continuing, the Administrative Agent) may determine.</w:t>
      </w:r>
    </w:p>
    <w:p>
      <w:pPr>
        <w:spacing w:after="0" w:line="219"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auto"/>
        </w:rPr>
        <w:t>Amendments, etc. with respect to the Guaranteed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Other than as expressly contemplated by Section 3.15 hereof, each Guarantor shall remain obligated hereunder notwithstanding that, without any reservation of rights against any Guarantor and without notice to or further assent by any Guarantor, any demand for payment of any of the Guaranteed Obligations made by any Guaranteed Party may be rescinded by such Guaranteed Party and any of the Guaranteed Obligations continued, and the Guaranteed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any Guaranteed Party, and the Credit Agreement, the other Loan Documents and any other documents executed and delivered in connection therewith may be amended, modified, supplemented or terminated, in whole or in part, as the Administrative Agent (or the Required Lenders, all affected Lenders, or all Lenders, as the case may be) may deem advisable from time to time, and any collateral security, guarantee or right of offset at any time held by any Guaranteed Party for the payment of the Guaranteed Obligations may be sold, exchanged, waived, surrendered or released. No Guaranteed Party shall have any obligation to protect, secure, perfect or insure any Lien at any time held by it as security for the Guaranteed Obligations or for the guarantee contained in this Section 2 or any property subject thereto.</w:t>
      </w:r>
    </w:p>
    <w:p>
      <w:pPr>
        <w:spacing w:after="0" w:line="219"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u w:val="single" w:color="auto"/>
          <w:color w:val="auto"/>
        </w:rPr>
        <w:t>Guarantee Absolute and Unconditional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91"/>
        <w:spacing w:after="0" w:line="256" w:lineRule="auto"/>
        <w:rPr>
          <w:sz w:val="20"/>
          <w:szCs w:val="20"/>
          <w:color w:val="auto"/>
        </w:rPr>
      </w:pPr>
      <w:r>
        <w:rPr>
          <w:rFonts w:ascii="Times New Roman" w:cs="Times New Roman" w:eastAsia="Times New Roman" w:hAnsi="Times New Roman"/>
          <w:sz w:val="18"/>
          <w:szCs w:val="18"/>
          <w:color w:val="auto"/>
        </w:rPr>
        <w:t>To the extent permitted by applicable law, each Guarantor waives any and all notice of the creation, renewal, extension or accrual of any of the Guaranteed Obligations and notice of or proof of reliance by any Guaranteed Party upon the guarantee contained herein or acceptance of the guarantee contained herein; the Guaranteed Obligations, and any of them, shall conclusively be deemed to have been created, contracted or incurred, or renewed, extended, amended or waived, in reliance upon the guarantee contained herein; and all dealings between the Company, any of the Subsidiary Borrowers and any of the Guarantors, on the one hand, and the Guaranteed Parties, on the other hand, likewise shall be conclusively presumed to have been had or consummated in reliance upon the guarantee contained herein.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129" w:name="page130"/>
    <w:bookmarkEnd w:id="129"/>
    <w:p>
      <w:pPr>
        <w:jc w:val="both"/>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permitted by applicable law, each Guarantor waives diligence, presentment, protest, demand for payment and notice of default or nonpayment to or upon the Company, any of the Subsidiary Borrowers or any of the Guarantors with respect to the Guaranteed Obligations. Each Guarantor understands and agrees that the guarantee contained herein shall be construed as a continuing, absolute and unconditional guarantee of payment without regard to (a) the validity or enforceability of the Credit Agreement or any other Loan Document, any of the Guaranteed Obligations or any other collateral security therefor or guarantee or right of offset with respect thereto at any time or from time to time held by any Guaranteed Party,</w:t>
      </w:r>
    </w:p>
    <w:p>
      <w:pPr>
        <w:spacing w:after="0" w:line="3" w:lineRule="exact"/>
        <w:rPr>
          <w:sz w:val="20"/>
          <w:szCs w:val="20"/>
          <w:color w:val="auto"/>
        </w:rPr>
      </w:pPr>
    </w:p>
    <w:p>
      <w:pPr>
        <w:jc w:val="both"/>
        <w:ind w:left="4" w:hanging="4"/>
        <w:spacing w:after="0" w:line="251" w:lineRule="auto"/>
        <w:tabs>
          <w:tab w:leader="none" w:pos="26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defense, set-off or counterclaim (other than a defense of payment or performance) which may at any time be available to or be asserted by the Company, any Subsidiary Borrower or any other Person against any Guaranteed Party, (c) any law or regulation of any jurisdiction or any other event affecting any term of the Guaranteed Obligations or (d) any other circumstance whatsoever (with or without notice to or knowledge of the Company, any Subsidiary Borrower or such Guarantor) which constitutes, or might be construed to constitute, an equitable or legal discharge or defense of a surety or guarantor or any other obligor on any obligation of the Company or any Subsidiary Borrower for any of the Guaranteed Obligations, or of such Guarantor under the guarantee contained herein, in bankruptcy or in any other instance. Notwithstanding anything herein to the contrary, (x) the Company understands and agrees that this Agreement shall remain in full force and effect as to the Company’s obligations hereunder, notwithstanding the release of any Subsidiary Guarantor pursuant to Section 3.15(b), but subject to any release of such obligations hereunder to the extent provided in, and pursuant to the terms of, Section 3.15(a) and (y) each of the other Guarantors shall be released from its obligations hereunder to the extent provided in, and pursuant to the terms of, Section 3.15. When making any demand hereunder or otherwise pursuing its rights and remedies hereunder against any Guarantor, any Guaranteed Party may, but shall be under no obligation to, make a similar demand on or otherwise pursue such rights and remedies as it may have against the Company, any Subsidiary Borrower, any other Guarantor or any other Person or against any collateral security or guarantee for the Guaranteed Obligations or any right of offset with respect thereto, and any failure by any Guaranteed Party to make any such demand, to pursue such other rights or remedies or to collect any payments from the Company, any Subsidiary Borrower, any other Guarantor or any other Person or to realize upon any such collateral security or guarantee or to exercise any such right of offset, or any release of the Company, any Subsidiary Borrower,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any Guaranteed Party against any Guarantor. For the purposes hereof “demand” shall include the commencement and continuance of any legal proceedings.</w:t>
      </w:r>
    </w:p>
    <w:p>
      <w:pPr>
        <w:spacing w:after="0" w:line="216" w:lineRule="exact"/>
        <w:rPr>
          <w:sz w:val="20"/>
          <w:szCs w:val="20"/>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991"/>
        <w:spacing w:after="0" w:line="258" w:lineRule="auto"/>
        <w:rPr>
          <w:sz w:val="20"/>
          <w:szCs w:val="20"/>
          <w:color w:val="auto"/>
        </w:rPr>
      </w:pPr>
      <w:r>
        <w:rPr>
          <w:rFonts w:ascii="Times New Roman" w:cs="Times New Roman" w:eastAsia="Times New Roman" w:hAnsi="Times New Roman"/>
          <w:sz w:val="18"/>
          <w:szCs w:val="18"/>
          <w:color w:val="auto"/>
        </w:rPr>
        <w:t>The guarantee contained herein shall continue to be effective, or be reinstated, as the case may be, if at any time payment, or any part thereof, of any of the Guaranteed Obligations is rescinded or must otherwise be restored or returned by any Guaranteed Party upon the insolvency, bankruptcy, dissolution, liquidation or reorganization of the Company, any Subsidiary Borrower or any Guarantor, or upon or as a result of the appointment of a receiver, intervenor or conservator of, or trustee or similar officer for, the Company, any Subsidiary Borrower or any Guarantor or any substantial part of its property, or otherwise, all as though such payments had not been made.</w:t>
      </w:r>
    </w:p>
    <w:p>
      <w:pPr>
        <w:spacing w:after="0" w:line="210" w:lineRule="exact"/>
        <w:rPr>
          <w:sz w:val="20"/>
          <w:szCs w:val="20"/>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Each Guarantor hereby guarantees that payments hereunder will be paid to the Administrative Agent without set-off or counterclaim in Dollars at the Funding Office. All payments made hereunder shall be made in accordance with Sections 1.3 and 2.21 of the Credit Agreement.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70" w:right="4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 MISCELLANEOUS</w:t>
      </w:r>
    </w:p>
    <w:p>
      <w:pPr>
        <w:spacing w:after="0" w:line="252"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Authority of Administrative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91"/>
        <w:spacing w:after="0" w:line="254" w:lineRule="auto"/>
        <w:rPr>
          <w:sz w:val="20"/>
          <w:szCs w:val="20"/>
          <w:color w:val="auto"/>
        </w:rPr>
      </w:pPr>
      <w:r>
        <w:rPr>
          <w:rFonts w:ascii="Times New Roman" w:cs="Times New Roman" w:eastAsia="Times New Roman" w:hAnsi="Times New Roman"/>
          <w:sz w:val="18"/>
          <w:szCs w:val="18"/>
          <w:color w:val="auto"/>
        </w:rPr>
        <w:t>Each Guarantor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among the Guaranteed Parties, be governed by the Credit Agreement and by such other agreements with respect thereto as may exist from time to time among them, but, as between the Administrative Agent and the Guarantors the Administrative Agent shall be conclusively presumed to be acting as agent for the Lenders with full and valid authority so to act or refrain from acting, and no Guarantor shall be under any obligation, or entitlement, to make any inquiry respecting such authority. No Guaranteed Party other than the Administrative Agent may exercise any right or remedy hereunder, it being understood that all of such rights and remedies are vested in, and are exercisable solely by, the Administrative Agent for the benefit of the Guaranteed Parties.</w:t>
      </w:r>
    </w:p>
    <w:p>
      <w:pPr>
        <w:spacing w:after="0" w:line="219"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auto"/>
        </w:rPr>
        <w:t>Amendments in Writing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None of the terms or provisions of this Agreement may be waived, amended, supplemented or otherwise modified except in accordance with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the Credit Agreement.</w:t>
      </w:r>
    </w:p>
    <w:p>
      <w:pPr>
        <w:spacing w:after="0" w:line="189"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All notices, requests and demands to or upon the Administrative Agent or any Guarantor hereunder shall be effected in the manner provided for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of the Credit Agreement; provided, that any such notice, request or demand to or upon any Guarantor shall be addressed to the Company at the addresses provided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of the Credit Agreement (or such other address as the Company may at any time or from time to time provide for purposes of the Credit Agreement and this Agreement).</w:t>
      </w:r>
    </w:p>
    <w:p>
      <w:pPr>
        <w:spacing w:after="0" w:line="207"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u w:val="single" w:color="auto"/>
          <w:color w:val="auto"/>
        </w:rPr>
        <w:t>No Waiver by Course of Conduct; Cumulative Remedies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No Guaranteed Party shall by any act (except by a written instrument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delay, indulgence, omission or otherwise be deemed to have waived any right or remedy hereunder or to have acquiesced in any Default or Event of Default. No failure to exercise, nor any delay in exercising, on the part of any Guaranteed Party, any right, power or privilege hereunder shall operate as a waiver thereof. No single or partial exercise of any right, power or privilege hereunder shall preclude any other or further exercise thereof or the exercise of any other right, power or privilege. A waiver by any Guaranteed Party of any right or remedy hereunder on any one occasion shall not be construed as a bar to any right or remedy which such Guaranteed Party would otherwise have on any future occasion. The rights and remedies herein provided are cumulative, may be exercised singly or concurrently and are not exclusive of any other rights or remedies provided by law.</w:t>
      </w:r>
    </w:p>
    <w:p>
      <w:pPr>
        <w:spacing w:after="0" w:line="216"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u w:val="single" w:color="auto"/>
          <w:color w:val="auto"/>
        </w:rPr>
        <w:t>Enforcement Expenses;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36"/>
        <w:spacing w:after="0" w:line="258" w:lineRule="auto"/>
        <w:tabs>
          <w:tab w:leader="none" w:pos="69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intending to duplicate the obligations of the Guarantors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if and to the extent that the Company is required to pay or reimburse the Guaranteed Parties (or any of them), for various costs and expenses contemplated by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of the Credit Agreement, or to indemnify the Indemnitees (or any of them) for the Indemnified Liabilities, in each case as and to the extent (and in the manner) contemplated by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of the Credit Agreement, each Guarantor, jointly and severally, hereby agrees to make such payments or reimbursements and to provide such indemnification.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131" w:name="page132"/>
    <w:bookmarkEnd w:id="131"/>
    <w:p>
      <w:pPr>
        <w:ind w:right="20" w:firstLine="436"/>
        <w:spacing w:after="0" w:line="282" w:lineRule="auto"/>
        <w:tabs>
          <w:tab w:leader="none" w:pos="70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agreements of each Guarantor in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shall survive repayment of the Guaranteed Obligations and all other amounts payable under the Credit Agreement.</w:t>
      </w:r>
    </w:p>
    <w:p>
      <w:pPr>
        <w:spacing w:after="0" w:line="189"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This Agreement shall be binding upon the parties hereto and their respective successors and assigns and shall inure to the benefit of the Guaranteed Parties and their permitted successors and assigns; provided, that no Guarantor may assign, transfer or delegate any of its rights or obligations under this Agreement other than (i) to the extent expressly permitted by the Credit Agreement or (ii) with the prior written consent of the Administrative Agent.</w:t>
      </w:r>
    </w:p>
    <w:p>
      <w:pPr>
        <w:spacing w:after="0" w:line="207"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u w:val="single" w:color="auto"/>
          <w:color w:val="auto"/>
        </w:rPr>
        <w:t>Counterparts; Electronic Signature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The words “execution,” “signed,” “signature,” “delivery,” and words of like import in or relating to this Agreement and/or any document to be signed in connection with this Agreement shall be deemed to include an electronic symbol or process attached to a contract or other record and adopted by a Person with the intent to sign, authenticate or accept such contract or record (each an “</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xml:space="preserve">”, deliveries or the keeping of records in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The provisions of Section 10.8 of the Credit Agreement are hereby incorporated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203"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u w:val="single" w:color="auto"/>
          <w:color w:val="auto"/>
        </w:rPr>
        <w:t>Section Headings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91"/>
        <w:spacing w:after="0" w:line="282" w:lineRule="auto"/>
        <w:rPr>
          <w:sz w:val="20"/>
          <w:szCs w:val="20"/>
          <w:color w:val="auto"/>
        </w:rPr>
      </w:pPr>
      <w:r>
        <w:rPr>
          <w:rFonts w:ascii="Times New Roman" w:cs="Times New Roman" w:eastAsia="Times New Roman" w:hAnsi="Times New Roman"/>
          <w:sz w:val="18"/>
          <w:szCs w:val="18"/>
          <w:color w:val="auto"/>
        </w:rPr>
        <w:t>The Section headings used in this Agreement are for convenience of reference only and are not to affect the construction hereof or be taken into consideration in the interpretation hereof.</w:t>
      </w:r>
    </w:p>
    <w:p>
      <w:pPr>
        <w:spacing w:after="0" w:line="189"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3.10</w:t>
      </w:r>
      <w:r>
        <w:rPr>
          <w:sz w:val="20"/>
          <w:szCs w:val="20"/>
          <w:color w:val="auto"/>
        </w:rPr>
        <w:tab/>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This Agreement and the other Loan Documents represent the entire agreement of the Guarantors and the Guaranteed Parties with respect to the subject matter hereof and thereof, and there are no promises, undertakings, representations or warranties by any Guarantor or any Guaranteed Party relative to subject matter hereof and thereof not expressly set forth or referred to herein or in the other Loan Documents.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132" w:name="page133"/>
    <w:bookmarkEnd w:id="132"/>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3.11</w:t>
      </w:r>
      <w:r>
        <w:rPr>
          <w:sz w:val="20"/>
          <w:szCs w:val="20"/>
          <w:color w:val="auto"/>
        </w:rPr>
        <w:tab/>
      </w:r>
      <w:r>
        <w:rPr>
          <w:rFonts w:ascii="Times New Roman" w:cs="Times New Roman" w:eastAsia="Times New Roman" w:hAnsi="Times New Roman"/>
          <w:sz w:val="17"/>
          <w:szCs w:val="17"/>
          <w:b w:val="1"/>
          <w:bCs w:val="1"/>
          <w:u w:val="single" w:color="auto"/>
          <w:color w:val="auto"/>
        </w:rPr>
        <w:t>GOVERNING LAW</w:t>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ind w:right="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THIS AGREEMENT AND THE RIGHTS AND OBLIGATIONS OF THE PARTIES UNDER THIS AGREEMENT SHALL BE GOVERNED BY, AND CONSTRUED AND INTERPRETED IN ACCORDANCE WITH, THE LAW OF THE STATE OF NEW YORK.</w:t>
      </w:r>
    </w:p>
    <w:p>
      <w:pPr>
        <w:spacing w:after="0" w:line="186"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auto"/>
        </w:rPr>
        <w:t>Submission To Jurisdiction; Waivers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Each Guarantor hereby irrevocably and unconditionally:</w:t>
      </w:r>
    </w:p>
    <w:p>
      <w:pPr>
        <w:spacing w:after="0" w:line="117" w:lineRule="exact"/>
        <w:rPr>
          <w:sz w:val="20"/>
          <w:szCs w:val="20"/>
          <w:color w:val="auto"/>
        </w:rPr>
      </w:pPr>
    </w:p>
    <w:p>
      <w:pPr>
        <w:jc w:val="both"/>
        <w:ind w:right="20" w:firstLine="436"/>
        <w:spacing w:after="0" w:line="261" w:lineRule="auto"/>
        <w:tabs>
          <w:tab w:leader="none" w:pos="69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located in the Borough of Manhattan, the courts of the United States of America for the Southern District of New York located in the Borough of Manhattan, and appellate courts from any thereof;</w:t>
      </w:r>
    </w:p>
    <w:p>
      <w:pPr>
        <w:spacing w:after="0" w:line="179" w:lineRule="exact"/>
        <w:rPr>
          <w:rFonts w:ascii="Times New Roman" w:cs="Times New Roman" w:eastAsia="Times New Roman" w:hAnsi="Times New Roman"/>
          <w:sz w:val="18"/>
          <w:szCs w:val="18"/>
          <w:color w:val="auto"/>
        </w:rPr>
      </w:pPr>
    </w:p>
    <w:p>
      <w:pPr>
        <w:jc w:val="both"/>
        <w:ind w:right="20" w:firstLine="436"/>
        <w:spacing w:after="0" w:line="266" w:lineRule="auto"/>
        <w:tabs>
          <w:tab w:leader="none" w:pos="70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75" w:lineRule="exact"/>
        <w:rPr>
          <w:rFonts w:ascii="Times New Roman" w:cs="Times New Roman" w:eastAsia="Times New Roman" w:hAnsi="Times New Roman"/>
          <w:sz w:val="18"/>
          <w:szCs w:val="18"/>
          <w:color w:val="auto"/>
        </w:rPr>
      </w:pPr>
    </w:p>
    <w:p>
      <w:pPr>
        <w:jc w:val="both"/>
        <w:ind w:right="20" w:firstLine="436"/>
        <w:spacing w:after="0" w:line="266" w:lineRule="auto"/>
        <w:tabs>
          <w:tab w:leader="none" w:pos="68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that service of process in any such action or proceeding may be effected by mailing a copy thereof by registered or certified mail (or any substantially similar form of mail), postage prepaid, to such Guarantor at its address referred to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or at such other address of which the Administrative Agent shall have been notified pursuant thereto;</w:t>
      </w:r>
    </w:p>
    <w:p>
      <w:pPr>
        <w:spacing w:after="0" w:line="175" w:lineRule="exact"/>
        <w:rPr>
          <w:rFonts w:ascii="Times New Roman" w:cs="Times New Roman" w:eastAsia="Times New Roman" w:hAnsi="Times New Roman"/>
          <w:sz w:val="18"/>
          <w:szCs w:val="18"/>
          <w:color w:val="auto"/>
        </w:rPr>
      </w:pPr>
    </w:p>
    <w:p>
      <w:pPr>
        <w:ind w:right="20" w:firstLine="436"/>
        <w:spacing w:after="0" w:line="282" w:lineRule="auto"/>
        <w:tabs>
          <w:tab w:leader="none" w:pos="71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Guarantor other than the Company, hereby irrevocably designates the Company (and the Company hereby irrevocably accepts such designation) as its agent to receive service of process in any such action or proceeding;</w:t>
      </w:r>
    </w:p>
    <w:p>
      <w:pPr>
        <w:spacing w:after="0" w:line="161" w:lineRule="exact"/>
        <w:rPr>
          <w:rFonts w:ascii="Times New Roman" w:cs="Times New Roman" w:eastAsia="Times New Roman" w:hAnsi="Times New Roman"/>
          <w:sz w:val="18"/>
          <w:szCs w:val="18"/>
          <w:color w:val="auto"/>
        </w:rPr>
      </w:pPr>
    </w:p>
    <w:p>
      <w:pPr>
        <w:ind w:right="20" w:firstLine="436"/>
        <w:spacing w:after="0" w:line="282" w:lineRule="auto"/>
        <w:tabs>
          <w:tab w:leader="none" w:pos="69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nothing herein shall affect the right to effect service of process in any other manner permitted by law or shall limit the right to sue in any other jurisdiction; and</w:t>
      </w:r>
    </w:p>
    <w:p>
      <w:pPr>
        <w:spacing w:after="0" w:line="161" w:lineRule="exact"/>
        <w:rPr>
          <w:rFonts w:ascii="Times New Roman" w:cs="Times New Roman" w:eastAsia="Times New Roman" w:hAnsi="Times New Roman"/>
          <w:sz w:val="18"/>
          <w:szCs w:val="18"/>
          <w:color w:val="auto"/>
        </w:rPr>
      </w:pPr>
    </w:p>
    <w:p>
      <w:pPr>
        <w:ind w:right="20" w:firstLine="436"/>
        <w:spacing w:after="0" w:line="282" w:lineRule="auto"/>
        <w:tabs>
          <w:tab w:leader="none" w:pos="66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89"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8"/>
          <w:szCs w:val="18"/>
          <w:u w:val="single" w:color="auto"/>
          <w:color w:val="auto"/>
        </w:rPr>
        <w:t>Judgment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The parties hereto agree that Section 10.13 of the Credit Agreement shall apply to the obligations of the Guarantors hereunder, </w:t>
      </w:r>
      <w:r>
        <w:rPr>
          <w:rFonts w:ascii="Times New Roman" w:cs="Times New Roman" w:eastAsia="Times New Roman" w:hAnsi="Times New Roman"/>
          <w:sz w:val="18"/>
          <w:szCs w:val="18"/>
          <w:i w:val="1"/>
          <w:iCs w:val="1"/>
          <w:color w:val="auto"/>
        </w:rPr>
        <w:t>mutatis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7"/>
          <w:szCs w:val="17"/>
          <w:u w:val="single" w:color="auto"/>
          <w:color w:val="auto"/>
        </w:rPr>
        <w:t>Additional Guarantors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Each Subsidiary of the Company that is required to become a party to this Agreement pursuant to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of the Credit Agreement, and each other Person (whether or not a Subsidiary of the Company) that the Company desires to become a party to this Agreement pursuant to Section 10.1(b) of the Credit Agreement or otherwise, shall become a Guarantor for all purposes of this Agreement upon execution and delivery by such Subsidiary or other Person of a Joinder Agreement in the form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 (a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66" w:right="439" w:bottom="1440" w:gutter="0" w:footer="0" w:header="0"/>
        </w:sectPr>
      </w:pPr>
    </w:p>
    <w:bookmarkStart w:id="133" w:name="page134"/>
    <w:bookmarkEnd w:id="133"/>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3.15</w:t>
      </w:r>
      <w:r>
        <w:rPr>
          <w:sz w:val="20"/>
          <w:szCs w:val="20"/>
          <w:color w:val="auto"/>
        </w:rPr>
        <w:tab/>
      </w:r>
      <w:r>
        <w:rPr>
          <w:rFonts w:ascii="Times New Roman" w:cs="Times New Roman" w:eastAsia="Times New Roman" w:hAnsi="Times New Roman"/>
          <w:sz w:val="18"/>
          <w:szCs w:val="18"/>
          <w:u w:val="single" w:color="auto"/>
          <w:color w:val="auto"/>
        </w:rPr>
        <w:t>Releases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36"/>
        <w:spacing w:after="0" w:line="266" w:lineRule="auto"/>
        <w:tabs>
          <w:tab w:leader="none" w:pos="69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satisfaction of the conditions set forth in </w:t>
      </w:r>
      <w:r>
        <w:rPr>
          <w:rFonts w:ascii="Times New Roman" w:cs="Times New Roman" w:eastAsia="Times New Roman" w:hAnsi="Times New Roman"/>
          <w:sz w:val="18"/>
          <w:szCs w:val="18"/>
          <w:u w:val="single" w:color="auto"/>
          <w:color w:val="auto"/>
        </w:rPr>
        <w:t>Section 10.15(b)</w:t>
      </w:r>
      <w:r>
        <w:rPr>
          <w:rFonts w:ascii="Times New Roman" w:cs="Times New Roman" w:eastAsia="Times New Roman" w:hAnsi="Times New Roman"/>
          <w:sz w:val="18"/>
          <w:szCs w:val="18"/>
          <w:color w:val="auto"/>
        </w:rPr>
        <w:t xml:space="preserve"> of the Credit Agreement, this Agreement and the obligations (other than those expressly stated to survive such termination) of each Guarantor hereunder shall terminate, all without delivery of any instrument or performance of any act by any party, in accordance with the terms thereof.</w:t>
      </w:r>
    </w:p>
    <w:p>
      <w:pPr>
        <w:spacing w:after="0" w:line="175" w:lineRule="exact"/>
        <w:rPr>
          <w:rFonts w:ascii="Times New Roman" w:cs="Times New Roman" w:eastAsia="Times New Roman" w:hAnsi="Times New Roman"/>
          <w:sz w:val="18"/>
          <w:szCs w:val="18"/>
          <w:color w:val="auto"/>
        </w:rPr>
      </w:pPr>
    </w:p>
    <w:p>
      <w:pPr>
        <w:jc w:val="both"/>
        <w:ind w:firstLine="436"/>
        <w:spacing w:after="0" w:line="266" w:lineRule="auto"/>
        <w:tabs>
          <w:tab w:leader="none" w:pos="69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satisfaction of the conditions set forth in </w:t>
      </w:r>
      <w:r>
        <w:rPr>
          <w:rFonts w:ascii="Times New Roman" w:cs="Times New Roman" w:eastAsia="Times New Roman" w:hAnsi="Times New Roman"/>
          <w:sz w:val="18"/>
          <w:szCs w:val="18"/>
          <w:u w:val="single" w:color="auto"/>
          <w:color w:val="auto"/>
        </w:rPr>
        <w:t>Section 10.15(c) or (d)</w:t>
      </w:r>
      <w:r>
        <w:rPr>
          <w:rFonts w:ascii="Times New Roman" w:cs="Times New Roman" w:eastAsia="Times New Roman" w:hAnsi="Times New Roman"/>
          <w:sz w:val="18"/>
          <w:szCs w:val="18"/>
          <w:color w:val="auto"/>
        </w:rPr>
        <w:t xml:space="preserve"> of the Credit Agreement, the obligations (other than those expressly stated to survive such termination) of the applicable Subsidiary Guarantor hereunder shall terminate, without delivery of any instrument or performance of any act by any party, in accordance with the terms thereof.</w:t>
      </w:r>
    </w:p>
    <w:p>
      <w:pPr>
        <w:spacing w:after="0" w:line="175" w:lineRule="exact"/>
        <w:rPr>
          <w:rFonts w:ascii="Times New Roman" w:cs="Times New Roman" w:eastAsia="Times New Roman" w:hAnsi="Times New Roman"/>
          <w:sz w:val="18"/>
          <w:szCs w:val="18"/>
          <w:color w:val="auto"/>
        </w:rPr>
      </w:pPr>
    </w:p>
    <w:p>
      <w:pPr>
        <w:jc w:val="both"/>
        <w:ind w:firstLine="436"/>
        <w:spacing w:after="0" w:line="266" w:lineRule="auto"/>
        <w:tabs>
          <w:tab w:leader="none" w:pos="69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the Administrative Agent agrees, at the request and the expense of the Company, at any time and from time to time, to execute and deliver any instrument or other document and in such form as may be reasonably specified by the Company, in order to give effect to the release of any Guarantor pursuant to the foregoing provisions of this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3.16</w:t>
      </w:r>
      <w:r>
        <w:rPr>
          <w:sz w:val="20"/>
          <w:szCs w:val="20"/>
          <w:color w:val="auto"/>
        </w:rPr>
        <w:tab/>
      </w:r>
      <w:r>
        <w:rPr>
          <w:rFonts w:ascii="Times New Roman" w:cs="Times New Roman" w:eastAsia="Times New Roman" w:hAnsi="Times New Roman"/>
          <w:sz w:val="17"/>
          <w:szCs w:val="17"/>
          <w:b w:val="1"/>
          <w:bCs w:val="1"/>
          <w:u w:val="single" w:color="auto"/>
          <w:color w:val="auto"/>
        </w:rPr>
        <w:t>WAIVER OF JURY TRIAL</w:t>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jc w:val="both"/>
        <w:ind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EACH GUARANTOR AND THE ADMINISTRATIVE AGENT HEREBY IRREVOCABLY AND UNCONDITIONALLY WAIVE TRIAL BY JURY IN ANY LEGAL ACTION OR PROCEEDING RELATING TO THIS AGREEMENT OR ANY OTHER LOAN DOCUMENT AND FOR ANY COUNTERCLAIM THEREIN.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this page intentionally left blank.]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34" w:name="page135"/>
    <w:bookmarkEnd w:id="13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caused this Agreement to be duly executed and delivered as of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GENERAL MOTORS COMPANY, </w:t>
      </w:r>
      <w:r>
        <w:rPr>
          <w:rFonts w:ascii="Times New Roman" w:cs="Times New Roman" w:eastAsia="Times New Roman" w:hAnsi="Times New Roman"/>
          <w:sz w:val="18"/>
          <w:szCs w:val="18"/>
          <w:i w:val="1"/>
          <w:iCs w:val="1"/>
          <w:color w:val="auto"/>
        </w:rPr>
        <w:t>as the Company</w:t>
      </w:r>
    </w:p>
    <w:p>
      <w:pPr>
        <w:spacing w:after="0" w:line="214" w:lineRule="exact"/>
        <w:rPr>
          <w:sz w:val="20"/>
          <w:szCs w:val="20"/>
          <w:color w:val="auto"/>
        </w:rPr>
      </w:pPr>
    </w:p>
    <w:tbl>
      <w:tblPr>
        <w:tblLayout w:type="fixed"/>
        <w:tblInd w:w="6620" w:type="dxa"/>
        <w:tblCellMar>
          <w:top w:w="0" w:type="dxa"/>
          <w:left w:w="0" w:type="dxa"/>
          <w:bottom w:w="0" w:type="dxa"/>
          <w:right w:w="0" w:type="dxa"/>
        </w:tblCellMar>
      </w:tblPr>
      <w:tr>
        <w:trPr>
          <w:trHeight w:val="207"/>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By: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71"/>
              </w:rPr>
              <w:t> </w:t>
            </w:r>
          </w:p>
        </w:tc>
      </w:tr>
      <w:tr>
        <w:trPr>
          <w:trHeight w:val="196"/>
        </w:trPr>
        <w:tc>
          <w:tcPr>
            <w:tcW w:w="360" w:type="dxa"/>
            <w:vAlign w:val="bottom"/>
          </w:tcPr>
          <w:p>
            <w:pPr>
              <w:spacing w:after="0"/>
              <w:rPr>
                <w:sz w:val="17"/>
                <w:szCs w:val="17"/>
                <w:color w:val="auto"/>
              </w:rPr>
            </w:pPr>
          </w:p>
        </w:tc>
        <w:tc>
          <w:tcPr>
            <w:tcW w:w="52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72"/>
              </w:rPr>
              <w:t>Name: </w:t>
            </w:r>
          </w:p>
        </w:tc>
        <w:tc>
          <w:tcPr>
            <w:tcW w:w="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2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top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top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top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0" w:type="dxa"/>
            <w:vAlign w:val="bottom"/>
          </w:tcPr>
          <w:p>
            <w:pPr>
              <w:spacing w:after="0"/>
              <w:rPr>
                <w:sz w:val="17"/>
                <w:szCs w:val="17"/>
                <w:color w:val="auto"/>
              </w:rPr>
            </w:pPr>
          </w:p>
        </w:tc>
      </w:tr>
      <w:tr>
        <w:trPr>
          <w:trHeight w:val="196"/>
        </w:trPr>
        <w:tc>
          <w:tcPr>
            <w:tcW w:w="36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77"/>
              </w:rPr>
              <w:t>Title: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top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Borders>
              <w:top w:val="single" w:sz="8" w:color="auto"/>
            </w:tcBorders>
            <w:gridSpan w:val="2"/>
          </w:tcPr>
          <w:p>
            <w:pPr>
              <w:jc w:val="center"/>
              <w:ind w:right="20"/>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36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to Eighth Amended and Restated 364-Day Guarantee Agreement</w:t>
      </w:r>
    </w:p>
    <w:p>
      <w:pPr>
        <w:sectPr>
          <w:pgSz w:w="11900" w:h="16838" w:orient="portrait"/>
          <w:cols w:equalWidth="0" w:num="1">
            <w:col w:w="11000"/>
          </w:cols>
          <w:pgMar w:left="440" w:top="270"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AND AGREED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SET FORTH ABOVE: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JPMORGAN CHASE BANK, N.A., </w:t>
      </w:r>
      <w:r>
        <w:rPr>
          <w:rFonts w:ascii="Times New Roman" w:cs="Times New Roman" w:eastAsia="Times New Roman" w:hAnsi="Times New Roman"/>
          <w:sz w:val="18"/>
          <w:szCs w:val="18"/>
          <w:i w:val="1"/>
          <w:iCs w:val="1"/>
          <w:color w:val="auto"/>
        </w:rPr>
        <w:t>as the Administrative Agent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jc w:val="right"/>
        <w:ind w:right="1419"/>
        <w:spacing w:after="0"/>
        <w:rPr>
          <w:sz w:val="20"/>
          <w:szCs w:val="20"/>
          <w:color w:val="auto"/>
        </w:rPr>
      </w:pPr>
      <w:r>
        <w:rPr>
          <w:rFonts w:ascii="Times New Roman" w:cs="Times New Roman" w:eastAsia="Times New Roman" w:hAnsi="Times New Roman"/>
          <w:sz w:val="18"/>
          <w:szCs w:val="18"/>
          <w:b w:val="1"/>
          <w:bCs w:val="1"/>
          <w:color w:val="auto"/>
        </w:rPr>
        <w:t>Signature Page to Eighth Amended and Restated 364-Day Guarantee Agreement</w:t>
      </w:r>
    </w:p>
    <w:p>
      <w:pPr>
        <w:sectPr>
          <w:pgSz w:w="11900" w:h="16838" w:orient="portrait"/>
          <w:cols w:equalWidth="0" w:num="1">
            <w:col w:w="10019"/>
          </w:cols>
          <w:pgMar w:left="440" w:top="270" w:right="1440" w:bottom="1440" w:gutter="0" w:footer="0" w:header="0"/>
        </w:sectPr>
      </w:pPr>
    </w:p>
    <w:bookmarkStart w:id="136" w:name="page137"/>
    <w:bookmarkEnd w:id="136"/>
    <w:p>
      <w:pPr>
        <w:jc w:val="right"/>
        <w:ind w:right="1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Annex 1       </w:t>
      </w:r>
    </w:p>
    <w:p>
      <w:pPr>
        <w:spacing w:after="0" w:line="27"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 xml:space="preserve">to 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Guarantee Agreement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JOINDER AGREEMENT, dated as of ________________, 20__ (the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made by ______________________________ (the</w:t>
      </w:r>
    </w:p>
    <w:p>
      <w:pPr>
        <w:spacing w:after="0" w:line="2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Guarantor</w:t>
      </w:r>
      <w:r>
        <w:rPr>
          <w:rFonts w:ascii="Times New Roman" w:cs="Times New Roman" w:eastAsia="Times New Roman" w:hAnsi="Times New Roman"/>
          <w:sz w:val="18"/>
          <w:szCs w:val="18"/>
          <w:color w:val="auto"/>
        </w:rPr>
        <w:t>”), in favor of JPMorgan Chase Bank, N.A.,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for the Lenders from time to time parties to the Credit Agreement referred to below. Unless otherwise defined herein, all capitalized terms not defined herein shall have the meanings ascribed to them in the Credit Agreement.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jc w:val="both"/>
        <w:ind w:right="20" w:firstLine="440"/>
        <w:spacing w:after="0" w:line="254" w:lineRule="auto"/>
        <w:rPr>
          <w:sz w:val="20"/>
          <w:szCs w:val="20"/>
          <w:color w:val="auto"/>
        </w:rPr>
      </w:pPr>
      <w:r>
        <w:rPr>
          <w:rFonts w:ascii="Times New Roman" w:cs="Times New Roman" w:eastAsia="Times New Roman" w:hAnsi="Times New Roman"/>
          <w:sz w:val="18"/>
          <w:szCs w:val="18"/>
          <w:color w:val="auto"/>
        </w:rPr>
        <w:t>WHEREAS, pursuant to the terms of the certain Eighth Amended and Restated 364-Day Revolving Credit Agreement, dated as of March 23, 2026 (as amended, restated, amended and restated, renewed,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General Motors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General Motors Financial Company, Inc., a Texas corporation (“</w:t>
      </w:r>
      <w:r>
        <w:rPr>
          <w:rFonts w:ascii="Times New Roman" w:cs="Times New Roman" w:eastAsia="Times New Roman" w:hAnsi="Times New Roman"/>
          <w:sz w:val="18"/>
          <w:szCs w:val="18"/>
          <w:u w:val="single" w:color="auto"/>
          <w:color w:val="auto"/>
        </w:rPr>
        <w:t>GMF</w:t>
      </w:r>
      <w:r>
        <w:rPr>
          <w:rFonts w:ascii="Times New Roman" w:cs="Times New Roman" w:eastAsia="Times New Roman" w:hAnsi="Times New Roman"/>
          <w:sz w:val="18"/>
          <w:szCs w:val="18"/>
          <w:color w:val="auto"/>
        </w:rPr>
        <w:t>”), the other Subsidiary Borrowers from time to time parties thereto, the Lenders from time to time parties thereto, the Administrative Agent, Citibank, N.A., as syndication agent, Bank of America, N.A., as co-syndication agent, and the other agents named therein, the Company [has] [and certain of its Subsidiaries (collectively, the “</w:t>
      </w:r>
      <w:r>
        <w:rPr>
          <w:rFonts w:ascii="Times New Roman" w:cs="Times New Roman" w:eastAsia="Times New Roman" w:hAnsi="Times New Roman"/>
          <w:sz w:val="18"/>
          <w:szCs w:val="18"/>
          <w:u w:val="single" w:color="auto"/>
          <w:color w:val="auto"/>
        </w:rPr>
        <w:t>Subsidiary Guarantors</w:t>
      </w:r>
      <w:r>
        <w:rPr>
          <w:rFonts w:ascii="Times New Roman" w:cs="Times New Roman" w:eastAsia="Times New Roman" w:hAnsi="Times New Roman"/>
          <w:sz w:val="18"/>
          <w:szCs w:val="18"/>
          <w:color w:val="auto"/>
        </w:rPr>
        <w:t>”; and, together with the Company and the other Persons party to the Guarantee Agreement (as defined below) as guarantors, collectively,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have] entered into the Eighth Amended and Restated Guarantee Agreement, dated as of March 23, 2026 (as amended, restated, amended and restated, renewed, supplemented or otherwise modified from time to time, the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w:t>
      </w:r>
    </w:p>
    <w:p>
      <w:pPr>
        <w:spacing w:after="0" w:line="188"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WHEREAS, the Additional Guarantor desires to become a party to the Guarantee Agreement in accordance with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of the Guarantee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IT IS AGREED:</w:t>
      </w:r>
    </w:p>
    <w:p>
      <w:pPr>
        <w:spacing w:after="0" w:line="117" w:lineRule="exact"/>
        <w:rPr>
          <w:sz w:val="20"/>
          <w:szCs w:val="20"/>
          <w:color w:val="auto"/>
        </w:rPr>
      </w:pPr>
    </w:p>
    <w:p>
      <w:pPr>
        <w:jc w:val="both"/>
        <w:ind w:right="20" w:firstLine="436"/>
        <w:spacing w:after="0" w:line="261" w:lineRule="auto"/>
        <w:tabs>
          <w:tab w:leader="none" w:pos="64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 Agreement</w:t>
      </w:r>
      <w:r>
        <w:rPr>
          <w:rFonts w:ascii="Times New Roman" w:cs="Times New Roman" w:eastAsia="Times New Roman" w:hAnsi="Times New Roman"/>
          <w:sz w:val="18"/>
          <w:szCs w:val="18"/>
          <w:color w:val="auto"/>
        </w:rPr>
        <w:t xml:space="preserve">. By executing and delivering this Joinder Agreement, the Additional Guarantor, as provided in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of the Guarantee Agreement, hereby becomes a party to the Guarantee Agreement as a Guarantor thereunder with the same force and effect as if originally named therein as a Guarantor and, without limiting the generality of the foregoing, hereby expressly assumes all obligations and liabilities and has all rights of a Guarantor thereunder.</w:t>
      </w:r>
    </w:p>
    <w:p>
      <w:pPr>
        <w:spacing w:after="0" w:line="175" w:lineRule="exact"/>
        <w:rPr>
          <w:rFonts w:ascii="Times New Roman" w:cs="Times New Roman" w:eastAsia="Times New Roman" w:hAnsi="Times New Roman"/>
          <w:sz w:val="18"/>
          <w:szCs w:val="18"/>
          <w:color w:val="auto"/>
        </w:rPr>
      </w:pPr>
    </w:p>
    <w:p>
      <w:pPr>
        <w:jc w:val="both"/>
        <w:ind w:right="20" w:firstLine="436"/>
        <w:spacing w:after="0" w:line="268" w:lineRule="auto"/>
        <w:tabs>
          <w:tab w:leader="none" w:pos="64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THIS JOINDER AGREEMENT AND THE RIGHTS AND OBLIGATIONS OF THE PARTIES HEREUNDER SHALL BE GOVERNED BY, AND CONSTRUED AND INTERPRETED IN ACCORDANCE WITH, THE LAW OF THE STATE OF NEW YORK.</w:t>
      </w:r>
    </w:p>
    <w:p>
      <w:pPr>
        <w:sectPr>
          <w:pgSz w:w="11900" w:h="16838" w:orient="portrait"/>
          <w:cols w:equalWidth="0" w:num="1">
            <w:col w:w="11020"/>
          </w:cols>
          <w:pgMar w:left="440" w:top="270" w:right="4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has caused this Joinder Agreement to be duly executed and delivered as of the date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[ADDITIONAL GUARANTOR]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560"/>
          </w:cols>
          <w:pgMar w:left="880" w:top="270"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AND AGREED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SET FORTH ABOVE: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JPMORGAN CHASE BANK, N.A., </w:t>
      </w:r>
      <w:r>
        <w:rPr>
          <w:rFonts w:ascii="Times New Roman" w:cs="Times New Roman" w:eastAsia="Times New Roman" w:hAnsi="Times New Roman"/>
          <w:sz w:val="17"/>
          <w:szCs w:val="17"/>
          <w:i w:val="1"/>
          <w:iCs w:val="1"/>
          <w:color w:val="auto"/>
        </w:rPr>
        <w:t>as the Administrative Agent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019"/>
          </w:cols>
          <w:pgMar w:left="440" w:top="270" w:right="1440" w:bottom="1440" w:gutter="0" w:footer="0" w:header="0"/>
        </w:sectPr>
      </w:pPr>
    </w:p>
    <w:bookmarkStart w:id="139" w:name="page140"/>
    <w:bookmarkEnd w:id="139"/>
    <w:p>
      <w:pPr>
        <w:jc w:val="right"/>
        <w:ind w:right="18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31"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xml:space="preserve">to 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[Reserved]</w:t>
      </w:r>
    </w:p>
    <w:p>
      <w:pPr>
        <w:sectPr>
          <w:pgSz w:w="11900" w:h="16838" w:orient="portrait"/>
          <w:cols w:equalWidth="0" w:num="1">
            <w:col w:w="10020"/>
          </w:cols>
          <w:pgMar w:left="1440" w:top="266" w:right="439" w:bottom="1440" w:gutter="0" w:footer="0" w:header="0"/>
        </w:sectPr>
      </w:pPr>
    </w:p>
    <w:bookmarkStart w:id="140" w:name="page141"/>
    <w:bookmarkEnd w:id="140"/>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31"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xml:space="preserve">to 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[Reserved]</w:t>
      </w:r>
    </w:p>
    <w:p>
      <w:pPr>
        <w:sectPr>
          <w:pgSz w:w="11900" w:h="16838" w:orient="portrait"/>
          <w:cols w:equalWidth="0" w:num="1">
            <w:col w:w="10020"/>
          </w:cols>
          <w:pgMar w:left="1440" w:top="266" w:right="439" w:bottom="1440" w:gutter="0" w:footer="0" w:header="0"/>
        </w:sectPr>
      </w:pPr>
    </w:p>
    <w:bookmarkStart w:id="141" w:name="page142"/>
    <w:bookmarkEnd w:id="141"/>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31"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xml:space="preserve">to 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[Reserved]</w:t>
      </w:r>
    </w:p>
    <w:p>
      <w:pPr>
        <w:sectPr>
          <w:pgSz w:w="11900" w:h="16838" w:orient="portrait"/>
          <w:cols w:equalWidth="0" w:num="1">
            <w:col w:w="10020"/>
          </w:cols>
          <w:pgMar w:left="1440" w:top="266" w:right="439" w:bottom="1440" w:gutter="0" w:footer="0" w:header="0"/>
        </w:sectPr>
      </w:pPr>
    </w:p>
    <w:bookmarkStart w:id="142" w:name="page143"/>
    <w:bookmarkEnd w:id="142"/>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E</w:t>
      </w:r>
    </w:p>
    <w:p>
      <w:pPr>
        <w:spacing w:after="0" w:line="31"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xml:space="preserve">to 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FORM OF INCREMENTAL LOAN ACTIVATION NOTICE</w:t>
      </w:r>
    </w:p>
    <w:p>
      <w:pPr>
        <w:spacing w:after="0" w:line="25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JPMorgan Chase Bank, N.A., as Administrative Agent</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under the Credit Agreement referred to below</w:t>
      </w:r>
    </w:p>
    <w:p>
      <w:pPr>
        <w:spacing w:after="0" w:line="207" w:lineRule="exact"/>
        <w:rPr>
          <w:sz w:val="20"/>
          <w:szCs w:val="20"/>
          <w:color w:val="auto"/>
        </w:rPr>
      </w:pPr>
    </w:p>
    <w:p>
      <w:pPr>
        <w:ind w:right="40" w:firstLine="440"/>
        <w:spacing w:after="0" w:line="274" w:lineRule="auto"/>
        <w:rPr>
          <w:sz w:val="20"/>
          <w:szCs w:val="20"/>
          <w:color w:val="auto"/>
        </w:rPr>
      </w:pPr>
      <w:r>
        <w:rPr>
          <w:rFonts w:ascii="Times New Roman" w:cs="Times New Roman" w:eastAsia="Times New Roman" w:hAnsi="Times New Roman"/>
          <w:sz w:val="17"/>
          <w:szCs w:val="17"/>
          <w:color w:val="auto"/>
        </w:rPr>
        <w:t>Reference is made to that certain Eighth Amended and Restated 364-Day Revolving Credit Agreement, dated as of March 23, 2026, as amended, restated, amended and restated, renewed, supplemented or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Borrowers from time to time party thereto, the several banks and other financial institutions or entities from time to time party thereto (the “</w:t>
      </w:r>
      <w:r>
        <w:rPr>
          <w:rFonts w:ascii="Times New Roman" w:cs="Times New Roman" w:eastAsia="Times New Roman" w:hAnsi="Times New Roman"/>
          <w:sz w:val="17"/>
          <w:szCs w:val="17"/>
          <w:u w:val="single" w:color="auto"/>
          <w:color w:val="auto"/>
        </w:rPr>
        <w:t>Lenders</w:t>
      </w:r>
      <w:r>
        <w:rPr>
          <w:rFonts w:ascii="Times New Roman" w:cs="Times New Roman" w:eastAsia="Times New Roman" w:hAnsi="Times New Roman"/>
          <w:sz w:val="17"/>
          <w:szCs w:val="17"/>
          <w:color w:val="auto"/>
        </w:rPr>
        <w:t>”), JPMorgan Chase Bank, N.A., as administrative agent,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3"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This notice is an Incremental Loan Activation Notice referred to in the Credit Agreement, and the Company and each of the lenders party hereto (each, an “</w:t>
      </w:r>
      <w:r>
        <w:rPr>
          <w:rFonts w:ascii="Times New Roman" w:cs="Times New Roman" w:eastAsia="Times New Roman" w:hAnsi="Times New Roman"/>
          <w:sz w:val="18"/>
          <w:szCs w:val="18"/>
          <w:u w:val="single" w:color="auto"/>
          <w:color w:val="auto"/>
        </w:rPr>
        <w:t>Incremental Lender</w:t>
      </w:r>
      <w:r>
        <w:rPr>
          <w:rFonts w:ascii="Times New Roman" w:cs="Times New Roman" w:eastAsia="Times New Roman" w:hAnsi="Times New Roman"/>
          <w:sz w:val="18"/>
          <w:szCs w:val="18"/>
          <w:color w:val="auto"/>
        </w:rPr>
        <w:t>”) hereby notify you that:</w:t>
      </w:r>
    </w:p>
    <w:p>
      <w:pPr>
        <w:spacing w:after="0" w:line="54" w:lineRule="exact"/>
        <w:rPr>
          <w:sz w:val="20"/>
          <w:szCs w:val="20"/>
          <w:color w:val="auto"/>
        </w:rPr>
      </w:pPr>
    </w:p>
    <w:p>
      <w:pPr>
        <w:ind w:right="220" w:firstLine="987"/>
        <w:spacing w:after="0" w:line="282" w:lineRule="auto"/>
        <w:tabs>
          <w:tab w:leader="none" w:pos="117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Incremental Lender party hereto agrees to increase the amount of its existing Commitment in the amount set forth opposite such Incremental Lender’s name on the signature pages hereof under the caption “Incremental Commitment”.</w:t>
      </w:r>
    </w:p>
    <w:p>
      <w:pPr>
        <w:spacing w:after="0" w:line="161"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 Increase Date is ___________________.</w:t>
      </w:r>
    </w:p>
    <w:p>
      <w:pPr>
        <w:spacing w:after="0" w:line="225" w:lineRule="exact"/>
        <w:rPr>
          <w:rFonts w:ascii="Times New Roman" w:cs="Times New Roman" w:eastAsia="Times New Roman" w:hAnsi="Times New Roman"/>
          <w:sz w:val="18"/>
          <w:szCs w:val="18"/>
          <w:color w:val="auto"/>
        </w:rPr>
      </w:pPr>
    </w:p>
    <w:p>
      <w:pPr>
        <w:ind w:right="280" w:firstLine="987"/>
        <w:spacing w:after="0" w:line="312" w:lineRule="auto"/>
        <w:tabs>
          <w:tab w:leader="none" w:pos="1171"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agreement of each Incremental Lender party hereto to make the Incremental Loans to be made by it is subject to the satisfaction, prior to or concurrently with the making of such extension of credit on the Commitment Increase Date, of the following conditions precedent:</w:t>
      </w:r>
    </w:p>
    <w:p>
      <w:pPr>
        <w:spacing w:after="0" w:line="31" w:lineRule="exact"/>
        <w:rPr>
          <w:rFonts w:ascii="Times New Roman" w:cs="Times New Roman" w:eastAsia="Times New Roman" w:hAnsi="Times New Roman"/>
          <w:sz w:val="17"/>
          <w:szCs w:val="17"/>
          <w:color w:val="auto"/>
        </w:rPr>
      </w:pPr>
    </w:p>
    <w:p>
      <w:pPr>
        <w:ind w:left="440" w:right="500" w:firstLine="1160"/>
        <w:spacing w:after="0" w:line="282" w:lineRule="auto"/>
        <w:tabs>
          <w:tab w:leader="none" w:pos="1848"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this notice, executed and delivered by the Company and each Incremental Lender party hereto.</w:t>
      </w:r>
    </w:p>
    <w:p>
      <w:pPr>
        <w:spacing w:after="0" w:line="161" w:lineRule="exact"/>
        <w:rPr>
          <w:rFonts w:ascii="Times New Roman" w:cs="Times New Roman" w:eastAsia="Times New Roman" w:hAnsi="Times New Roman"/>
          <w:sz w:val="18"/>
          <w:szCs w:val="18"/>
          <w:color w:val="auto"/>
        </w:rPr>
      </w:pPr>
    </w:p>
    <w:p>
      <w:pPr>
        <w:ind w:left="440" w:right="540" w:firstLine="1160"/>
        <w:spacing w:after="0" w:line="266" w:lineRule="auto"/>
        <w:tabs>
          <w:tab w:leader="none" w:pos="1858"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Commitment Increase (including the incurrence of any Incremental Loans on the applicable Commitment Increase Date and use of proceeds thereof), (i) no Default or Event of Default shall be continuing and (ii) the sum of the Total Commitments in effect (including, for the avoidance of doubt, Incremental Commitments) shall not exceed $2 billion.</w:t>
      </w:r>
    </w:p>
    <w:p>
      <w:pPr>
        <w:spacing w:after="0" w:line="175" w:lineRule="exact"/>
        <w:rPr>
          <w:rFonts w:ascii="Times New Roman" w:cs="Times New Roman" w:eastAsia="Times New Roman" w:hAnsi="Times New Roman"/>
          <w:sz w:val="18"/>
          <w:szCs w:val="18"/>
          <w:color w:val="auto"/>
        </w:rPr>
      </w:pPr>
    </w:p>
    <w:p>
      <w:pPr>
        <w:ind w:right="660" w:firstLine="987"/>
        <w:spacing w:after="0" w:line="282" w:lineRule="auto"/>
        <w:tabs>
          <w:tab w:leader="none" w:pos="117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execution and delivery hereof, each Incremental Lender shall have the rights and obligations of a Lender under the Credit Agreement and the other Loan Documents, and shall be bound by the provisions thereof.</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1020"/>
          </w:cols>
          <w:pgMar w:left="440" w:top="266" w:right="4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662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GENERAL MOTORS COMPANY</w:t>
            </w:r>
          </w:p>
        </w:tc>
      </w:tr>
      <w:tr>
        <w:trPr>
          <w:trHeight w:val="432"/>
        </w:trPr>
        <w:tc>
          <w:tcPr>
            <w:tcW w:w="3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62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3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84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3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r>
      <w:tr>
        <w:trPr>
          <w:trHeight w:val="441"/>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Incremental Loan Commitment</w:t>
            </w:r>
          </w:p>
        </w:tc>
        <w:tc>
          <w:tcPr>
            <w:tcW w:w="662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[NAME OF EACH INCREMENTAL LENDER]</w:t>
            </w: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45"/>
        </w:trPr>
        <w:tc>
          <w:tcPr>
            <w:tcW w:w="3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62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3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84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3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r>
      <w:tr>
        <w:trPr>
          <w:trHeight w:val="441"/>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RECEIVED BY:</w:t>
            </w:r>
          </w:p>
        </w:tc>
        <w:tc>
          <w:tcPr>
            <w:tcW w:w="178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JPMorgan Chase Bank, N.A.,</w:t>
            </w:r>
          </w:p>
        </w:tc>
        <w:tc>
          <w:tcPr>
            <w:tcW w:w="178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Administrative Agent</w:t>
            </w:r>
          </w:p>
        </w:tc>
        <w:tc>
          <w:tcPr>
            <w:tcW w:w="178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4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78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191"/>
        </w:trPr>
        <w:tc>
          <w:tcPr>
            <w:tcW w:w="300" w:type="dxa"/>
            <w:vAlign w:val="bottom"/>
          </w:tcPr>
          <w:p>
            <w:pPr>
              <w:spacing w:after="0"/>
              <w:rPr>
                <w:sz w:val="16"/>
                <w:szCs w:val="16"/>
                <w:color w:val="auto"/>
              </w:rPr>
            </w:pPr>
          </w:p>
        </w:tc>
        <w:tc>
          <w:tcPr>
            <w:tcW w:w="410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780" w:type="dxa"/>
            <w:vAlign w:val="bottom"/>
          </w:tcPr>
          <w:p>
            <w:pPr>
              <w:spacing w:after="0"/>
              <w:rPr>
                <w:sz w:val="16"/>
                <w:szCs w:val="16"/>
                <w:color w:val="auto"/>
              </w:rPr>
            </w:pPr>
          </w:p>
        </w:tc>
        <w:tc>
          <w:tcPr>
            <w:tcW w:w="4840" w:type="dxa"/>
            <w:vAlign w:val="bottom"/>
          </w:tcPr>
          <w:p>
            <w:pPr>
              <w:spacing w:after="0"/>
              <w:rPr>
                <w:sz w:val="16"/>
                <w:szCs w:val="16"/>
                <w:color w:val="auto"/>
              </w:rPr>
            </w:pPr>
          </w:p>
        </w:tc>
      </w:tr>
      <w:tr>
        <w:trPr>
          <w:trHeight w:val="234"/>
        </w:trPr>
        <w:tc>
          <w:tcPr>
            <w:tcW w:w="300" w:type="dxa"/>
            <w:vAlign w:val="bottom"/>
          </w:tcPr>
          <w:p>
            <w:pPr>
              <w:spacing w:after="0"/>
              <w:rPr>
                <w:sz w:val="20"/>
                <w:szCs w:val="20"/>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w:t>
            </w:r>
          </w:p>
        </w:tc>
        <w:tc>
          <w:tcPr>
            <w:tcW w:w="1780" w:type="dxa"/>
            <w:vAlign w:val="bottom"/>
          </w:tcPr>
          <w:p>
            <w:pPr>
              <w:spacing w:after="0"/>
              <w:rPr>
                <w:sz w:val="20"/>
                <w:szCs w:val="20"/>
                <w:color w:val="auto"/>
              </w:rPr>
            </w:pPr>
          </w:p>
        </w:tc>
        <w:tc>
          <w:tcPr>
            <w:tcW w:w="484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44" w:name="page145"/>
    <w:bookmarkEnd w:id="144"/>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F</w:t>
      </w:r>
    </w:p>
    <w:p>
      <w:pPr>
        <w:spacing w:after="0" w:line="31"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xml:space="preserve">to       </w:t>
      </w:r>
    </w:p>
    <w:p>
      <w:pPr>
        <w:spacing w:after="0" w:line="9" w:lineRule="exact"/>
        <w:rPr>
          <w:sz w:val="20"/>
          <w:szCs w:val="20"/>
          <w:color w:val="auto"/>
        </w:rPr>
      </w:pPr>
    </w:p>
    <w:p>
      <w:pPr>
        <w:ind w:left="962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OF CLOSING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LOAN PARTY]</w:t>
      </w:r>
    </w:p>
    <w:p>
      <w:pPr>
        <w:spacing w:after="0" w:line="207"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8"/>
          <w:szCs w:val="18"/>
          <w:color w:val="auto"/>
        </w:rPr>
        <w:t>__________, 20__</w:t>
      </w:r>
    </w:p>
    <w:p>
      <w:pPr>
        <w:spacing w:after="0" w:line="225"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This Certificate is furnished pursuant to Section 5.1(c) of that certain Eighth Amended and Restated 364-Day Revolving Credit Agreement, dated as of March 23, 2026, as amended, restated, amended and restated, renewed, supplemented or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General Motors Company (together with its successors and permitted assigns,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General Motors Financial Company, Inc., a Texas corporation, the Subsidiary Borrowers from time to time party thereto, the lenders from time to time party thereto, JPMorgan Chase Bank, N.A. as the Administrative Agent for the Lenders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Citibank N.A. as syndication agent, Bank of America N.A. as co-syndication agent, and the other agents party thereto. Unless otherwise defined herein, capitalized terms used in this Certificate have the meanings assigned to such terms in the Credit Agreement.</w:t>
      </w:r>
    </w:p>
    <w:p>
      <w:pPr>
        <w:spacing w:after="0" w:line="189"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I, the undersigned, [Assistant] Secretary of [the Company] [Name of Loan Party], a Delaware [corporation][limited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do hereby certify, in the name and on behalf of the Company, and without assuming any personal liability, that:</w:t>
      </w:r>
    </w:p>
    <w:p>
      <w:pPr>
        <w:spacing w:after="0" w:line="162" w:lineRule="exact"/>
        <w:rPr>
          <w:sz w:val="20"/>
          <w:szCs w:val="20"/>
          <w:color w:val="auto"/>
        </w:rPr>
      </w:pPr>
    </w:p>
    <w:p>
      <w:pPr>
        <w:jc w:val="both"/>
        <w:ind w:right="20" w:firstLine="436"/>
        <w:spacing w:after="0" w:line="261" w:lineRule="auto"/>
        <w:tabs>
          <w:tab w:leader="none" w:pos="63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 as Annex I is a true and complete copy of the [Certificate of Incorporation][Certificate of Formation] of the Company as in effect of the date hereof. There have been no amendments to the [Certificate of Incorporation][Certificate of Formation] of the Company except for those attached in Annex I, if any, and no action has been taken by the Company, its [Board of Directors][Managers], or officers in contemplation of liquidation or dissolution of the Company.</w:t>
      </w:r>
    </w:p>
    <w:p>
      <w:pPr>
        <w:spacing w:after="0" w:line="179" w:lineRule="exact"/>
        <w:rPr>
          <w:rFonts w:ascii="Times New Roman" w:cs="Times New Roman" w:eastAsia="Times New Roman" w:hAnsi="Times New Roman"/>
          <w:sz w:val="18"/>
          <w:szCs w:val="18"/>
          <w:color w:val="auto"/>
        </w:rPr>
      </w:pPr>
    </w:p>
    <w:p>
      <w:pPr>
        <w:ind w:right="20" w:firstLine="436"/>
        <w:spacing w:after="0" w:line="282" w:lineRule="auto"/>
        <w:tabs>
          <w:tab w:leader="none" w:pos="66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 as Annex II is a true, correct and complete copy of the [by-laws][Limited Liability Company Agreement][Operating Agreement] of the Company as in effect on the date hereof.</w:t>
      </w:r>
    </w:p>
    <w:p>
      <w:pPr>
        <w:spacing w:after="0" w:line="161" w:lineRule="exact"/>
        <w:rPr>
          <w:rFonts w:ascii="Times New Roman" w:cs="Times New Roman" w:eastAsia="Times New Roman" w:hAnsi="Times New Roman"/>
          <w:sz w:val="18"/>
          <w:szCs w:val="18"/>
          <w:color w:val="auto"/>
        </w:rPr>
      </w:pPr>
    </w:p>
    <w:p>
      <w:pPr>
        <w:jc w:val="both"/>
        <w:ind w:firstLine="436"/>
        <w:spacing w:after="0" w:line="258" w:lineRule="auto"/>
        <w:tabs>
          <w:tab w:leader="none" w:pos="63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 as Annex III is a true, correct and complete copy of resolutions duly adopted by the Board of [Directors] [Managers] of the Company [at a meeting thereof] [by written consent] as of the ___ day of ____________, 20__; such resolutions have not in any way been revoked, modified, amended, or rescinded, have been in full force and effect since their adoption to and including the date hereof, and are now in full force and effect, and are the only organizational proceedings of the Company now in force relating to or affecting the matters referred to therein, and the [Credit Agreement and the other] Loan Documents to which the</w:t>
      </w:r>
    </w:p>
    <w:p>
      <w:pPr>
        <w:sectPr>
          <w:pgSz w:w="11900" w:h="16838" w:orient="portrait"/>
          <w:cols w:equalWidth="0" w:num="1">
            <w:col w:w="11020"/>
          </w:cols>
          <w:pgMar w:left="440" w:top="266" w:right="439" w:bottom="1440" w:gutter="0" w:footer="0" w:header="0"/>
        </w:sectPr>
      </w:pPr>
    </w:p>
    <w:bookmarkStart w:id="145" w:name="page146"/>
    <w:bookmarkEnd w:id="145"/>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is a party are in substantially the forms of those documents approved by the Board of [Directors] [Managers] of the Company [at such meeting].</w:t>
      </w:r>
    </w:p>
    <w:p>
      <w:pPr>
        <w:spacing w:after="0" w:line="162" w:lineRule="exact"/>
        <w:rPr>
          <w:sz w:val="20"/>
          <w:szCs w:val="20"/>
          <w:color w:val="auto"/>
        </w:rPr>
      </w:pPr>
    </w:p>
    <w:p>
      <w:pPr>
        <w:ind w:firstLine="436"/>
        <w:spacing w:after="0" w:line="282" w:lineRule="auto"/>
        <w:tabs>
          <w:tab w:leader="none" w:pos="62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persons named in Annex IV attached hereto are now duly elected and duly qualified officers of the Company holding the offices set forth therein opposite their names and the signatures set forth therein opposite their names are their genuine signatures.</w:t>
      </w:r>
    </w:p>
    <w:p>
      <w:pPr>
        <w:sectPr>
          <w:pgSz w:w="11900" w:h="16838" w:orient="portrait"/>
          <w:cols w:equalWidth="0" w:num="1">
            <w:col w:w="11000"/>
          </w:cols>
          <w:pgMar w:left="440" w:top="270" w:right="459" w:bottom="1440" w:gutter="0" w:footer="0" w:header="0"/>
        </w:sectPr>
      </w:pPr>
    </w:p>
    <w:bookmarkStart w:id="146" w:name="page147"/>
    <w:bookmarkEnd w:id="14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Witness my hand as of the first date written above.</w:t>
      </w:r>
    </w:p>
    <w:p>
      <w:pPr>
        <w:spacing w:after="0" w:line="391" w:lineRule="exact"/>
        <w:rPr>
          <w:sz w:val="20"/>
          <w:szCs w:val="20"/>
          <w:color w:val="auto"/>
        </w:rPr>
      </w:pPr>
    </w:p>
    <w:p>
      <w:pPr>
        <w:ind w:left="7624"/>
        <w:spacing w:after="0"/>
        <w:rPr>
          <w:sz w:val="20"/>
          <w:szCs w:val="20"/>
          <w:color w:val="auto"/>
        </w:rPr>
      </w:pPr>
      <w:r>
        <w:rPr>
          <w:rFonts w:ascii="Times New Roman" w:cs="Times New Roman" w:eastAsia="Times New Roman" w:hAnsi="Times New Roman"/>
          <w:sz w:val="22"/>
          <w:szCs w:val="22"/>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4834890</wp:posOffset>
            </wp:positionH>
            <wp:positionV relativeFrom="paragraph">
              <wp:posOffset>-160020</wp:posOffset>
            </wp:positionV>
            <wp:extent cx="21602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95" w:lineRule="exact"/>
        <w:rPr>
          <w:sz w:val="20"/>
          <w:szCs w:val="20"/>
          <w:color w:val="auto"/>
        </w:rPr>
      </w:pPr>
    </w:p>
    <w:p>
      <w:pPr>
        <w:jc w:val="both"/>
        <w:ind w:left="4" w:firstLine="440"/>
        <w:spacing w:after="0" w:line="282" w:lineRule="auto"/>
        <w:rPr>
          <w:sz w:val="20"/>
          <w:szCs w:val="20"/>
          <w:color w:val="auto"/>
        </w:rPr>
      </w:pPr>
      <w:r>
        <w:rPr>
          <w:rFonts w:ascii="Times New Roman" w:cs="Times New Roman" w:eastAsia="Times New Roman" w:hAnsi="Times New Roman"/>
          <w:sz w:val="18"/>
          <w:szCs w:val="18"/>
          <w:color w:val="auto"/>
        </w:rPr>
        <w:t>I, the undersigned, [[Assistant] Secretary][Responsible Officer] of the Company, do hereby certify, in the name and on behalf of the Company, and without assuming any personal liability, that: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___________________ is [a] [the] duly elected and qualified [Assistant] Secretary of the Company and the signature above is [his][her] genuine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signature.</w:t>
      </w:r>
    </w:p>
    <w:p>
      <w:pPr>
        <w:spacing w:after="0" w:line="207" w:lineRule="exact"/>
        <w:rPr>
          <w:sz w:val="20"/>
          <w:szCs w:val="20"/>
          <w:color w:val="auto"/>
        </w:rPr>
      </w:pPr>
    </w:p>
    <w:p>
      <w:pPr>
        <w:jc w:val="both"/>
        <w:ind w:left="4"/>
        <w:spacing w:after="0" w:line="269" w:lineRule="auto"/>
        <w:rPr>
          <w:sz w:val="20"/>
          <w:szCs w:val="20"/>
          <w:color w:val="auto"/>
        </w:rPr>
      </w:pPr>
      <w:r>
        <w:rPr>
          <w:rFonts w:ascii="Times New Roman" w:cs="Times New Roman" w:eastAsia="Times New Roman" w:hAnsi="Times New Roman"/>
          <w:sz w:val="18"/>
          <w:szCs w:val="18"/>
          <w:color w:val="auto"/>
        </w:rPr>
        <w:t>[The representations and warranties on the part of the Company contained in the Credit Agreement and the other Loan Documents are true and correct in all material respects on and as of the date hereof as though made on and as of the date hereof, except to the extent that any such representation and warranty expressly relates solely to an earlier date, in which case such representation and warranty was true and correct in all material respects on and as of such earlier date.]</w:t>
      </w:r>
      <w:r>
        <w:rPr>
          <w:rFonts w:ascii="Times New Roman" w:cs="Times New Roman" w:eastAsia="Times New Roman" w:hAnsi="Times New Roman"/>
          <w:sz w:val="26"/>
          <w:szCs w:val="26"/>
          <w:color w:val="auto"/>
          <w:vertAlign w:val="superscript"/>
        </w:rPr>
        <w:t>1</w:t>
      </w:r>
    </w:p>
    <w:p>
      <w:pPr>
        <w:spacing w:after="0" w:line="4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[No Default or Event of Default has occurred and is continuing as of the date hereof.] </w:t>
      </w:r>
      <w:r>
        <w:rPr>
          <w:rFonts w:ascii="Times New Roman" w:cs="Times New Roman" w:eastAsia="Times New Roman" w:hAnsi="Times New Roman"/>
          <w:sz w:val="26"/>
          <w:szCs w:val="26"/>
          <w:color w:val="auto"/>
          <w:vertAlign w:val="superscript"/>
        </w:rPr>
        <w:t>2</w:t>
      </w:r>
    </w:p>
    <w:p>
      <w:pPr>
        <w:spacing w:after="0" w:line="151" w:lineRule="exact"/>
        <w:rPr>
          <w:sz w:val="20"/>
          <w:szCs w:val="20"/>
          <w:color w:val="auto"/>
        </w:rPr>
      </w:pPr>
    </w:p>
    <w:p>
      <w:pPr>
        <w:ind w:left="6404"/>
        <w:spacing w:after="0"/>
        <w:rPr>
          <w:sz w:val="20"/>
          <w:szCs w:val="20"/>
          <w:color w:val="auto"/>
        </w:rPr>
      </w:pP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4131945</wp:posOffset>
            </wp:positionH>
            <wp:positionV relativeFrom="paragraph">
              <wp:posOffset>-13970</wp:posOffset>
            </wp:positionV>
            <wp:extent cx="20574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ind w:left="6504"/>
        <w:spacing w:after="0"/>
        <w:rPr>
          <w:sz w:val="20"/>
          <w:szCs w:val="20"/>
          <w:color w:val="auto"/>
        </w:rPr>
      </w:pPr>
      <w:r>
        <w:rPr>
          <w:rFonts w:ascii="Times New Roman" w:cs="Times New Roman" w:eastAsia="Times New Roman" w:hAnsi="Times New Roman"/>
          <w:sz w:val="22"/>
          <w:szCs w:val="22"/>
          <w:color w:val="auto"/>
        </w:rPr>
        <w:t>[[Assistant] Secretary][Responsible Officer</w:t>
      </w:r>
    </w:p>
    <w:p>
      <w:pPr>
        <w:ind w:left="6504"/>
        <w:spacing w:after="0"/>
        <w:rPr>
          <w:sz w:val="20"/>
          <w:szCs w:val="20"/>
          <w:color w:val="auto"/>
        </w:rPr>
      </w:pPr>
      <w:r>
        <w:rPr>
          <w:rFonts w:ascii="Times New Roman" w:cs="Times New Roman" w:eastAsia="Times New Roman" w:hAnsi="Times New Roman"/>
          <w:sz w:val="18"/>
          <w:szCs w:val="18"/>
          <w:color w:val="auto"/>
        </w:rPr>
        <w:t>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715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95" w:lineRule="exact"/>
        <w:rPr>
          <w:sz w:val="20"/>
          <w:szCs w:val="20"/>
          <w:color w:val="auto"/>
        </w:rPr>
      </w:pPr>
    </w:p>
    <w:p>
      <w:pPr>
        <w:ind w:left="424" w:hanging="424"/>
        <w:spacing w:after="0"/>
        <w:tabs>
          <w:tab w:leader="none" w:pos="424" w:val="left"/>
        </w:tabs>
        <w:numPr>
          <w:ilvl w:val="0"/>
          <w:numId w:val="10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included in Certificate relating to General Motors Company only.</w:t>
      </w:r>
    </w:p>
    <w:p>
      <w:pPr>
        <w:ind w:left="424" w:hanging="424"/>
        <w:spacing w:after="0" w:line="180" w:lineRule="auto"/>
        <w:tabs>
          <w:tab w:leader="none" w:pos="424" w:val="left"/>
        </w:tabs>
        <w:numPr>
          <w:ilvl w:val="0"/>
          <w:numId w:val="10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To be included in Certificate relating to General Motors Company only.</w:t>
      </w:r>
    </w:p>
    <w:p>
      <w:pPr>
        <w:sectPr>
          <w:pgSz w:w="11900" w:h="16838" w:orient="portrait"/>
          <w:cols w:equalWidth="0" w:num="1">
            <w:col w:w="11004"/>
          </w:cols>
          <w:pgMar w:left="436" w:top="270" w:right="459" w:bottom="1440" w:gutter="0" w:footer="0" w:header="0"/>
        </w:sectPr>
      </w:pPr>
    </w:p>
    <w:bookmarkStart w:id="147" w:name="page148"/>
    <w:bookmarkEnd w:id="147"/>
    <w:p>
      <w:pPr>
        <w:ind w:left="92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w:t>
      </w:r>
    </w:p>
    <w:p>
      <w:pPr>
        <w:spacing w:after="0" w:line="27"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8"/>
          <w:szCs w:val="18"/>
          <w:color w:val="auto"/>
        </w:rPr>
        <w:t xml:space="preserve">to 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Certificate</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[Copy of the Certificate of [Incorporation][Formation]]</w:t>
      </w:r>
    </w:p>
    <w:p>
      <w:pPr>
        <w:spacing w:after="0" w:line="3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[NAME OF LOAN PARTY]]</w:t>
      </w:r>
    </w:p>
    <w:p>
      <w:pPr>
        <w:sectPr>
          <w:pgSz w:w="11900" w:h="16838" w:orient="portrait"/>
          <w:cols w:equalWidth="0" w:num="1">
            <w:col w:w="10020"/>
          </w:cols>
          <w:pgMar w:left="1440" w:top="270" w:right="439" w:bottom="1440" w:gutter="0" w:footer="0" w:header="0"/>
        </w:sectPr>
      </w:pPr>
    </w:p>
    <w:bookmarkStart w:id="148" w:name="page149"/>
    <w:bookmarkEnd w:id="148"/>
    <w:p>
      <w:pPr>
        <w:ind w:left="92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II</w:t>
      </w:r>
    </w:p>
    <w:p>
      <w:pPr>
        <w:spacing w:after="0" w:line="27"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8"/>
          <w:szCs w:val="18"/>
          <w:color w:val="auto"/>
        </w:rPr>
        <w:t xml:space="preserve">to 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Certificate</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[Copy of the [by-laws] [Limited Liability Company Agreement][Operating Agreement]</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[NAME OF LOAN PARTY]]</w:t>
      </w:r>
    </w:p>
    <w:p>
      <w:pPr>
        <w:sectPr>
          <w:pgSz w:w="11900" w:h="16838" w:orient="portrait"/>
          <w:cols w:equalWidth="0" w:num="1">
            <w:col w:w="10020"/>
          </w:cols>
          <w:pgMar w:left="1440" w:top="270" w:right="439" w:bottom="1440" w:gutter="0" w:footer="0" w:header="0"/>
        </w:sectPr>
      </w:pPr>
    </w:p>
    <w:bookmarkStart w:id="149" w:name="page150"/>
    <w:bookmarkEnd w:id="149"/>
    <w:p>
      <w:pPr>
        <w:ind w:left="91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III</w:t>
      </w:r>
    </w:p>
    <w:p>
      <w:pPr>
        <w:spacing w:after="0" w:line="27"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8"/>
          <w:szCs w:val="18"/>
          <w:color w:val="auto"/>
        </w:rPr>
        <w:t xml:space="preserve">to 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Certificate</w:t>
      </w:r>
    </w:p>
    <w:p>
      <w:pPr>
        <w:spacing w:after="0" w:line="20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Resolutions of the Board of [Directors] [Managers] of [Name of Loan Party]</w:t>
      </w:r>
    </w:p>
    <w:p>
      <w:pPr>
        <w:sectPr>
          <w:pgSz w:w="11900" w:h="16838" w:orient="portrait"/>
          <w:cols w:equalWidth="0" w:num="1">
            <w:col w:w="10020"/>
          </w:cols>
          <w:pgMar w:left="1440" w:top="270" w:right="439" w:bottom="1440" w:gutter="0" w:footer="0" w:header="0"/>
        </w:sectPr>
      </w:pPr>
    </w:p>
    <w:bookmarkStart w:id="150" w:name="page151"/>
    <w:bookmarkEnd w:id="150"/>
    <w:p>
      <w:pPr>
        <w:ind w:left="91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IV</w:t>
      </w:r>
    </w:p>
    <w:p>
      <w:pPr>
        <w:spacing w:after="0" w:line="27"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8"/>
          <w:szCs w:val="18"/>
          <w:color w:val="auto"/>
        </w:rPr>
        <w:t xml:space="preserve">to 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Certificate</w:t>
      </w:r>
    </w:p>
    <w:p>
      <w:pPr>
        <w:spacing w:after="0" w:line="229" w:lineRule="exact"/>
        <w:rPr>
          <w:sz w:val="20"/>
          <w:szCs w:val="20"/>
          <w:color w:val="auto"/>
        </w:rPr>
      </w:pPr>
    </w:p>
    <w:p>
      <w:pPr>
        <w:ind w:left="460"/>
        <w:spacing w:after="0"/>
        <w:tabs>
          <w:tab w:leader="none" w:pos="4540" w:val="left"/>
          <w:tab w:leader="none" w:pos="8020" w:val="left"/>
        </w:tabs>
        <w:rPr>
          <w:sz w:val="20"/>
          <w:szCs w:val="20"/>
          <w:color w:val="auto"/>
        </w:rPr>
      </w:pPr>
      <w:r>
        <w:rPr>
          <w:rFonts w:ascii="Times New Roman" w:cs="Times New Roman" w:eastAsia="Times New Roman" w:hAnsi="Times New Roman"/>
          <w:sz w:val="14"/>
          <w:szCs w:val="14"/>
          <w:u w:val="single" w:color="auto"/>
          <w:color w:val="auto"/>
        </w:rPr>
        <w:t>Name of Officer</w:t>
      </w:r>
      <w:r>
        <w:rPr>
          <w:sz w:val="20"/>
          <w:szCs w:val="20"/>
          <w:color w:val="auto"/>
        </w:rPr>
        <w:tab/>
      </w:r>
      <w:r>
        <w:rPr>
          <w:rFonts w:ascii="Times New Roman" w:cs="Times New Roman" w:eastAsia="Times New Roman" w:hAnsi="Times New Roman"/>
          <w:sz w:val="14"/>
          <w:szCs w:val="14"/>
          <w:u w:val="single" w:color="auto"/>
          <w:color w:val="auto"/>
        </w:rPr>
        <w:t>Office</w:t>
      </w:r>
      <w:r>
        <w:rPr>
          <w:sz w:val="20"/>
          <w:szCs w:val="20"/>
          <w:color w:val="auto"/>
        </w:rPr>
        <w:tab/>
      </w:r>
      <w:r>
        <w:rPr>
          <w:rFonts w:ascii="Times New Roman" w:cs="Times New Roman" w:eastAsia="Times New Roman" w:hAnsi="Times New Roman"/>
          <w:sz w:val="14"/>
          <w:szCs w:val="14"/>
          <w:u w:val="single" w:color="auto"/>
          <w:color w:val="auto"/>
        </w:rPr>
        <w:t>Signature</w:t>
      </w:r>
    </w:p>
    <w:p>
      <w:pPr>
        <w:sectPr>
          <w:pgSz w:w="11900" w:h="16838" w:orient="portrait"/>
          <w:cols w:equalWidth="0" w:num="1">
            <w:col w:w="10020"/>
          </w:cols>
          <w:pgMar w:left="1440" w:top="270" w:right="439" w:bottom="1440" w:gutter="0" w:footer="0" w:header="0"/>
        </w:sectPr>
      </w:pPr>
    </w:p>
    <w:bookmarkStart w:id="151" w:name="page152"/>
    <w:bookmarkEnd w:id="151"/>
    <w:p>
      <w:pPr>
        <w:ind w:left="1006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G</w:t>
      </w:r>
    </w:p>
    <w:p>
      <w:pPr>
        <w:spacing w:after="0" w:line="31" w:lineRule="exact"/>
        <w:rPr>
          <w:sz w:val="20"/>
          <w:szCs w:val="20"/>
          <w:color w:val="auto"/>
        </w:rPr>
      </w:pPr>
    </w:p>
    <w:p>
      <w:pPr>
        <w:ind w:left="10504"/>
        <w:spacing w:after="0"/>
        <w:rPr>
          <w:sz w:val="20"/>
          <w:szCs w:val="20"/>
          <w:color w:val="auto"/>
        </w:rPr>
      </w:pPr>
      <w:r>
        <w:rPr>
          <w:rFonts w:ascii="Times New Roman" w:cs="Times New Roman" w:eastAsia="Times New Roman" w:hAnsi="Times New Roman"/>
          <w:sz w:val="18"/>
          <w:szCs w:val="18"/>
          <w:b w:val="1"/>
          <w:bCs w:val="1"/>
          <w:color w:val="auto"/>
        </w:rPr>
        <w:t xml:space="preserve">to    </w:t>
      </w:r>
    </w:p>
    <w:p>
      <w:pPr>
        <w:spacing w:after="0" w:line="9" w:lineRule="exact"/>
        <w:rPr>
          <w:sz w:val="20"/>
          <w:szCs w:val="20"/>
          <w:color w:val="auto"/>
        </w:rPr>
      </w:pPr>
    </w:p>
    <w:p>
      <w:pPr>
        <w:ind w:left="10244"/>
        <w:spacing w:after="0"/>
        <w:rPr>
          <w:sz w:val="20"/>
          <w:szCs w:val="20"/>
          <w:color w:val="auto"/>
        </w:rPr>
      </w:pPr>
      <w:r>
        <w:rPr>
          <w:rFonts w:ascii="Times New Roman" w:cs="Times New Roman" w:eastAsia="Times New Roman" w:hAnsi="Times New Roman"/>
          <w:sz w:val="18"/>
          <w:szCs w:val="18"/>
          <w:b w:val="1"/>
          <w:bCs w:val="1"/>
          <w:color w:val="auto"/>
        </w:rPr>
        <w:t xml:space="preserve">Credit   </w:t>
      </w:r>
    </w:p>
    <w:p>
      <w:pPr>
        <w:spacing w:after="0" w:line="9" w:lineRule="exact"/>
        <w:rPr>
          <w:sz w:val="20"/>
          <w:szCs w:val="20"/>
          <w:color w:val="auto"/>
        </w:rPr>
      </w:pPr>
    </w:p>
    <w:p>
      <w:pPr>
        <w:ind w:left="10084"/>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00" w:lineRule="exact"/>
        <w:rPr>
          <w:sz w:val="20"/>
          <w:szCs w:val="20"/>
          <w:color w:val="auto"/>
        </w:rPr>
      </w:pPr>
    </w:p>
    <w:p>
      <w:pPr>
        <w:spacing w:after="0" w:line="2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ASSIGNMENT AND ASSUMPTION</w:t>
      </w:r>
    </w:p>
    <w:p>
      <w:pPr>
        <w:spacing w:after="0" w:line="225" w:lineRule="exact"/>
        <w:rPr>
          <w:sz w:val="20"/>
          <w:szCs w:val="20"/>
          <w:color w:val="auto"/>
        </w:rPr>
      </w:pPr>
    </w:p>
    <w:p>
      <w:pPr>
        <w:ind w:left="4" w:right="40" w:firstLine="440"/>
        <w:spacing w:after="0" w:line="257" w:lineRule="auto"/>
        <w:rPr>
          <w:sz w:val="20"/>
          <w:szCs w:val="20"/>
          <w:color w:val="auto"/>
        </w:rPr>
      </w:pPr>
      <w:r>
        <w:rPr>
          <w:rFonts w:ascii="Times New Roman" w:cs="Times New Roman" w:eastAsia="Times New Roman" w:hAnsi="Times New Roman"/>
          <w:sz w:val="18"/>
          <w:szCs w:val="18"/>
          <w:color w:val="auto"/>
        </w:rPr>
        <w:t>This Assignment and Assumption (the “</w:t>
      </w:r>
      <w:r>
        <w:rPr>
          <w:rFonts w:ascii="Times New Roman" w:cs="Times New Roman" w:eastAsia="Times New Roman" w:hAnsi="Times New Roman"/>
          <w:sz w:val="18"/>
          <w:szCs w:val="18"/>
          <w:b w:val="1"/>
          <w:bCs w:val="1"/>
          <w:color w:val="auto"/>
        </w:rPr>
        <w:t>Assignment and Assumption</w:t>
      </w:r>
      <w:r>
        <w:rPr>
          <w:rFonts w:ascii="Times New Roman" w:cs="Times New Roman" w:eastAsia="Times New Roman" w:hAnsi="Times New Roman"/>
          <w:sz w:val="18"/>
          <w:szCs w:val="18"/>
          <w:color w:val="auto"/>
        </w:rPr>
        <w:t>”) is dated as of the Effective Date set forth below and is entered into by and between [</w:t>
      </w:r>
      <w:r>
        <w:rPr>
          <w:rFonts w:ascii="Times New Roman" w:cs="Times New Roman" w:eastAsia="Times New Roman" w:hAnsi="Times New Roman"/>
          <w:sz w:val="18"/>
          <w:szCs w:val="18"/>
          <w:i w:val="1"/>
          <w:iCs w:val="1"/>
          <w:color w:val="auto"/>
        </w:rPr>
        <w:t>Insert name of Assignor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Assignor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Insert name of Assignee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Assignee</w:t>
      </w:r>
      <w:r>
        <w:rPr>
          <w:rFonts w:ascii="Times New Roman" w:cs="Times New Roman" w:eastAsia="Times New Roman" w:hAnsi="Times New Roman"/>
          <w:sz w:val="18"/>
          <w:szCs w:val="18"/>
          <w:color w:val="auto"/>
        </w:rPr>
        <w:t>”). Capitalized terms used but not defined herein shall have the meanings given to them in the Credit Agreement identified below (as amended, supplemented or otherwise modified from time to time,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86"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and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Times New Roman" w:cs="Times New Roman" w:eastAsia="Times New Roman" w:hAnsi="Times New Roman"/>
          <w:sz w:val="18"/>
          <w:szCs w:val="18"/>
          <w:b w:val="1"/>
          <w:bCs w:val="1"/>
          <w:color w:val="auto"/>
        </w:rPr>
        <w:t>Assigned Interest</w:t>
      </w:r>
      <w:r>
        <w:rPr>
          <w:rFonts w:ascii="Times New Roman" w:cs="Times New Roman" w:eastAsia="Times New Roman" w:hAnsi="Times New Roman"/>
          <w:sz w:val="18"/>
          <w:szCs w:val="18"/>
          <w:color w:val="auto"/>
        </w:rPr>
        <w:t>”). Such sale and assignment is without recourse to the Assignor and, except as expressly provided in this Assignment and Assumption, without representation or warranty by the Assignor.</w:t>
      </w:r>
    </w:p>
    <w:p>
      <w:pPr>
        <w:spacing w:after="0" w:line="217" w:lineRule="exact"/>
        <w:rPr>
          <w:sz w:val="20"/>
          <w:szCs w:val="20"/>
          <w:color w:val="auto"/>
        </w:rPr>
      </w:pPr>
    </w:p>
    <w:p>
      <w:pPr>
        <w:ind w:left="684" w:hanging="684"/>
        <w:spacing w:after="0"/>
        <w:tabs>
          <w:tab w:leader="none" w:pos="68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Assignor:</w:t>
      </w:r>
    </w:p>
    <w:p>
      <w:pPr>
        <w:spacing w:after="0" w:line="144" w:lineRule="exact"/>
        <w:rPr>
          <w:rFonts w:ascii="Times New Roman" w:cs="Times New Roman" w:eastAsia="Times New Roman" w:hAnsi="Times New Roman"/>
          <w:sz w:val="18"/>
          <w:szCs w:val="18"/>
          <w:color w:val="auto"/>
        </w:rPr>
      </w:pPr>
    </w:p>
    <w:p>
      <w:pPr>
        <w:ind w:left="684" w:hanging="684"/>
        <w:spacing w:after="0"/>
        <w:tabs>
          <w:tab w:leader="none" w:pos="68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2734310</wp:posOffset>
            </wp:positionH>
            <wp:positionV relativeFrom="paragraph">
              <wp:posOffset>-205105</wp:posOffset>
            </wp:positionV>
            <wp:extent cx="42602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260215" cy="8255"/>
                    </a:xfrm>
                    <a:prstGeom prst="rect">
                      <a:avLst/>
                    </a:prstGeom>
                    <a:noFill/>
                  </pic:spPr>
                </pic:pic>
              </a:graphicData>
            </a:graphic>
          </wp:anchor>
        </w:drawing>
        <w:drawing>
          <wp:anchor simplePos="0" relativeHeight="251657728" behindDoc="1" locked="0" layoutInCell="0" allowOverlap="1">
            <wp:simplePos x="0" y="0"/>
            <wp:positionH relativeFrom="column">
              <wp:posOffset>2734310</wp:posOffset>
            </wp:positionH>
            <wp:positionV relativeFrom="paragraph">
              <wp:posOffset>17145</wp:posOffset>
            </wp:positionV>
            <wp:extent cx="426021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260215" cy="8255"/>
                    </a:xfrm>
                    <a:prstGeom prst="rect">
                      <a:avLst/>
                    </a:prstGeom>
                    <a:noFill/>
                  </pic:spPr>
                </pic:pic>
              </a:graphicData>
            </a:graphic>
          </wp:anchor>
        </w:drawing>
      </w:r>
    </w:p>
    <w:p>
      <w:pPr>
        <w:spacing w:after="0" w:line="14" w:lineRule="exact"/>
        <w:rPr>
          <w:sz w:val="20"/>
          <w:szCs w:val="20"/>
          <w:color w:val="auto"/>
        </w:rPr>
      </w:pPr>
    </w:p>
    <w:p>
      <w:pPr>
        <w:ind w:left="4304"/>
        <w:spacing w:after="0"/>
        <w:rPr>
          <w:sz w:val="20"/>
          <w:szCs w:val="20"/>
          <w:color w:val="auto"/>
        </w:rPr>
      </w:pPr>
      <w:r>
        <w:rPr>
          <w:rFonts w:ascii="Times New Roman" w:cs="Times New Roman" w:eastAsia="Times New Roman" w:hAnsi="Times New Roman"/>
          <w:sz w:val="18"/>
          <w:szCs w:val="18"/>
          <w:color w:val="auto"/>
        </w:rPr>
        <w:t>[and is an Affiliate/Approved Fund of [</w:t>
      </w:r>
      <w:r>
        <w:rPr>
          <w:rFonts w:ascii="Times New Roman" w:cs="Times New Roman" w:eastAsia="Times New Roman" w:hAnsi="Times New Roman"/>
          <w:sz w:val="18"/>
          <w:szCs w:val="18"/>
          <w:i w:val="1"/>
          <w:iCs w:val="1"/>
          <w:color w:val="auto"/>
        </w:rPr>
        <w:t>identify Lender</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7715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 w:lineRule="exact"/>
        <w:rPr>
          <w:sz w:val="20"/>
          <w:szCs w:val="20"/>
          <w:color w:val="auto"/>
        </w:rPr>
      </w:pPr>
    </w:p>
    <w:p>
      <w:pPr>
        <w:ind w:left="424" w:hanging="424"/>
        <w:spacing w:after="0"/>
        <w:tabs>
          <w:tab w:leader="none" w:pos="424" w:val="left"/>
        </w:tabs>
        <w:numPr>
          <w:ilvl w:val="0"/>
          <w:numId w:val="10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Select as applicable.</w:t>
      </w:r>
    </w:p>
    <w:p>
      <w:pPr>
        <w:sectPr>
          <w:pgSz w:w="11900" w:h="16838" w:orient="portrait"/>
          <w:cols w:equalWidth="0" w:num="1">
            <w:col w:w="11024"/>
          </w:cols>
          <w:pgMar w:left="436" w:top="266" w:right="439" w:bottom="1440" w:gutter="0" w:footer="0" w:header="0"/>
        </w:sectPr>
      </w:pPr>
    </w:p>
    <w:bookmarkStart w:id="152" w:name="page153"/>
    <w:bookmarkEnd w:id="152"/>
    <w:tbl>
      <w:tblPr>
        <w:tblLayout w:type="fixed"/>
        <w:tblInd w:w="4" w:type="dxa"/>
        <w:tblCellMar>
          <w:top w:w="0" w:type="dxa"/>
          <w:left w:w="0" w:type="dxa"/>
          <w:bottom w:w="0" w:type="dxa"/>
          <w:right w:w="0" w:type="dxa"/>
        </w:tblCellMar>
      </w:tblPr>
      <w:tr>
        <w:trPr>
          <w:trHeight w:val="207"/>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3.</w:t>
            </w:r>
          </w:p>
        </w:tc>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Borrower(s):</w:t>
            </w:r>
          </w:p>
        </w:tc>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880" w:type="dxa"/>
            <w:vAlign w:val="bottom"/>
            <w:gridSpan w:val="3"/>
          </w:tcPr>
          <w:p>
            <w:pPr>
              <w:spacing w:after="0"/>
              <w:rPr>
                <w:sz w:val="17"/>
                <w:szCs w:val="17"/>
                <w:color w:val="auto"/>
              </w:rPr>
            </w:pPr>
          </w:p>
        </w:tc>
      </w:tr>
      <w:tr>
        <w:trPr>
          <w:trHeight w:val="344"/>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4.</w:t>
            </w:r>
          </w:p>
        </w:tc>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Administrative Agent:</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JPMorgan Chase Bank, N.A., as the administrative agent under the Credit Agreement</w:t>
            </w:r>
          </w:p>
        </w:tc>
      </w:tr>
      <w:tr>
        <w:trPr>
          <w:trHeight w:val="306"/>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5.</w:t>
            </w:r>
          </w:p>
        </w:tc>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Credit Agreement:</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Eighth Amended and Restated 364-Day Revolving Credit Agreement, dated as of</w:t>
            </w:r>
          </w:p>
        </w:tc>
      </w:tr>
      <w:tr>
        <w:trPr>
          <w:trHeight w:val="216"/>
        </w:trPr>
        <w:tc>
          <w:tcPr>
            <w:tcW w:w="4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March 23, 2026 (as amended, restated, amended and restated, renewed, supplemented or</w:t>
            </w:r>
          </w:p>
        </w:tc>
      </w:tr>
      <w:tr>
        <w:trPr>
          <w:trHeight w:val="194"/>
        </w:trPr>
        <w:tc>
          <w:tcPr>
            <w:tcW w:w="4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65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w w:val="99"/>
              </w:rPr>
              <w:t>modified from time to time, the “Credit Agreement”), among General Motors Company, a</w:t>
            </w:r>
          </w:p>
        </w:tc>
      </w:tr>
      <w:tr>
        <w:trPr>
          <w:trHeight w:val="20"/>
        </w:trPr>
        <w:tc>
          <w:tcPr>
            <w:tcW w:w="4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304"/>
        <w:spacing w:after="0" w:line="255" w:lineRule="auto"/>
        <w:rPr>
          <w:sz w:val="20"/>
          <w:szCs w:val="20"/>
          <w:color w:val="auto"/>
        </w:rPr>
      </w:pPr>
      <w:r>
        <w:rPr>
          <w:rFonts w:ascii="Times New Roman" w:cs="Times New Roman" w:eastAsia="Times New Roman" w:hAnsi="Times New Roman"/>
          <w:sz w:val="18"/>
          <w:szCs w:val="18"/>
          <w:color w:val="auto"/>
        </w:rPr>
        <w:t>Delaware corporation (together with its successors and permitted assigns,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General Motors Financial Company, Inc., a Texas corporation, the Subsidiary Borrowers from time to time party thereto, the lenders from time to time party thereto, JPMorgan Chase Bank, N.A. for the Lenders, as administrative agent, Citibank, N.A., as syndication agent, Bank of America, N.A., as co-syndication agent, and the other agents party thereto. Unless otherwise defined herein, terms used herein have the meanings assigned to such terms in the Credit Agreement.</w:t>
      </w:r>
    </w:p>
    <w:p>
      <w:pPr>
        <w:spacing w:after="0" w:line="94" w:lineRule="exact"/>
        <w:rPr>
          <w:sz w:val="20"/>
          <w:szCs w:val="20"/>
          <w:color w:val="auto"/>
        </w:rPr>
      </w:pPr>
    </w:p>
    <w:p>
      <w:pPr>
        <w:ind w:left="544" w:hanging="544"/>
        <w:spacing w:after="0"/>
        <w:tabs>
          <w:tab w:leader="none" w:pos="54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Assigned Interest:</w:t>
      </w:r>
    </w:p>
    <w:p>
      <w:pPr>
        <w:spacing w:after="0" w:line="235"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2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Aggregate Amount of</w:t>
            </w:r>
          </w:p>
        </w:tc>
        <w:tc>
          <w:tcPr>
            <w:tcW w:w="1220" w:type="dxa"/>
            <w:vAlign w:val="bottom"/>
          </w:tcPr>
          <w:p>
            <w:pPr>
              <w:spacing w:after="0"/>
              <w:rPr>
                <w:sz w:val="13"/>
                <w:szCs w:val="13"/>
                <w:color w:val="auto"/>
              </w:rPr>
            </w:pPr>
          </w:p>
        </w:tc>
        <w:tc>
          <w:tcPr>
            <w:tcW w:w="2080" w:type="dxa"/>
            <w:vAlign w:val="bottom"/>
          </w:tcPr>
          <w:p>
            <w:pPr>
              <w:jc w:val="center"/>
              <w:ind w:right="1177"/>
              <w:spacing w:after="0"/>
              <w:rPr>
                <w:sz w:val="20"/>
                <w:szCs w:val="20"/>
                <w:color w:val="auto"/>
              </w:rPr>
            </w:pPr>
            <w:r>
              <w:rPr>
                <w:rFonts w:ascii="Times New Roman" w:cs="Times New Roman" w:eastAsia="Times New Roman" w:hAnsi="Times New Roman"/>
                <w:sz w:val="14"/>
                <w:szCs w:val="14"/>
                <w:color w:val="auto"/>
              </w:rPr>
              <w:t>Amount of</w:t>
            </w:r>
          </w:p>
        </w:tc>
        <w:tc>
          <w:tcPr>
            <w:tcW w:w="2640" w:type="dxa"/>
            <w:vAlign w:val="bottom"/>
            <w:vMerge w:val="restart"/>
          </w:tcPr>
          <w:p>
            <w:pPr>
              <w:jc w:val="center"/>
              <w:ind w:left="797"/>
              <w:spacing w:after="0"/>
              <w:rPr>
                <w:sz w:val="20"/>
                <w:szCs w:val="20"/>
                <w:color w:val="auto"/>
              </w:rPr>
            </w:pPr>
            <w:r>
              <w:rPr>
                <w:rFonts w:ascii="Times New Roman" w:cs="Times New Roman" w:eastAsia="Times New Roman" w:hAnsi="Times New Roman"/>
                <w:sz w:val="14"/>
                <w:szCs w:val="14"/>
                <w:color w:val="auto"/>
              </w:rPr>
              <w:t>Percentage Assigned of</w:t>
            </w:r>
          </w:p>
        </w:tc>
        <w:tc>
          <w:tcPr>
            <w:tcW w:w="0" w:type="dxa"/>
            <w:vAlign w:val="bottom"/>
          </w:tcPr>
          <w:p>
            <w:pPr>
              <w:spacing w:after="0"/>
              <w:rPr>
                <w:sz w:val="1"/>
                <w:szCs w:val="1"/>
                <w:color w:val="auto"/>
              </w:rPr>
            </w:pPr>
          </w:p>
        </w:tc>
      </w:tr>
      <w:tr>
        <w:trPr>
          <w:trHeight w:val="148"/>
        </w:trPr>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Commitment/Loans for</w:t>
            </w:r>
          </w:p>
        </w:tc>
        <w:tc>
          <w:tcPr>
            <w:tcW w:w="3300" w:type="dxa"/>
            <w:vAlign w:val="bottom"/>
            <w:gridSpan w:val="2"/>
          </w:tcPr>
          <w:p>
            <w:pPr>
              <w:ind w:left="1060"/>
              <w:spacing w:after="0" w:line="149" w:lineRule="exact"/>
              <w:rPr>
                <w:sz w:val="20"/>
                <w:szCs w:val="20"/>
                <w:color w:val="auto"/>
              </w:rPr>
            </w:pPr>
            <w:r>
              <w:rPr>
                <w:rFonts w:ascii="Times New Roman" w:cs="Times New Roman" w:eastAsia="Times New Roman" w:hAnsi="Times New Roman"/>
                <w:sz w:val="14"/>
                <w:szCs w:val="14"/>
                <w:color w:val="auto"/>
              </w:rPr>
              <w:t>Commitment/Loans</w:t>
            </w: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all Lenders</w:t>
            </w:r>
          </w:p>
        </w:tc>
        <w:tc>
          <w:tcPr>
            <w:tcW w:w="1220" w:type="dxa"/>
            <w:vAlign w:val="bottom"/>
          </w:tcPr>
          <w:p>
            <w:pPr>
              <w:spacing w:after="0"/>
              <w:rPr>
                <w:sz w:val="14"/>
                <w:szCs w:val="14"/>
                <w:color w:val="auto"/>
              </w:rPr>
            </w:pPr>
          </w:p>
        </w:tc>
        <w:tc>
          <w:tcPr>
            <w:tcW w:w="2080" w:type="dxa"/>
            <w:vAlign w:val="bottom"/>
          </w:tcPr>
          <w:p>
            <w:pPr>
              <w:jc w:val="center"/>
              <w:ind w:right="1177"/>
              <w:spacing w:after="0"/>
              <w:rPr>
                <w:sz w:val="20"/>
                <w:szCs w:val="20"/>
                <w:color w:val="auto"/>
              </w:rPr>
            </w:pPr>
            <w:r>
              <w:rPr>
                <w:rFonts w:ascii="Times New Roman" w:cs="Times New Roman" w:eastAsia="Times New Roman" w:hAnsi="Times New Roman"/>
                <w:sz w:val="14"/>
                <w:szCs w:val="14"/>
                <w:color w:val="auto"/>
              </w:rPr>
              <w:t>Assigned</w:t>
            </w:r>
          </w:p>
        </w:tc>
        <w:tc>
          <w:tcPr>
            <w:tcW w:w="2640" w:type="dxa"/>
            <w:vAlign w:val="bottom"/>
          </w:tcPr>
          <w:p>
            <w:pPr>
              <w:jc w:val="center"/>
              <w:ind w:left="797"/>
              <w:spacing w:after="0"/>
              <w:rPr>
                <w:sz w:val="20"/>
                <w:szCs w:val="20"/>
                <w:color w:val="auto"/>
              </w:rPr>
            </w:pPr>
            <w:r>
              <w:rPr>
                <w:rFonts w:ascii="Times New Roman" w:cs="Times New Roman" w:eastAsia="Times New Roman" w:hAnsi="Times New Roman"/>
                <w:sz w:val="14"/>
                <w:szCs w:val="14"/>
                <w:color w:val="auto"/>
              </w:rPr>
              <w:t>Commitment/Loans</w:t>
            </w: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2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xml:space="preserve">       </w:t>
            </w:r>
          </w:p>
        </w:tc>
        <w:tc>
          <w:tcPr>
            <w:tcW w:w="264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2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xml:space="preserve">       </w:t>
            </w:r>
          </w:p>
        </w:tc>
        <w:tc>
          <w:tcPr>
            <w:tcW w:w="26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2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xml:space="preserve">       </w:t>
            </w:r>
          </w:p>
        </w:tc>
        <w:tc>
          <w:tcPr>
            <w:tcW w:w="264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Effective Date: _____________ ___, 20___ [TO BE INSERTED BY ADMINISTRATIVE AGENT AND WHICH SHALL BE THE EFFECTIVE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OF RECORDATION OF TRANSFER IN THE REGISTER THEREFOR.]</w:t>
      </w:r>
    </w:p>
    <w:p>
      <w:pPr>
        <w:spacing w:after="0" w:line="207" w:lineRule="exact"/>
        <w:rPr>
          <w:sz w:val="20"/>
          <w:szCs w:val="20"/>
          <w:color w:val="auto"/>
        </w:rPr>
      </w:pPr>
    </w:p>
    <w:p>
      <w:pPr>
        <w:ind w:left="4" w:right="260"/>
        <w:spacing w:after="0" w:line="261" w:lineRule="auto"/>
        <w:rPr>
          <w:sz w:val="20"/>
          <w:szCs w:val="20"/>
          <w:color w:val="auto"/>
        </w:rPr>
      </w:pPr>
      <w:r>
        <w:rPr>
          <w:rFonts w:ascii="Times New Roman" w:cs="Times New Roman" w:eastAsia="Times New Roman" w:hAnsi="Times New Roman"/>
          <w:sz w:val="18"/>
          <w:szCs w:val="18"/>
          <w:color w:val="auto"/>
        </w:rPr>
        <w:t>The Assignee agrees to deliver to the Administrative Agent a completed administrative questionnaire in which the Assignee designates one or more contacts to whom all syndicate-level information (which may contain material non-public information about the Company,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56" w:lineRule="exact"/>
        <w:rPr>
          <w:sz w:val="20"/>
          <w:szCs w:val="20"/>
          <w:color w:val="auto"/>
        </w:rPr>
      </w:pPr>
    </w:p>
    <w:p>
      <w:pPr>
        <w:ind w:left="424" w:hanging="424"/>
        <w:spacing w:after="0"/>
        <w:tabs>
          <w:tab w:leader="none" w:pos="424" w:val="left"/>
        </w:tabs>
        <w:numPr>
          <w:ilvl w:val="0"/>
          <w:numId w:val="10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Set forth, to at least 9 decimals, as a percentage of the Commitment/Loans of all Lenders thereunder.</w:t>
      </w:r>
    </w:p>
    <w:p>
      <w:pPr>
        <w:sectPr>
          <w:pgSz w:w="11900" w:h="16838" w:orient="portrait"/>
          <w:cols w:equalWidth="0" w:num="1">
            <w:col w:w="10984"/>
          </w:cols>
          <w:pgMar w:left="436" w:top="257" w:right="479" w:bottom="1440" w:gutter="0" w:footer="0" w:header="0"/>
        </w:sectPr>
      </w:pPr>
    </w:p>
    <w:bookmarkStart w:id="153" w:name="page154"/>
    <w:bookmarkEnd w:id="15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terms set forth in this Assignment and Assumption are hereby agreed to:</w:t>
      </w:r>
    </w:p>
    <w:p>
      <w:pPr>
        <w:spacing w:after="0" w:line="248"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ASSIGNOR</w:t>
      </w:r>
    </w:p>
    <w:p>
      <w:pPr>
        <w:spacing w:after="0" w:line="3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OF ASSIGNOR]</w:t>
      </w:r>
    </w:p>
    <w:p>
      <w:pPr>
        <w:spacing w:after="0" w:line="220"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17145</wp:posOffset>
            </wp:positionV>
            <wp:extent cx="259715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ASSIGNEE</w:t>
      </w:r>
    </w:p>
    <w:p>
      <w:pPr>
        <w:spacing w:after="0" w:line="3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20"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17145</wp:posOffset>
            </wp:positionV>
            <wp:extent cx="259715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Consented to and Accepted: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[JPMORGAN CHASE BANK, N.A., as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17145</wp:posOffset>
            </wp:positionV>
            <wp:extent cx="259715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w:t>
      </w:r>
      <w:r>
        <w:rPr>
          <w:rFonts w:ascii="Times New Roman" w:cs="Times New Roman" w:eastAsia="Times New Roman" w:hAnsi="Times New Roman"/>
          <w:sz w:val="26"/>
          <w:szCs w:val="26"/>
          <w:color w:val="auto"/>
          <w:vertAlign w:val="superscript"/>
        </w:rPr>
        <w:t>5</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Consented to: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17145</wp:posOffset>
            </wp:positionV>
            <wp:extent cx="259715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186055</wp:posOffset>
            </wp:positionV>
            <wp:extent cx="7715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95" w:lineRule="exact"/>
        <w:rPr>
          <w:sz w:val="20"/>
          <w:szCs w:val="20"/>
          <w:color w:val="auto"/>
        </w:rPr>
      </w:pPr>
    </w:p>
    <w:p>
      <w:pPr>
        <w:jc w:val="both"/>
        <w:ind w:left="424" w:hanging="424"/>
        <w:spacing w:after="0" w:line="227" w:lineRule="auto"/>
        <w:tabs>
          <w:tab w:leader="none" w:pos="424" w:val="left"/>
        </w:tabs>
        <w:numPr>
          <w:ilvl w:val="0"/>
          <w:numId w:val="1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Prior written consent of the Company and the Administrative Agent, is required unless, (x) in the case of the Administrative Agent, the Assignee is a Lender or affiliate thereof, and (y) in the case of the Company only, (i) an Event of Default under Section 8(a) or (e) of the Credit Agreement has occurred and is continuing or (ii) the Assignee is a Lender to which any two or more of the following ratings have been issued by the relevant rating agency: (a) in the case of S&amp;P, at least BBB; (b) in the case of Moody’s, at least Baa2; and (c) in the case of Fitch, at least BBB.</w:t>
      </w:r>
    </w:p>
    <w:p>
      <w:pPr>
        <w:sectPr>
          <w:pgSz w:w="11900" w:h="16838" w:orient="portrait"/>
          <w:cols w:equalWidth="0" w:num="1">
            <w:col w:w="10924"/>
          </w:cols>
          <w:pgMar w:left="436" w:top="270" w:right="539" w:bottom="1440" w:gutter="0" w:footer="0" w:header="0"/>
        </w:sectPr>
      </w:pPr>
    </w:p>
    <w:bookmarkStart w:id="154" w:name="page155"/>
    <w:bookmarkEnd w:id="154"/>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STANDARD TERMS AND CONDITIONS FOR</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ASSIGNMENT AND ASSUMPTION</w:t>
      </w:r>
    </w:p>
    <w:p>
      <w:pPr>
        <w:spacing w:after="0" w:line="205" w:lineRule="exact"/>
        <w:rPr>
          <w:sz w:val="20"/>
          <w:szCs w:val="20"/>
          <w:color w:val="auto"/>
        </w:rPr>
      </w:pPr>
    </w:p>
    <w:p>
      <w:pPr>
        <w:ind w:left="624" w:hanging="184"/>
        <w:spacing w:after="0"/>
        <w:tabs>
          <w:tab w:leader="none" w:pos="62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firstLine="440"/>
        <w:spacing w:after="0" w:line="272"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i w:val="1"/>
          <w:iCs w:val="1"/>
          <w:color w:val="auto"/>
        </w:rPr>
        <w:t>Assignor</w:t>
      </w:r>
      <w:r>
        <w:rPr>
          <w:rFonts w:ascii="Times New Roman" w:cs="Times New Roman" w:eastAsia="Times New Roman" w:hAnsi="Times New Roman"/>
          <w:sz w:val="17"/>
          <w:szCs w:val="17"/>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(ii) the execution, legality, validity, enforceability, genuineness, sufficiency or value of the Credit Agreement or any collateral thereunder, (iii) the financial condition of the Company, any of its Subsidiaries or Affiliates or any other Person obligated in respect of the Credit Agreement, (iv) any requirements under applicable law for the Assignee to become a lender under the Credit Agreement or to charge interest at the rate set forth therein from time to time or (v) the performance or observance by the Company, any of its Subsidiaries or Affiliates or any other Person of any of their respective obligations under the Credit Agreement.</w:t>
      </w:r>
    </w:p>
    <w:p>
      <w:pPr>
        <w:spacing w:after="0" w:line="172" w:lineRule="exact"/>
        <w:rPr>
          <w:sz w:val="20"/>
          <w:szCs w:val="20"/>
          <w:color w:val="auto"/>
        </w:rPr>
      </w:pPr>
    </w:p>
    <w:p>
      <w:pPr>
        <w:ind w:left="4" w:right="20" w:firstLine="440"/>
        <w:spacing w:after="0" w:line="277"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i w:val="1"/>
          <w:iCs w:val="1"/>
          <w:color w:val="auto"/>
        </w:rPr>
        <w:t>Assignee</w:t>
      </w:r>
      <w:r>
        <w:rPr>
          <w:rFonts w:ascii="Times New Roman" w:cs="Times New Roman" w:eastAsia="Times New Roman" w:hAnsi="Times New Roman"/>
          <w:sz w:val="17"/>
          <w:szCs w:val="17"/>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w:t>
      </w:r>
    </w:p>
    <w:p>
      <w:pPr>
        <w:spacing w:after="0" w:line="1" w:lineRule="exact"/>
        <w:rPr>
          <w:sz w:val="20"/>
          <w:szCs w:val="20"/>
          <w:color w:val="auto"/>
        </w:rPr>
      </w:pPr>
    </w:p>
    <w:p>
      <w:pPr>
        <w:ind w:left="4" w:hanging="4"/>
        <w:spacing w:after="0" w:line="251" w:lineRule="auto"/>
        <w:tabs>
          <w:tab w:leader="none" w:pos="26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satisfies the requirements, if any, specified in the Credit Agreement and under applicable law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together with copies of the most recent financial statements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thereof (or, if none of such financial statements shall have then been delivered or deemed delivered, then copies of the financial statements referred to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Arranger, the Assignor or any other Lender or any of their respective Related Parties, and (vi) attached to the Assignment and Assumption is any documentation required to be delivered by it pursuant to the terms of the Credit Agreement, duly completed and executed by the Assignee; and (b) agrees that (i) it will, independently and without reliance on the Administrative Agent, any Arranger, Syndication Agent or Co-Syndication Agent, the Assignor or any other Lender or any of their respective Related Parties, and based on such documents and information as it shall deem appropriate at the time, continue to make its own credit decisions in taking or not taking action under the Credit Agreement, and (ii) it will perform in accordance with their terms all of the obligations which by the terms of the Credit Agreement are required to be performed by it as a Lender.</w:t>
      </w:r>
    </w:p>
    <w:p>
      <w:pPr>
        <w:sectPr>
          <w:pgSz w:w="11900" w:h="16838" w:orient="portrait"/>
          <w:cols w:equalWidth="0" w:num="1">
            <w:col w:w="10984"/>
          </w:cols>
          <w:pgMar w:left="436" w:top="266" w:right="479" w:bottom="1440" w:gutter="0" w:footer="0" w:header="0"/>
        </w:sectPr>
      </w:pPr>
    </w:p>
    <w:bookmarkStart w:id="155" w:name="page156"/>
    <w:bookmarkEnd w:id="155"/>
    <w:p>
      <w:pPr>
        <w:jc w:val="both"/>
        <w:ind w:left="-436" w:right="100" w:firstLine="436"/>
        <w:spacing w:after="0" w:line="267" w:lineRule="auto"/>
        <w:tabs>
          <w:tab w:leader="none" w:pos="18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Payments</w:t>
      </w:r>
      <w:r>
        <w:rPr>
          <w:rFonts w:ascii="Times New Roman" w:cs="Times New Roman" w:eastAsia="Times New Roman" w:hAnsi="Times New Roman"/>
          <w:sz w:val="18"/>
          <w:szCs w:val="18"/>
          <w:color w:val="auto"/>
        </w:rPr>
        <w:t>. From and after the Effective Date, the Administrative Agent shall make all payments in respect of the Assigned Interest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of principal, interest, fees and other amounts) to the Assignor for amounts which have accrued to but excluding the Effective Date and to the Assignee for amounts which have accrued from and after the Effective Date.</w:t>
      </w:r>
    </w:p>
    <w:p>
      <w:pPr>
        <w:spacing w:after="0" w:line="173" w:lineRule="exact"/>
        <w:rPr>
          <w:rFonts w:ascii="Times New Roman" w:cs="Times New Roman" w:eastAsia="Times New Roman" w:hAnsi="Times New Roman"/>
          <w:sz w:val="18"/>
          <w:szCs w:val="18"/>
          <w:color w:val="auto"/>
        </w:rPr>
      </w:pPr>
    </w:p>
    <w:p>
      <w:pPr>
        <w:ind w:left="-436" w:firstLine="436"/>
        <w:spacing w:after="0" w:line="257" w:lineRule="auto"/>
        <w:tabs>
          <w:tab w:leader="none" w:pos="18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Provisions</w:t>
      </w:r>
      <w:r>
        <w:rPr>
          <w:rFonts w:ascii="Times New Roman" w:cs="Times New Roman" w:eastAsia="Times New Roman" w:hAnsi="Times New Roman"/>
          <w:sz w:val="18"/>
          <w:szCs w:val="18"/>
          <w:color w:val="auto"/>
        </w:rPr>
        <w:t>. This Assignment and Assumption shall be binding upon, and inure to the benefit of, the parties hereto and their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successors and assigns. This Assignment and Assumption may be executed in any number of counterparts, which together shall constitute one instrument. Acceptance and adoption of the terms of this Assignment and Assumption by the Assignee and the Assignor by Electronic Signature or delivery of an executed counterpart of a signature page of this Assignment and Assumption by any Approved Electronic Platform shall be effective as delivery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10504"/>
          </w:cols>
          <w:pgMar w:left="876" w:top="268" w:right="519" w:bottom="1440" w:gutter="0" w:footer="0" w:header="0"/>
        </w:sectPr>
      </w:pPr>
    </w:p>
    <w:bookmarkStart w:id="156" w:name="page157"/>
    <w:bookmarkEnd w:id="156"/>
    <w:p>
      <w:pPr>
        <w:ind w:left="100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H</w:t>
      </w:r>
    </w:p>
    <w:p>
      <w:pPr>
        <w:spacing w:after="0" w:line="31" w:lineRule="exact"/>
        <w:rPr>
          <w:sz w:val="20"/>
          <w:szCs w:val="20"/>
          <w:color w:val="auto"/>
        </w:rPr>
      </w:pPr>
    </w:p>
    <w:p>
      <w:pPr>
        <w:ind w:left="10500"/>
        <w:spacing w:after="0"/>
        <w:rPr>
          <w:sz w:val="20"/>
          <w:szCs w:val="20"/>
          <w:color w:val="auto"/>
        </w:rPr>
      </w:pPr>
      <w:r>
        <w:rPr>
          <w:rFonts w:ascii="Times New Roman" w:cs="Times New Roman" w:eastAsia="Times New Roman" w:hAnsi="Times New Roman"/>
          <w:sz w:val="18"/>
          <w:szCs w:val="18"/>
          <w:b w:val="1"/>
          <w:bCs w:val="1"/>
          <w:color w:val="auto"/>
        </w:rPr>
        <w:t xml:space="preserve">to 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JOINDER AGREEMENT</w:t>
      </w:r>
    </w:p>
    <w:p>
      <w:pPr>
        <w:spacing w:after="0" w:line="229" w:lineRule="exact"/>
        <w:rPr>
          <w:sz w:val="20"/>
          <w:szCs w:val="20"/>
          <w:color w:val="auto"/>
        </w:rPr>
      </w:pPr>
    </w:p>
    <w:p>
      <w:pPr>
        <w:ind w:right="140" w:firstLine="991"/>
        <w:spacing w:after="0" w:line="255" w:lineRule="auto"/>
        <w:rPr>
          <w:sz w:val="20"/>
          <w:szCs w:val="20"/>
          <w:color w:val="auto"/>
        </w:rPr>
      </w:pPr>
      <w:r>
        <w:rPr>
          <w:rFonts w:ascii="Times New Roman" w:cs="Times New Roman" w:eastAsia="Times New Roman" w:hAnsi="Times New Roman"/>
          <w:sz w:val="18"/>
          <w:szCs w:val="18"/>
          <w:color w:val="auto"/>
        </w:rPr>
        <w:t>JOINDER AGREEMENT, dated as of ___, 20__, made by each signatory hereto (each a “</w:t>
      </w:r>
      <w:r>
        <w:rPr>
          <w:rFonts w:ascii="Times New Roman" w:cs="Times New Roman" w:eastAsia="Times New Roman" w:hAnsi="Times New Roman"/>
          <w:sz w:val="18"/>
          <w:szCs w:val="18"/>
          <w:u w:val="single" w:color="auto"/>
          <w:color w:val="auto"/>
        </w:rPr>
        <w:t>Subsidiary Borrower</w:t>
      </w:r>
      <w:r>
        <w:rPr>
          <w:rFonts w:ascii="Times New Roman" w:cs="Times New Roman" w:eastAsia="Times New Roman" w:hAnsi="Times New Roman"/>
          <w:sz w:val="18"/>
          <w:szCs w:val="18"/>
          <w:color w:val="auto"/>
        </w:rPr>
        <w:t>”), in favor of JPMorgan Chase Bank, N.A., as administrative agent for the Lenders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referred to in the Eighth Amended and Restated 364-Day Revolving Credit Agreement, dated as of March 23, 2026 (as amended, restated, amended and restated, renewed, supplemented or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General Motors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General Motors Financial Company, Inc., a Texas corporation, the Subsidiary Borrowers from time to time party thereto, the Lenders referred to therein, the Administrative Agent, Citibank, N.A., as syndication agent, Bank of America, N.A., as co-syndication agent, and the other agents party thereto. Unless otherwise defined herein, terms used but not defined herein shall have the meanings given to them in the Credit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the parties to this Joinder Agreement wish to add the Subsidiary Borrower to the Credit Agreement in the manner hereinafter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and</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this Joinder Agreement is entered into pursuant to Section 10.1(d)(i) of the Credit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 in consideration of the premises, the parties hereto hereby agree as follows:</w:t>
      </w:r>
    </w:p>
    <w:p>
      <w:pPr>
        <w:spacing w:after="0" w:line="117" w:lineRule="exact"/>
        <w:rPr>
          <w:sz w:val="20"/>
          <w:szCs w:val="20"/>
          <w:color w:val="auto"/>
        </w:rPr>
      </w:pPr>
    </w:p>
    <w:p>
      <w:pPr>
        <w:jc w:val="both"/>
        <w:ind w:right="200" w:firstLine="987"/>
        <w:spacing w:after="0" w:line="261" w:lineRule="auto"/>
        <w:tabs>
          <w:tab w:leader="none" w:pos="117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Borrower, hereby acknowledges that it has received and reviewed a copy of the Credit Agreement, and acknowledges and agrees to (i) join the Credit Agreement as a Subsidiary Borrower, as indicated with its signature below; (ii) be bound by all covenants, agreements and acknowledgments attributable to a Subsidiary Borrower in the Credit Agreement; and (iii) perform all obligations and duties required of it by the Credit Agreement.</w:t>
      </w:r>
    </w:p>
    <w:p>
      <w:pPr>
        <w:spacing w:after="0" w:line="179" w:lineRule="exact"/>
        <w:rPr>
          <w:rFonts w:ascii="Times New Roman" w:cs="Times New Roman" w:eastAsia="Times New Roman" w:hAnsi="Times New Roman"/>
          <w:sz w:val="18"/>
          <w:szCs w:val="18"/>
          <w:color w:val="auto"/>
        </w:rPr>
      </w:pPr>
    </w:p>
    <w:p>
      <w:pPr>
        <w:ind w:right="160" w:firstLine="987"/>
        <w:spacing w:after="0" w:line="282" w:lineRule="auto"/>
        <w:tabs>
          <w:tab w:leader="none" w:pos="117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taxpayer identification number (if any) and jurisdiction of organization of the Subsidiary Borrower is set forth in Annex I to this Joinder Agreement.</w:t>
      </w:r>
    </w:p>
    <w:p>
      <w:pPr>
        <w:spacing w:after="0" w:line="157" w:lineRule="exact"/>
        <w:rPr>
          <w:rFonts w:ascii="Times New Roman" w:cs="Times New Roman" w:eastAsia="Times New Roman" w:hAnsi="Times New Roman"/>
          <w:sz w:val="18"/>
          <w:szCs w:val="18"/>
          <w:color w:val="auto"/>
        </w:rPr>
      </w:pPr>
    </w:p>
    <w:p>
      <w:pPr>
        <w:ind w:right="160" w:firstLine="987"/>
        <w:spacing w:after="0" w:line="286" w:lineRule="auto"/>
        <w:tabs>
          <w:tab w:leader="none" w:pos="1171"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THIS JOINDER AND THE RIGHTS AND OBLIGATIONS OF THE PARTIES HEREUNDER SHALL BE GOVERNED BY, AND CONSTRUED AND INTERPRETED IN ACCORDANCE WITH, THE LAW OF THE STATE OF NEW YORK.</w:t>
      </w:r>
    </w:p>
    <w:p>
      <w:pPr>
        <w:sectPr>
          <w:pgSz w:w="11900" w:h="16838" w:orient="portrait"/>
          <w:cols w:equalWidth="0" w:num="1">
            <w:col w:w="11020"/>
          </w:cols>
          <w:pgMar w:left="440" w:top="266" w:right="439" w:bottom="1440" w:gutter="0" w:footer="0" w:header="0"/>
        </w:sectPr>
      </w:pPr>
    </w:p>
    <w:bookmarkStart w:id="157" w:name="page158"/>
    <w:bookmarkEnd w:id="157"/>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caused this Joinder Agreement to be duly executed and delivered by its proper and duly authorized officer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[EACH SUBSIDIARY BORROWER],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a Subsidiary Borrower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ACKNOWLEDGED AND AGREED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80"/>
          </w:cols>
          <w:pgMar w:left="440" w:top="270" w:right="479" w:bottom="1440" w:gutter="0" w:footer="0" w:header="0"/>
        </w:sectPr>
      </w:pPr>
    </w:p>
    <w:bookmarkStart w:id="158" w:name="page159"/>
    <w:bookmarkEnd w:id="158"/>
    <w:p>
      <w:pPr>
        <w:ind w:left="9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I-1</w:t>
      </w:r>
    </w:p>
    <w:p>
      <w:pPr>
        <w:spacing w:after="0" w:line="31" w:lineRule="exact"/>
        <w:rPr>
          <w:sz w:val="20"/>
          <w:szCs w:val="20"/>
          <w:color w:val="auto"/>
        </w:rPr>
      </w:pPr>
    </w:p>
    <w:p>
      <w:pPr>
        <w:ind w:left="10420"/>
        <w:spacing w:after="0"/>
        <w:rPr>
          <w:sz w:val="20"/>
          <w:szCs w:val="20"/>
          <w:color w:val="auto"/>
        </w:rPr>
      </w:pPr>
      <w:r>
        <w:rPr>
          <w:rFonts w:ascii="Times New Roman" w:cs="Times New Roman" w:eastAsia="Times New Roman" w:hAnsi="Times New Roman"/>
          <w:sz w:val="18"/>
          <w:szCs w:val="18"/>
          <w:b w:val="1"/>
          <w:bCs w:val="1"/>
          <w:color w:val="auto"/>
        </w:rPr>
        <w:t xml:space="preserve">to      </w:t>
      </w:r>
    </w:p>
    <w:p>
      <w:pPr>
        <w:spacing w:after="0" w:line="9" w:lineRule="exact"/>
        <w:rPr>
          <w:sz w:val="20"/>
          <w:szCs w:val="20"/>
          <w:color w:val="auto"/>
        </w:rPr>
      </w:pPr>
    </w:p>
    <w:p>
      <w:pPr>
        <w:ind w:left="962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Non-U.S. Lenders That Are Not Partnerships For U.S. Federal Income Tax Purposes)</w:t>
      </w:r>
    </w:p>
    <w:p>
      <w:pPr>
        <w:spacing w:after="0" w:line="225" w:lineRule="exact"/>
        <w:rPr>
          <w:sz w:val="20"/>
          <w:szCs w:val="20"/>
          <w:color w:val="auto"/>
        </w:rPr>
      </w:pPr>
    </w:p>
    <w:p>
      <w:pPr>
        <w:ind w:right="40" w:firstLine="440"/>
        <w:spacing w:after="0" w:line="274" w:lineRule="auto"/>
        <w:rPr>
          <w:sz w:val="20"/>
          <w:szCs w:val="20"/>
          <w:color w:val="auto"/>
        </w:rPr>
      </w:pPr>
      <w:r>
        <w:rPr>
          <w:rFonts w:ascii="Times New Roman" w:cs="Times New Roman" w:eastAsia="Times New Roman" w:hAnsi="Times New Roman"/>
          <w:sz w:val="17"/>
          <w:szCs w:val="17"/>
          <w:color w:val="auto"/>
        </w:rPr>
        <w:t>Reference is hereby made to the Eighth Amended and Restated 364-Day Revolving Credit Agreement, dated as of March 23, 2026 (as amended, restated, amended and restated, renewed,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3"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Pursuant to the provisions of Section 2.21 of the Credit Agreement, the undersigned hereby certifies that (i) it is the sole record and beneficial owner of the Commitment, the Loan(s) (as well as any Note(s) evidencing such Loan(s))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83"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The undersigned has furnished, or concurrently herewith furnishes, the Administrative Agent and the Company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ectPr>
          <w:pgSz w:w="11900" w:h="16838" w:orient="portrait"/>
          <w:cols w:equalWidth="0" w:num="1">
            <w:col w:w="11020"/>
          </w:cols>
          <w:pgMar w:left="440" w:top="266" w:right="439" w:bottom="1440" w:gutter="0" w:footer="0" w:header="0"/>
        </w:sectPr>
      </w:pPr>
    </w:p>
    <w:bookmarkStart w:id="159" w:name="page160"/>
    <w:bookmarkEnd w:id="159"/>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 20__</w:t>
      </w:r>
    </w:p>
    <w:p>
      <w:pPr>
        <w:sectPr>
          <w:pgSz w:w="11900" w:h="16838" w:orient="portrait"/>
          <w:cols w:equalWidth="0" w:num="1">
            <w:col w:w="10540"/>
          </w:cols>
          <w:pgMar w:left="440" w:top="270" w:right="919" w:bottom="1440" w:gutter="0" w:footer="0" w:header="0"/>
        </w:sectPr>
      </w:pPr>
    </w:p>
    <w:bookmarkStart w:id="160" w:name="page161"/>
    <w:bookmarkEnd w:id="160"/>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I-2</w:t>
      </w:r>
    </w:p>
    <w:p>
      <w:pPr>
        <w:spacing w:after="0" w:line="31"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xml:space="preserve">to 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Non-U.S. Lenders That Are Partnerships For U.S. Federal Income Tax Purposes)</w:t>
      </w:r>
    </w:p>
    <w:p>
      <w:pPr>
        <w:spacing w:after="0" w:line="225" w:lineRule="exact"/>
        <w:rPr>
          <w:sz w:val="20"/>
          <w:szCs w:val="20"/>
          <w:color w:val="auto"/>
        </w:rPr>
      </w:pPr>
    </w:p>
    <w:p>
      <w:pPr>
        <w:ind w:right="40" w:firstLine="440"/>
        <w:spacing w:after="0" w:line="274" w:lineRule="auto"/>
        <w:rPr>
          <w:sz w:val="20"/>
          <w:szCs w:val="20"/>
          <w:color w:val="auto"/>
        </w:rPr>
      </w:pPr>
      <w:r>
        <w:rPr>
          <w:rFonts w:ascii="Times New Roman" w:cs="Times New Roman" w:eastAsia="Times New Roman" w:hAnsi="Times New Roman"/>
          <w:sz w:val="17"/>
          <w:szCs w:val="17"/>
          <w:color w:val="auto"/>
        </w:rPr>
        <w:t>Reference is hereby made to the Eighth Amended and Restated 364-Day Revolving Credit Agreement, dated as of March 23, 2026 (as amended, restated, amended and restated, renewed,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3"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Pursuant to the provisions of Section 2.21 of the Credit Agreement, the undersigned hereby certifies that (i) it is the sole record owner of the Commitment,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the Credit Agreement,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is a controlled foreign corporation related to the Company as described in Section 881(c)(3)(C) of the Code, and (vi) the interest payments in question are not effectively connected with the undersigned’s or its direct or indirect partner/members’ conduct of a U.S. trade or business.</w:t>
      </w:r>
    </w:p>
    <w:p>
      <w:pPr>
        <w:spacing w:after="0" w:line="19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undersigned has furnished, or concurrently herewith furnishes, the Administrative Agent and the Company with IRS Form W-8IMY accompanied by one of the following forms from each of its direct or indirect partners/members that is claiming the portfolio interest exception: (i) an IRS Form W-8BEN or IRS Form W-8BEN-E, as applicable, or (ii) 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ectPr>
          <w:pgSz w:w="11900" w:h="16838" w:orient="portrait"/>
          <w:cols w:equalWidth="0" w:num="1">
            <w:col w:w="11020"/>
          </w:cols>
          <w:pgMar w:left="440" w:top="266" w:right="439" w:bottom="1440" w:gutter="0" w:footer="0" w:header="0"/>
        </w:sectPr>
      </w:pPr>
    </w:p>
    <w:bookmarkStart w:id="161" w:name="page162"/>
    <w:bookmarkEnd w:id="161"/>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 20__</w:t>
      </w:r>
    </w:p>
    <w:p>
      <w:pPr>
        <w:sectPr>
          <w:pgSz w:w="11900" w:h="16838" w:orient="portrait"/>
          <w:cols w:equalWidth="0" w:num="1">
            <w:col w:w="10540"/>
          </w:cols>
          <w:pgMar w:left="440" w:top="270" w:right="919" w:bottom="1440" w:gutter="0" w:footer="0" w:header="0"/>
        </w:sectPr>
      </w:pPr>
    </w:p>
    <w:bookmarkStart w:id="162" w:name="page163"/>
    <w:bookmarkEnd w:id="162"/>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I-3</w:t>
      </w:r>
    </w:p>
    <w:p>
      <w:pPr>
        <w:spacing w:after="0" w:line="31"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xml:space="preserve">to 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Credit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U.S. TAX COMPLIANCE CERTIFICATE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Non-U.S. Participants That Are Not Partnerships For U.S. Federal Income Tax Purposes)</w:t>
      </w:r>
    </w:p>
    <w:p>
      <w:pPr>
        <w:spacing w:after="0" w:line="225" w:lineRule="exact"/>
        <w:rPr>
          <w:sz w:val="20"/>
          <w:szCs w:val="20"/>
          <w:color w:val="auto"/>
        </w:rPr>
      </w:pPr>
    </w:p>
    <w:p>
      <w:pPr>
        <w:ind w:right="40" w:firstLine="440"/>
        <w:spacing w:after="0" w:line="274" w:lineRule="auto"/>
        <w:rPr>
          <w:sz w:val="20"/>
          <w:szCs w:val="20"/>
          <w:color w:val="auto"/>
        </w:rPr>
      </w:pPr>
      <w:r>
        <w:rPr>
          <w:rFonts w:ascii="Times New Roman" w:cs="Times New Roman" w:eastAsia="Times New Roman" w:hAnsi="Times New Roman"/>
          <w:sz w:val="17"/>
          <w:szCs w:val="17"/>
          <w:color w:val="auto"/>
        </w:rPr>
        <w:t>Reference is hereby made to the Eighth Amended and Restated 364-Day Revolving Credit Agreement, dated as of March 23, 2026 (as amended, restated, amended and restated, renewed,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3" w:lineRule="exact"/>
        <w:rPr>
          <w:sz w:val="20"/>
          <w:szCs w:val="20"/>
          <w:color w:val="auto"/>
        </w:rPr>
      </w:pPr>
    </w:p>
    <w:p>
      <w:pPr>
        <w:ind w:right="380" w:firstLine="440"/>
        <w:spacing w:after="0" w:line="258" w:lineRule="auto"/>
        <w:rPr>
          <w:sz w:val="20"/>
          <w:szCs w:val="20"/>
          <w:color w:val="auto"/>
        </w:rPr>
      </w:pPr>
      <w:r>
        <w:rPr>
          <w:rFonts w:ascii="Times New Roman" w:cs="Times New Roman" w:eastAsia="Times New Roman" w:hAnsi="Times New Roman"/>
          <w:sz w:val="18"/>
          <w:szCs w:val="18"/>
          <w:color w:val="auto"/>
        </w:rPr>
        <w:t>Pursuant to the provisions of Section 2.21 of the Credit Agreement, the undersigned hereby certifies that (i) it is the sole record and beneficial owner of the participation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83"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such Lender in writing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ectPr>
          <w:pgSz w:w="11900" w:h="16838" w:orient="portrait"/>
          <w:cols w:equalWidth="0" w:num="1">
            <w:col w:w="11020"/>
          </w:cols>
          <w:pgMar w:left="440" w:top="266" w:right="439" w:bottom="1440" w:gutter="0" w:footer="0" w:header="0"/>
        </w:sectPr>
      </w:pPr>
    </w:p>
    <w:bookmarkStart w:id="163" w:name="page164"/>
    <w:bookmarkEnd w:id="163"/>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 20__</w:t>
      </w:r>
    </w:p>
    <w:p>
      <w:pPr>
        <w:sectPr>
          <w:pgSz w:w="11900" w:h="16838" w:orient="portrait"/>
          <w:cols w:equalWidth="0" w:num="1">
            <w:col w:w="10540"/>
          </w:cols>
          <w:pgMar w:left="440" w:top="270" w:right="919" w:bottom="1440" w:gutter="0" w:footer="0" w:header="0"/>
        </w:sectPr>
      </w:pPr>
    </w:p>
    <w:bookmarkStart w:id="164" w:name="page165"/>
    <w:bookmarkEnd w:id="164"/>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I-4</w:t>
      </w:r>
    </w:p>
    <w:p>
      <w:pPr>
        <w:spacing w:after="0" w:line="31"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xml:space="preserve">to 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[FORM OF]</w:t>
      </w:r>
    </w:p>
    <w:p>
      <w:pPr>
        <w:spacing w:after="0" w:line="20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U.S. TAX COMPLIANCE CERTIFICATE</w:t>
      </w:r>
    </w:p>
    <w:p>
      <w:pPr>
        <w:spacing w:after="0" w:line="21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 Non-U.S. Participants That Are Partnerships For U.S. Federal Income Tax Purposes)</w:t>
      </w:r>
    </w:p>
    <w:p>
      <w:pPr>
        <w:spacing w:after="0" w:line="225" w:lineRule="exact"/>
        <w:rPr>
          <w:sz w:val="20"/>
          <w:szCs w:val="20"/>
          <w:color w:val="auto"/>
        </w:rPr>
      </w:pPr>
    </w:p>
    <w:p>
      <w:pPr>
        <w:ind w:left="4" w:right="40" w:firstLine="440"/>
        <w:spacing w:after="0" w:line="274" w:lineRule="auto"/>
        <w:rPr>
          <w:sz w:val="20"/>
          <w:szCs w:val="20"/>
          <w:color w:val="auto"/>
        </w:rPr>
      </w:pPr>
      <w:r>
        <w:rPr>
          <w:rFonts w:ascii="Times New Roman" w:cs="Times New Roman" w:eastAsia="Times New Roman" w:hAnsi="Times New Roman"/>
          <w:sz w:val="17"/>
          <w:szCs w:val="17"/>
          <w:color w:val="auto"/>
        </w:rPr>
        <w:t>Reference is hereby made to the Eighth Amended and Restated 364-Day Revolving Credit Agreement, dated as of March 23, 2026 (as amended, restated, amended and restated, renewed,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General Motors Financial Company, Inc., a Texas corporation, the Subsidiary Guarantors from time to time party thereto, the Lenders from time to time party thereto, JPMorgan Chase Bank, N.A., as administrative agent (in such capacity,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3"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t>Pursuant to the provisions of Section 2.21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that is a beneficial owner of such participation is a “controlled foreign corporation” related to the Company as described in Section 881(c)(3)(C) of the Code, and (vi) the interest payments in question are not effectively connected with the undersigned’s or its direct or indirect partners/members’ conduct of a U.S. trade or business.</w:t>
      </w:r>
    </w:p>
    <w:p>
      <w:pPr>
        <w:spacing w:after="0" w:line="18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The undersigned has furnished its participating Lender with IRS Form W-8IMY accompanied by one of the following forms from each of its</w:t>
      </w:r>
    </w:p>
    <w:p>
      <w:pPr>
        <w:spacing w:after="0" w:line="27"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7"/>
          <w:szCs w:val="17"/>
          <w:color w:val="auto"/>
        </w:rPr>
        <w:t>direct or indirect partners/members that is claiming the portfolio interest exception: (i) an IRS Form W-8BEN or IRS Form W-8BEN-E, as applicable, or</w:t>
      </w:r>
    </w:p>
    <w:p>
      <w:pPr>
        <w:spacing w:after="0" w:line="21" w:lineRule="exact"/>
        <w:rPr>
          <w:sz w:val="20"/>
          <w:szCs w:val="20"/>
          <w:color w:val="auto"/>
        </w:rPr>
      </w:pPr>
    </w:p>
    <w:p>
      <w:pPr>
        <w:ind w:left="4" w:right="40" w:hanging="4"/>
        <w:spacing w:after="0" w:line="252" w:lineRule="auto"/>
        <w:tabs>
          <w:tab w:leader="none" w:pos="26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such Lender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ectPr>
          <w:pgSz w:w="11900" w:h="16838" w:orient="portrait"/>
          <w:cols w:equalWidth="0" w:num="1">
            <w:col w:w="11024"/>
          </w:cols>
          <w:pgMar w:left="436" w:top="266" w:right="439" w:bottom="1440" w:gutter="0" w:footer="0" w:header="0"/>
        </w:sectPr>
      </w:pPr>
    </w:p>
    <w:bookmarkStart w:id="165" w:name="page166"/>
    <w:bookmarkEnd w:id="165"/>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 20__</w:t>
      </w:r>
    </w:p>
    <w:p>
      <w:pPr>
        <w:sectPr>
          <w:pgSz w:w="11900" w:h="16838" w:orient="portrait"/>
          <w:cols w:equalWidth="0" w:num="1">
            <w:col w:w="10540"/>
          </w:cols>
          <w:pgMar w:left="440" w:top="270" w:right="919" w:bottom="1440" w:gutter="0" w:footer="0" w:header="0"/>
        </w:sectPr>
      </w:pPr>
    </w:p>
    <w:bookmarkStart w:id="166" w:name="page167"/>
    <w:bookmarkEnd w:id="166"/>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J</w:t>
      </w:r>
    </w:p>
    <w:p>
      <w:pPr>
        <w:spacing w:after="0" w:line="31"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xml:space="preserve">to 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OF COMPLIANCE CERTIFICATE</w:t>
      </w:r>
    </w:p>
    <w:p>
      <w:pPr>
        <w:spacing w:after="0" w:line="22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7"/>
          <w:szCs w:val="17"/>
          <w:color w:val="auto"/>
        </w:rPr>
        <w:t>_____________, 20__</w:t>
      </w:r>
    </w:p>
    <w:p>
      <w:pPr>
        <w:spacing w:after="0" w:line="2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JPMorgan Chase Bank, N.A., as Administrative Agent under the Credit Agreements referred to below</w:t>
      </w:r>
    </w:p>
    <w:p>
      <w:pPr>
        <w:spacing w:after="0" w:line="252" w:lineRule="exact"/>
        <w:rPr>
          <w:sz w:val="20"/>
          <w:szCs w:val="20"/>
          <w:color w:val="auto"/>
        </w:rPr>
      </w:pPr>
    </w:p>
    <w:p>
      <w:pPr>
        <w:jc w:val="both"/>
        <w:ind w:left="420" w:hanging="419"/>
        <w:spacing w:after="0" w:line="252" w:lineRule="auto"/>
        <w:tabs>
          <w:tab w:leader="none" w:pos="400" w:val="left"/>
        </w:tabs>
        <w:rPr>
          <w:sz w:val="20"/>
          <w:szCs w:val="20"/>
          <w:color w:val="auto"/>
        </w:rPr>
      </w:pPr>
      <w:r>
        <w:rPr>
          <w:rFonts w:ascii="Times New Roman" w:cs="Times New Roman" w:eastAsia="Times New Roman" w:hAnsi="Times New Roman"/>
          <w:sz w:val="18"/>
          <w:szCs w:val="18"/>
          <w:color w:val="auto"/>
        </w:rPr>
        <w:t>Re:</w:t>
        <w:tab/>
        <w:t>(i) the Sixth Amended and Restated Three Year Revolving Credit Agreement, dated as of March 25, 2025 (as amended, restated, amended and restated, renewed, supplemented or modified from time to time, the “3</w:t>
      </w:r>
      <w:r>
        <w:rPr>
          <w:rFonts w:ascii="Times New Roman" w:cs="Times New Roman" w:eastAsia="Times New Roman" w:hAnsi="Times New Roman"/>
          <w:sz w:val="18"/>
          <w:szCs w:val="18"/>
          <w:u w:val="single" w:color="auto"/>
          <w:color w:val="auto"/>
        </w:rPr>
        <w:t>-Year Credit Agreement</w:t>
      </w:r>
      <w:r>
        <w:rPr>
          <w:rFonts w:ascii="Times New Roman" w:cs="Times New Roman" w:eastAsia="Times New Roman" w:hAnsi="Times New Roman"/>
          <w:sz w:val="18"/>
          <w:szCs w:val="18"/>
          <w:color w:val="auto"/>
        </w:rPr>
        <w:t>”), among General Motors Company (together with its successors and permitted assigns,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General Motors Financial Company, Inc., a Texas corporation (“</w:t>
      </w:r>
      <w:r>
        <w:rPr>
          <w:rFonts w:ascii="Times New Roman" w:cs="Times New Roman" w:eastAsia="Times New Roman" w:hAnsi="Times New Roman"/>
          <w:sz w:val="18"/>
          <w:szCs w:val="18"/>
          <w:u w:val="single" w:color="auto"/>
          <w:color w:val="auto"/>
        </w:rPr>
        <w:t>GMF</w:t>
      </w:r>
      <w:r>
        <w:rPr>
          <w:rFonts w:ascii="Times New Roman" w:cs="Times New Roman" w:eastAsia="Times New Roman" w:hAnsi="Times New Roman"/>
          <w:sz w:val="18"/>
          <w:szCs w:val="18"/>
          <w:color w:val="auto"/>
        </w:rPr>
        <w:t>”), the Subsidiary Borrowers from time to time party thereto, the lenders from time to time party thereto, as lenders (the “</w:t>
      </w:r>
      <w:r>
        <w:rPr>
          <w:rFonts w:ascii="Times New Roman" w:cs="Times New Roman" w:eastAsia="Times New Roman" w:hAnsi="Times New Roman"/>
          <w:sz w:val="18"/>
          <w:szCs w:val="18"/>
          <w:u w:val="single" w:color="auto"/>
          <w:color w:val="auto"/>
        </w:rPr>
        <w:t>3-Year Lenders</w:t>
      </w:r>
      <w:r>
        <w:rPr>
          <w:rFonts w:ascii="Times New Roman" w:cs="Times New Roman" w:eastAsia="Times New Roman" w:hAnsi="Times New Roman"/>
          <w:sz w:val="18"/>
          <w:szCs w:val="18"/>
          <w:color w:val="auto"/>
        </w:rPr>
        <w:t>”), JPMorgan Chase Bank, N.A. (“</w:t>
      </w:r>
      <w:r>
        <w:rPr>
          <w:rFonts w:ascii="Times New Roman" w:cs="Times New Roman" w:eastAsia="Times New Roman" w:hAnsi="Times New Roman"/>
          <w:sz w:val="18"/>
          <w:szCs w:val="18"/>
          <w:u w:val="single" w:color="auto"/>
          <w:color w:val="auto"/>
        </w:rPr>
        <w:t>JPM</w:t>
      </w:r>
      <w:r>
        <w:rPr>
          <w:rFonts w:ascii="Times New Roman" w:cs="Times New Roman" w:eastAsia="Times New Roman" w:hAnsi="Times New Roman"/>
          <w:sz w:val="18"/>
          <w:szCs w:val="18"/>
          <w:color w:val="auto"/>
        </w:rPr>
        <w:t>”), as administrative agent for the 3-Year Lenders (in such capacity, together with any successor thereto in such capacity, the “</w:t>
      </w:r>
      <w:r>
        <w:rPr>
          <w:rFonts w:ascii="Times New Roman" w:cs="Times New Roman" w:eastAsia="Times New Roman" w:hAnsi="Times New Roman"/>
          <w:sz w:val="18"/>
          <w:szCs w:val="18"/>
          <w:u w:val="single" w:color="auto"/>
          <w:color w:val="auto"/>
        </w:rPr>
        <w:t>3-Year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Citibank, N.A., as syndication agent (in such capacity, the “</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Bank of America, N.A., as co-syndication agent (in such capacity, the “</w:t>
      </w:r>
      <w:r>
        <w:rPr>
          <w:rFonts w:ascii="Times New Roman" w:cs="Times New Roman" w:eastAsia="Times New Roman" w:hAnsi="Times New Roman"/>
          <w:sz w:val="18"/>
          <w:szCs w:val="18"/>
          <w:u w:val="single" w:color="auto"/>
          <w:color w:val="auto"/>
        </w:rPr>
        <w:t>Co-Syndication Agent</w:t>
      </w:r>
      <w:r>
        <w:rPr>
          <w:rFonts w:ascii="Times New Roman" w:cs="Times New Roman" w:eastAsia="Times New Roman" w:hAnsi="Times New Roman"/>
          <w:sz w:val="18"/>
          <w:szCs w:val="18"/>
          <w:color w:val="auto"/>
        </w:rPr>
        <w:t>”), and the other agents party thereto, (ii) the Fifth Amended and Restated Five Year Revolving Credit Agreement, dated as of March 25, 2025 (as amended, restated, amended and restated, renewed, supplemented or modified from time to time, the “</w:t>
      </w:r>
      <w:r>
        <w:rPr>
          <w:rFonts w:ascii="Times New Roman" w:cs="Times New Roman" w:eastAsia="Times New Roman" w:hAnsi="Times New Roman"/>
          <w:sz w:val="18"/>
          <w:szCs w:val="18"/>
          <w:u w:val="single" w:color="auto"/>
          <w:color w:val="auto"/>
        </w:rPr>
        <w:t>5-Year Credit Agreement</w:t>
      </w:r>
      <w:r>
        <w:rPr>
          <w:rFonts w:ascii="Times New Roman" w:cs="Times New Roman" w:eastAsia="Times New Roman" w:hAnsi="Times New Roman"/>
          <w:sz w:val="18"/>
          <w:szCs w:val="18"/>
          <w:color w:val="auto"/>
        </w:rPr>
        <w:t>”), among the Company, GMF, the Subsidiary Borrowers from time to time party thereto, the lenders from time to time party thereto, as lenders (the “</w:t>
      </w:r>
      <w:r>
        <w:rPr>
          <w:rFonts w:ascii="Times New Roman" w:cs="Times New Roman" w:eastAsia="Times New Roman" w:hAnsi="Times New Roman"/>
          <w:sz w:val="18"/>
          <w:szCs w:val="18"/>
          <w:u w:val="single" w:color="auto"/>
          <w:color w:val="auto"/>
        </w:rPr>
        <w:t>5-Year Lenders</w:t>
      </w:r>
      <w:r>
        <w:rPr>
          <w:rFonts w:ascii="Times New Roman" w:cs="Times New Roman" w:eastAsia="Times New Roman" w:hAnsi="Times New Roman"/>
          <w:sz w:val="18"/>
          <w:szCs w:val="18"/>
          <w:color w:val="auto"/>
        </w:rPr>
        <w:t>”), JPM, as administrative agent for the 5-Year Lenders (in such capacity, together with any successor thereto in such capacity, the “</w:t>
      </w:r>
      <w:r>
        <w:rPr>
          <w:rFonts w:ascii="Times New Roman" w:cs="Times New Roman" w:eastAsia="Times New Roman" w:hAnsi="Times New Roman"/>
          <w:sz w:val="18"/>
          <w:szCs w:val="18"/>
          <w:u w:val="single" w:color="auto"/>
          <w:color w:val="auto"/>
        </w:rPr>
        <w:t>5-Year Administrative Agent</w:t>
      </w:r>
      <w:r>
        <w:rPr>
          <w:rFonts w:ascii="Times New Roman" w:cs="Times New Roman" w:eastAsia="Times New Roman" w:hAnsi="Times New Roman"/>
          <w:sz w:val="18"/>
          <w:szCs w:val="18"/>
          <w:color w:val="auto"/>
        </w:rPr>
        <w:t>”), the Syndication Agent, the Co-Syndication Agent, and the other agents party thereto, and (iii) the Eighth Amended and Restated 364-Day Revolving Credit Agreement, dated as of March 23, 2026 (as amended, restated, amended and restated, renewed, supplemented or modified from time to time, the “</w:t>
      </w:r>
      <w:r>
        <w:rPr>
          <w:rFonts w:ascii="Times New Roman" w:cs="Times New Roman" w:eastAsia="Times New Roman" w:hAnsi="Times New Roman"/>
          <w:sz w:val="18"/>
          <w:szCs w:val="18"/>
          <w:u w:val="single" w:color="auto"/>
          <w:color w:val="auto"/>
        </w:rPr>
        <w:t>364-Day Credit Agreement</w:t>
      </w:r>
      <w:r>
        <w:rPr>
          <w:rFonts w:ascii="Times New Roman" w:cs="Times New Roman" w:eastAsia="Times New Roman" w:hAnsi="Times New Roman"/>
          <w:sz w:val="18"/>
          <w:szCs w:val="18"/>
          <w:color w:val="auto"/>
        </w:rPr>
        <w:t>” and together with the 3-Year Credit Agreement and the 5-Year Credit Agreement, the “</w:t>
      </w:r>
      <w:r>
        <w:rPr>
          <w:rFonts w:ascii="Times New Roman" w:cs="Times New Roman" w:eastAsia="Times New Roman" w:hAnsi="Times New Roman"/>
          <w:sz w:val="18"/>
          <w:szCs w:val="18"/>
          <w:u w:val="single" w:color="auto"/>
          <w:color w:val="auto"/>
        </w:rPr>
        <w:t>Credit Agreements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Company, GMF, the Subsidiary Borrowers from time to time party thereto, the lenders from time to time party thereto, as lenders (the “</w:t>
      </w:r>
      <w:r>
        <w:rPr>
          <w:rFonts w:ascii="Times New Roman" w:cs="Times New Roman" w:eastAsia="Times New Roman" w:hAnsi="Times New Roman"/>
          <w:sz w:val="18"/>
          <w:szCs w:val="18"/>
          <w:u w:val="single" w:color="auto"/>
          <w:color w:val="auto"/>
        </w:rPr>
        <w:t>364-Day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together with the 3-Year Lenders and the 5-Year Lenders,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JPM as the Administrative Agent for the 364-Day Lenders (in such capacity, together with any successor thereto in such capacity, the “</w:t>
      </w:r>
      <w:r>
        <w:rPr>
          <w:rFonts w:ascii="Times New Roman" w:cs="Times New Roman" w:eastAsia="Times New Roman" w:hAnsi="Times New Roman"/>
          <w:sz w:val="18"/>
          <w:szCs w:val="18"/>
          <w:u w:val="single" w:color="auto"/>
          <w:color w:val="auto"/>
        </w:rPr>
        <w:t>364-Day Administrative Agent</w:t>
      </w:r>
      <w:r>
        <w:rPr>
          <w:rFonts w:ascii="Times New Roman" w:cs="Times New Roman" w:eastAsia="Times New Roman" w:hAnsi="Times New Roman"/>
          <w:sz w:val="18"/>
          <w:szCs w:val="18"/>
          <w:color w:val="auto"/>
        </w:rPr>
        <w:t>” and together with the 3-Year Administrative Agent and the 5-Year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the Syndication Agent, the Co-Syndication Agent, and the other agents party thereto.</w:t>
      </w:r>
    </w:p>
    <w:p>
      <w:pPr>
        <w:spacing w:after="0" w:line="191"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This Compliance Certificate (this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is furnished pursuant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each Credit Agreement. Unless otherwise defined herein, terms used in this Compliance Certificate have the meanings assigned to such terms in each Credit Agreement. I, the undersigned, a</w:t>
      </w:r>
    </w:p>
    <w:p>
      <w:pPr>
        <w:sectPr>
          <w:pgSz w:w="11900" w:h="16838" w:orient="portrait"/>
          <w:cols w:equalWidth="0" w:num="1">
            <w:col w:w="11020"/>
          </w:cols>
          <w:pgMar w:left="440" w:top="266" w:right="439" w:bottom="1440" w:gutter="0" w:footer="0" w:header="0"/>
        </w:sectPr>
      </w:pPr>
    </w:p>
    <w:bookmarkStart w:id="167" w:name="page168"/>
    <w:bookmarkEnd w:id="167"/>
    <w:p>
      <w:pPr>
        <w:ind w:right="3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Responsible Officer of the Company, do hereby certify, in the name and on behalf of the Company, and without assuming any personal liability, as follows:</w:t>
      </w:r>
    </w:p>
    <w:p>
      <w:pPr>
        <w:spacing w:after="0" w:line="162" w:lineRule="exact"/>
        <w:rPr>
          <w:sz w:val="20"/>
          <w:szCs w:val="20"/>
          <w:color w:val="auto"/>
        </w:rPr>
      </w:pPr>
    </w:p>
    <w:p>
      <w:pPr>
        <w:ind w:left="620" w:hanging="184"/>
        <w:spacing w:after="0"/>
        <w:tabs>
          <w:tab w:leader="none" w:pos="6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[the] [a] duly elected [insert title of Responsible Officer] of the Company;</w:t>
      </w:r>
    </w:p>
    <w:p>
      <w:pPr>
        <w:spacing w:after="0" w:line="225" w:lineRule="exact"/>
        <w:rPr>
          <w:rFonts w:ascii="Times New Roman" w:cs="Times New Roman" w:eastAsia="Times New Roman" w:hAnsi="Times New Roman"/>
          <w:sz w:val="18"/>
          <w:szCs w:val="18"/>
          <w:color w:val="auto"/>
        </w:rPr>
      </w:pPr>
    </w:p>
    <w:p>
      <w:pPr>
        <w:ind w:right="460" w:firstLine="436"/>
        <w:spacing w:after="0" w:line="282" w:lineRule="auto"/>
        <w:tabs>
          <w:tab w:leader="none" w:pos="6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best of my knowledge, no Default or Event of Default has occurred and is continuing as of the date hereof [, except as set forth in </w:t>
      </w:r>
      <w:r>
        <w:rPr>
          <w:rFonts w:ascii="Times New Roman" w:cs="Times New Roman" w:eastAsia="Times New Roman" w:hAnsi="Times New Roman"/>
          <w:sz w:val="18"/>
          <w:szCs w:val="18"/>
          <w:u w:val="single" w:color="auto"/>
          <w:color w:val="auto"/>
        </w:rPr>
        <w:t>Annex 1</w:t>
      </w:r>
      <w:r>
        <w:rPr>
          <w:rFonts w:ascii="Times New Roman" w:cs="Times New Roman" w:eastAsia="Times New Roman" w:hAnsi="Times New Roman"/>
          <w:sz w:val="18"/>
          <w:szCs w:val="18"/>
          <w:color w:val="auto"/>
        </w:rPr>
        <w:t xml:space="preserve"> hereto];</w:t>
      </w:r>
    </w:p>
    <w:p>
      <w:pPr>
        <w:spacing w:after="0" w:line="161" w:lineRule="exact"/>
        <w:rPr>
          <w:rFonts w:ascii="Times New Roman" w:cs="Times New Roman" w:eastAsia="Times New Roman" w:hAnsi="Times New Roman"/>
          <w:sz w:val="18"/>
          <w:szCs w:val="18"/>
          <w:color w:val="auto"/>
        </w:rPr>
      </w:pPr>
    </w:p>
    <w:p>
      <w:pPr>
        <w:ind w:right="80" w:firstLine="436"/>
        <w:spacing w:after="0" w:line="282" w:lineRule="auto"/>
        <w:tabs>
          <w:tab w:leader="none" w:pos="6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is the calculation of Consolidated Domestic Liquidity as of the last day of the most recent fiscal period covered by the financial statements of the Company delivered or deemed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each Credit Agreement; and</w:t>
      </w:r>
    </w:p>
    <w:p>
      <w:pPr>
        <w:spacing w:after="0" w:line="161" w:lineRule="exact"/>
        <w:rPr>
          <w:rFonts w:ascii="Times New Roman" w:cs="Times New Roman" w:eastAsia="Times New Roman" w:hAnsi="Times New Roman"/>
          <w:sz w:val="18"/>
          <w:szCs w:val="18"/>
          <w:color w:val="auto"/>
        </w:rPr>
      </w:pPr>
    </w:p>
    <w:p>
      <w:pPr>
        <w:ind w:firstLine="436"/>
        <w:spacing w:after="0" w:line="282" w:lineRule="auto"/>
        <w:tabs>
          <w:tab w:leader="none" w:pos="6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is the calculation of Consolidated Global Liquidity as of the last day of the most recent fiscal period covered by the financial statements of the Company delivered or deemed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each Credit Agreement.</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0900"/>
          </w:cols>
          <w:pgMar w:left="440" w:top="270" w:right="559" w:bottom="1440" w:gutter="0" w:footer="0" w:header="0"/>
        </w:sectPr>
      </w:pPr>
    </w:p>
    <w:bookmarkStart w:id="168" w:name="page169"/>
    <w:bookmarkEnd w:id="168"/>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foregoing certifications, together with the calculations set forth in </w:t>
      </w:r>
      <w:r>
        <w:rPr>
          <w:rFonts w:ascii="Times New Roman" w:cs="Times New Roman" w:eastAsia="Times New Roman" w:hAnsi="Times New Roman"/>
          <w:sz w:val="18"/>
          <w:szCs w:val="18"/>
          <w:u w:val="single" w:color="auto"/>
          <w:color w:val="auto"/>
        </w:rPr>
        <w:t>Schedules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hereto, are made and delivered in my capacity described in </w:t>
      </w:r>
      <w:r>
        <w:rPr>
          <w:rFonts w:ascii="Times New Roman" w:cs="Times New Roman" w:eastAsia="Times New Roman" w:hAnsi="Times New Roman"/>
          <w:sz w:val="18"/>
          <w:szCs w:val="18"/>
          <w:u w:val="single" w:color="auto"/>
          <w:color w:val="auto"/>
        </w:rPr>
        <w:t>paragraph 1</w:t>
      </w:r>
      <w:r>
        <w:rPr>
          <w:rFonts w:ascii="Times New Roman" w:cs="Times New Roman" w:eastAsia="Times New Roman" w:hAnsi="Times New Roman"/>
          <w:sz w:val="18"/>
          <w:szCs w:val="18"/>
          <w:color w:val="auto"/>
        </w:rPr>
        <w:t xml:space="preserve"> above for and on behalf of the Company.</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169" w:name="page170"/>
    <w:bookmarkEnd w:id="169"/>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w:t>
      </w:r>
    </w:p>
    <w:p>
      <w:pPr>
        <w:spacing w:after="0" w:line="31"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xml:space="preserve">to 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Compliance Certificate</w:t>
      </w:r>
    </w:p>
    <w:p>
      <w:pPr>
        <w:spacing w:after="0" w:line="207" w:lineRule="exact"/>
        <w:rPr>
          <w:sz w:val="20"/>
          <w:szCs w:val="20"/>
          <w:color w:val="auto"/>
        </w:rPr>
      </w:pPr>
    </w:p>
    <w:p>
      <w:pPr>
        <w:ind w:left="2364"/>
        <w:spacing w:after="0"/>
        <w:rPr>
          <w:sz w:val="20"/>
          <w:szCs w:val="20"/>
          <w:color w:val="auto"/>
        </w:rPr>
      </w:pPr>
      <w:r>
        <w:rPr>
          <w:rFonts w:ascii="Times New Roman" w:cs="Times New Roman" w:eastAsia="Times New Roman" w:hAnsi="Times New Roman"/>
          <w:sz w:val="18"/>
          <w:szCs w:val="18"/>
          <w:u w:val="single" w:color="auto"/>
          <w:color w:val="auto"/>
        </w:rPr>
        <w:t>Consolidated Domestic Liquidity as of _____________, 20__(the “Calculation Date”)</w:t>
      </w:r>
      <w:r>
        <w:rPr>
          <w:rFonts w:ascii="Times New Roman" w:cs="Times New Roman" w:eastAsia="Times New Roman" w:hAnsi="Times New Roman"/>
          <w:sz w:val="26"/>
          <w:szCs w:val="26"/>
          <w:u w:val="single" w:color="auto"/>
          <w:color w:val="auto"/>
          <w:vertAlign w:val="superscript"/>
        </w:rPr>
        <w:t>1</w:t>
      </w:r>
    </w:p>
    <w:p>
      <w:pPr>
        <w:spacing w:after="0" w:line="133" w:lineRule="exact"/>
        <w:rPr>
          <w:sz w:val="20"/>
          <w:szCs w:val="20"/>
          <w:color w:val="auto"/>
        </w:rPr>
      </w:pPr>
    </w:p>
    <w:p>
      <w:pPr>
        <w:ind w:left="4" w:right="7000" w:hanging="4"/>
        <w:spacing w:after="0" w:line="282" w:lineRule="auto"/>
        <w:tabs>
          <w:tab w:leader="none" w:pos="29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under the 3-Year Credit Agreement as of the Calculation Date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225" w:lineRule="exact"/>
        <w:rPr>
          <w:sz w:val="20"/>
          <w:szCs w:val="20"/>
          <w:color w:val="auto"/>
        </w:rPr>
      </w:pPr>
    </w:p>
    <w:p>
      <w:pPr>
        <w:ind w:left="4" w:right="7000" w:hanging="4"/>
        <w:spacing w:after="0" w:line="282" w:lineRule="auto"/>
        <w:tabs>
          <w:tab w:leader="none" w:pos="28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under the 5-Year Credit Agreement as of the Calculation Date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225" w:lineRule="exact"/>
        <w:rPr>
          <w:sz w:val="20"/>
          <w:szCs w:val="20"/>
          <w:color w:val="auto"/>
        </w:rPr>
      </w:pPr>
    </w:p>
    <w:p>
      <w:pPr>
        <w:ind w:left="4" w:right="7160" w:hanging="4"/>
        <w:spacing w:after="0" w:line="312" w:lineRule="auto"/>
        <w:tabs>
          <w:tab w:leader="none" w:pos="289"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Available Commitments under the 364-Day Credit Agreement as of the Calculation Date</w:t>
      </w:r>
    </w:p>
    <w:p>
      <w:pPr>
        <w:spacing w:after="0" w:line="14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225" w:lineRule="exact"/>
        <w:rPr>
          <w:sz w:val="20"/>
          <w:szCs w:val="20"/>
          <w:color w:val="auto"/>
        </w:rPr>
      </w:pPr>
    </w:p>
    <w:p>
      <w:pPr>
        <w:ind w:left="4" w:right="6760" w:hanging="4"/>
        <w:spacing w:after="0" w:line="269" w:lineRule="auto"/>
        <w:tabs>
          <w:tab w:leader="none" w:pos="29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(after giving effect to any applicable borrowing base limitations) under other effective committed credit facilities of the Company or any Domestic Subsidiary</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as of the Calculation Date</w:t>
      </w:r>
    </w:p>
    <w:p>
      <w:pPr>
        <w:spacing w:after="0" w:line="4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225" w:lineRule="exact"/>
        <w:rPr>
          <w:sz w:val="20"/>
          <w:szCs w:val="20"/>
          <w:color w:val="auto"/>
        </w:rPr>
      </w:pPr>
    </w:p>
    <w:p>
      <w:pPr>
        <w:ind w:left="4" w:right="6660" w:hanging="4"/>
        <w:spacing w:after="0" w:line="267" w:lineRule="auto"/>
        <w:tabs>
          <w:tab w:leader="none" w:pos="279"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w:t>
      </w:r>
    </w:p>
    <w:p>
      <w:pPr>
        <w:spacing w:after="0" w:line="5"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7715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24" w:right="20" w:hanging="424"/>
        <w:spacing w:after="0" w:line="208" w:lineRule="auto"/>
        <w:tabs>
          <w:tab w:leader="none" w:pos="424" w:val="left"/>
        </w:tabs>
        <w:numPr>
          <w:ilvl w:val="0"/>
          <w:numId w:val="12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The last day of the most recent fiscal period covered by the financial statements of the Company delivered or deemed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each Credit Agreement.</w:t>
      </w:r>
    </w:p>
    <w:p>
      <w:pPr>
        <w:ind w:left="424" w:hanging="424"/>
        <w:spacing w:after="0" w:line="181" w:lineRule="auto"/>
        <w:tabs>
          <w:tab w:leader="none" w:pos="424" w:val="left"/>
        </w:tabs>
        <w:numPr>
          <w:ilvl w:val="0"/>
          <w:numId w:val="12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Excluding any warehouse facilities of GMF.</w:t>
      </w:r>
    </w:p>
    <w:p>
      <w:pPr>
        <w:sectPr>
          <w:pgSz w:w="11900" w:h="16838" w:orient="portrait"/>
          <w:cols w:equalWidth="0" w:num="1">
            <w:col w:w="11024"/>
          </w:cols>
          <w:pgMar w:left="436" w:top="266" w:right="4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Sum of (A) plus (B) plus (C) plus (D) plus (E):</w:t>
      </w:r>
      <w:r>
        <w:rPr>
          <w:rFonts w:ascii="Times New Roman" w:cs="Times New Roman" w:eastAsia="Times New Roman" w:hAnsi="Times New Roman"/>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3120390</wp:posOffset>
            </wp:positionH>
            <wp:positionV relativeFrom="paragraph">
              <wp:posOffset>-7620</wp:posOffset>
            </wp:positionV>
            <wp:extent cx="125666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5666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Consolidated Domestic Liquidity:</w:t>
      </w:r>
    </w:p>
    <w:p>
      <w:pPr>
        <w:sectPr>
          <w:pgSz w:w="11900" w:h="16838" w:orient="portrait"/>
          <w:cols w:equalWidth="0" w:num="1">
            <w:col w:w="10019"/>
          </w:cols>
          <w:pgMar w:left="440" w:top="270" w:right="1440" w:bottom="1440" w:gutter="0" w:footer="0" w:header="0"/>
        </w:sectPr>
      </w:pPr>
    </w:p>
    <w:bookmarkStart w:id="171" w:name="page172"/>
    <w:bookmarkEnd w:id="171"/>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pacing w:after="0" w:line="31"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xml:space="preserve">to 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Compliance Certificate</w:t>
      </w:r>
    </w:p>
    <w:p>
      <w:pPr>
        <w:spacing w:after="0" w:line="207" w:lineRule="exact"/>
        <w:rPr>
          <w:sz w:val="20"/>
          <w:szCs w:val="20"/>
          <w:color w:val="auto"/>
        </w:rPr>
      </w:pPr>
    </w:p>
    <w:p>
      <w:pPr>
        <w:ind w:left="2464"/>
        <w:spacing w:after="0"/>
        <w:rPr>
          <w:sz w:val="20"/>
          <w:szCs w:val="20"/>
          <w:color w:val="auto"/>
        </w:rPr>
      </w:pPr>
      <w:r>
        <w:rPr>
          <w:rFonts w:ascii="Times New Roman" w:cs="Times New Roman" w:eastAsia="Times New Roman" w:hAnsi="Times New Roman"/>
          <w:sz w:val="18"/>
          <w:szCs w:val="18"/>
          <w:u w:val="single" w:color="auto"/>
          <w:color w:val="auto"/>
        </w:rPr>
        <w:t>Consolidated Global Liquidity as of _____________, 20__(the “Calculation Date”)</w:t>
      </w:r>
      <w:r>
        <w:rPr>
          <w:rFonts w:ascii="Times New Roman" w:cs="Times New Roman" w:eastAsia="Times New Roman" w:hAnsi="Times New Roman"/>
          <w:sz w:val="26"/>
          <w:szCs w:val="26"/>
          <w:u w:val="single" w:color="auto"/>
          <w:color w:val="auto"/>
          <w:vertAlign w:val="superscript"/>
        </w:rPr>
        <w:t>1</w:t>
      </w:r>
    </w:p>
    <w:p>
      <w:pPr>
        <w:spacing w:after="0" w:line="133" w:lineRule="exact"/>
        <w:rPr>
          <w:sz w:val="20"/>
          <w:szCs w:val="20"/>
          <w:color w:val="auto"/>
        </w:rPr>
      </w:pPr>
    </w:p>
    <w:p>
      <w:pPr>
        <w:ind w:left="4" w:right="7000"/>
        <w:spacing w:after="0" w:line="282" w:lineRule="auto"/>
        <w:tabs>
          <w:tab w:leader="none" w:pos="29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under the 3-Year Credit Agreement as of the Calculation Date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225" w:lineRule="exact"/>
        <w:rPr>
          <w:sz w:val="20"/>
          <w:szCs w:val="20"/>
          <w:color w:val="auto"/>
        </w:rPr>
      </w:pPr>
    </w:p>
    <w:p>
      <w:pPr>
        <w:ind w:left="4" w:right="7000" w:hanging="4"/>
        <w:spacing w:after="0" w:line="282" w:lineRule="auto"/>
        <w:tabs>
          <w:tab w:leader="none" w:pos="28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under the 5-Year Credit Agreement as of the Calculation Date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225" w:lineRule="exact"/>
        <w:rPr>
          <w:sz w:val="20"/>
          <w:szCs w:val="20"/>
          <w:color w:val="auto"/>
        </w:rPr>
      </w:pPr>
    </w:p>
    <w:p>
      <w:pPr>
        <w:ind w:left="4" w:right="7160" w:hanging="4"/>
        <w:spacing w:after="0" w:line="312" w:lineRule="auto"/>
        <w:tabs>
          <w:tab w:leader="none" w:pos="289"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Available Commitments under the 364-Day Credit Agreement as of the Calculation Date</w:t>
      </w:r>
    </w:p>
    <w:p>
      <w:pPr>
        <w:spacing w:after="0" w:line="14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225" w:lineRule="exact"/>
        <w:rPr>
          <w:sz w:val="20"/>
          <w:szCs w:val="20"/>
          <w:color w:val="auto"/>
        </w:rPr>
      </w:pPr>
    </w:p>
    <w:p>
      <w:pPr>
        <w:ind w:left="4" w:right="6760"/>
        <w:spacing w:after="0" w:line="269" w:lineRule="auto"/>
        <w:tabs>
          <w:tab w:leader="none" w:pos="29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(after giving effect to any applicable borrowing base limitations) under other effective committed credit facilities of the Company or any of its Subsidiaries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as of the Calculation Date</w:t>
      </w:r>
    </w:p>
    <w:p>
      <w:pPr>
        <w:spacing w:after="0" w:line="4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225" w:lineRule="exact"/>
        <w:rPr>
          <w:sz w:val="20"/>
          <w:szCs w:val="20"/>
          <w:color w:val="auto"/>
        </w:rPr>
      </w:pPr>
    </w:p>
    <w:p>
      <w:pPr>
        <w:ind w:left="4" w:right="6640"/>
        <w:spacing w:after="0" w:line="253" w:lineRule="auto"/>
        <w:tabs>
          <w:tab w:leader="none" w:pos="27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w:t>
      </w:r>
    </w:p>
    <w:p>
      <w:pPr>
        <w:spacing w:after="0" w:line="5"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w:t>
      </w:r>
    </w:p>
    <w:p>
      <w:pPr>
        <w:spacing w:after="0" w:line="207" w:lineRule="exact"/>
        <w:rPr>
          <w:sz w:val="20"/>
          <w:szCs w:val="20"/>
          <w:color w:val="auto"/>
        </w:rPr>
      </w:pPr>
    </w:p>
    <w:p>
      <w:pPr>
        <w:ind w:left="4"/>
        <w:spacing w:after="0"/>
        <w:tabs>
          <w:tab w:leader="none" w:pos="4484" w:val="left"/>
        </w:tabs>
        <w:rPr>
          <w:sz w:val="20"/>
          <w:szCs w:val="20"/>
          <w:color w:val="auto"/>
        </w:rPr>
      </w:pPr>
      <w:r>
        <w:rPr>
          <w:rFonts w:ascii="Times New Roman" w:cs="Times New Roman" w:eastAsia="Times New Roman" w:hAnsi="Times New Roman"/>
          <w:sz w:val="18"/>
          <w:szCs w:val="18"/>
          <w:u w:val="single" w:color="auto"/>
          <w:color w:val="auto"/>
        </w:rPr>
        <w:t>Sum of (A) plus (B) plus (C) plus (D) plus (E):</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$______________________</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Consolidated Global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424" w:right="20" w:hanging="424"/>
        <w:spacing w:after="0" w:line="208" w:lineRule="auto"/>
        <w:tabs>
          <w:tab w:leader="none" w:pos="424" w:val="left"/>
        </w:tabs>
        <w:numPr>
          <w:ilvl w:val="0"/>
          <w:numId w:val="12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The last day of the most recent fiscal period covered by the financial statements of the Company delivered or deemed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each Credit Agreement.</w:t>
      </w:r>
    </w:p>
    <w:p>
      <w:pPr>
        <w:ind w:left="424" w:hanging="424"/>
        <w:spacing w:after="0" w:line="181" w:lineRule="auto"/>
        <w:tabs>
          <w:tab w:leader="none" w:pos="424" w:val="left"/>
        </w:tabs>
        <w:numPr>
          <w:ilvl w:val="0"/>
          <w:numId w:val="13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Excluding any warehouse facilities of GMF.</w:t>
      </w:r>
    </w:p>
    <w:p>
      <w:pPr>
        <w:sectPr>
          <w:pgSz w:w="11900" w:h="16838" w:orient="portrait"/>
          <w:cols w:equalWidth="0" w:num="1">
            <w:col w:w="11024"/>
          </w:cols>
          <w:pgMar w:left="436" w:top="266" w:right="439" w:bottom="1440" w:gutter="0" w:footer="0" w:header="0"/>
        </w:sectPr>
      </w:pPr>
    </w:p>
    <w:bookmarkStart w:id="172" w:name="page173"/>
    <w:bookmarkEnd w:id="172"/>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1</w:t>
      </w:r>
    </w:p>
    <w:p>
      <w:pPr>
        <w:spacing w:after="0" w:line="31"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xml:space="preserve">to 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Compliance Certificate</w:t>
      </w:r>
    </w:p>
    <w:p>
      <w:pPr>
        <w:spacing w:after="0" w:line="20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[Defaults/Events of Default that have occurred and are continuing]</w:t>
      </w:r>
    </w:p>
    <w:p>
      <w:pPr>
        <w:sectPr>
          <w:pgSz w:w="11900" w:h="16838" w:orient="portrait"/>
          <w:cols w:equalWidth="0" w:num="1">
            <w:col w:w="10020"/>
          </w:cols>
          <w:pgMar w:left="1440" w:top="266" w:right="439" w:bottom="1440" w:gutter="0" w:footer="0" w:header="0"/>
        </w:sectPr>
      </w:pPr>
    </w:p>
    <w:bookmarkStart w:id="173" w:name="page174"/>
    <w:bookmarkEnd w:id="173"/>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K</w:t>
      </w:r>
    </w:p>
    <w:p>
      <w:pPr>
        <w:spacing w:after="0" w:line="31"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xml:space="preserve">to 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OF NOTE</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NOTE AND THE OBLIGATIONS REPRESENTED HEREBY MAY NOT BE TRANSFERRED EXCEPT IN COMPLIANCE WITH THE TERMS AND PROVISIONS OF THE CREDIT AGREEMENT REFERRED TO BELOW. TRANSFERS OF THIS NOTE AND THE OBLIGATIONS REPRESENTED HEREBY MUST BE RECORDED IN THE REGISTER MAINTAINED BY THE ADMINISTRATIVE AGENT PURSUANT TO THE TERMS OF SUCH CREDIT AGREEMENT.</w:t>
      </w:r>
    </w:p>
    <w:p>
      <w:pPr>
        <w:sectPr>
          <w:pgSz w:w="11900" w:h="16838" w:orient="portrait"/>
          <w:cols w:equalWidth="0" w:num="1">
            <w:col w:w="11020"/>
          </w:cols>
          <w:pgMar w:left="440" w:top="266" w:right="4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 20__</w:t>
      </w:r>
    </w:p>
    <w:p>
      <w:pPr>
        <w:spacing w:after="0" w:line="200" w:lineRule="exact"/>
        <w:rPr>
          <w:sz w:val="20"/>
          <w:szCs w:val="20"/>
          <w:color w:val="auto"/>
        </w:rPr>
      </w:pPr>
    </w:p>
    <w:p>
      <w:pPr>
        <w:sectPr>
          <w:pgSz w:w="11900" w:h="16838" w:orient="portrait"/>
          <w:cols w:equalWidth="0" w:num="2">
            <w:col w:w="8580" w:space="720"/>
            <w:col w:w="1720"/>
          </w:cols>
          <w:pgMar w:left="440" w:top="266" w:right="439" w:bottom="1440" w:gutter="0" w:footer="0" w:header="0"/>
          <w:type w:val="continuous"/>
        </w:sectPr>
      </w:pPr>
    </w:p>
    <w:p>
      <w:pPr>
        <w:spacing w:after="0" w:line="7"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FOR VALUE RECEIVED, the undersigned, [NAME OF BORROWER], [JURISDICTION OF INCORPORATION/FORMATION], [TYPE OF ORGANIZATION] (together with its successors and permitted assigns, the “</w:t>
      </w:r>
      <w:r>
        <w:rPr>
          <w:rFonts w:ascii="Times New Roman" w:cs="Times New Roman" w:eastAsia="Times New Roman" w:hAnsi="Times New Roman"/>
          <w:sz w:val="18"/>
          <w:szCs w:val="18"/>
          <w:u w:val="single" w:color="auto"/>
          <w:color w:val="auto"/>
        </w:rPr>
        <w:t>Applicable Borrower</w:t>
      </w:r>
      <w:r>
        <w:rPr>
          <w:rFonts w:ascii="Times New Roman" w:cs="Times New Roman" w:eastAsia="Times New Roman" w:hAnsi="Times New Roman"/>
          <w:sz w:val="18"/>
          <w:szCs w:val="18"/>
          <w:color w:val="auto"/>
        </w:rPr>
        <w:t>”), hereby unconditionally promises to pay to</w:t>
      </w:r>
    </w:p>
    <w:p>
      <w:pPr>
        <w:spacing w:after="0"/>
        <w:rPr>
          <w:sz w:val="20"/>
          <w:szCs w:val="20"/>
          <w:color w:val="auto"/>
        </w:rPr>
      </w:pPr>
      <w:r>
        <w:rPr>
          <w:rFonts w:ascii="Times New Roman" w:cs="Times New Roman" w:eastAsia="Times New Roman" w:hAnsi="Times New Roman"/>
          <w:sz w:val="17"/>
          <w:szCs w:val="17"/>
          <w:color w:val="auto"/>
        </w:rPr>
        <w:t>______________ (the “</w:t>
      </w:r>
      <w:r>
        <w:rPr>
          <w:rFonts w:ascii="Times New Roman" w:cs="Times New Roman" w:eastAsia="Times New Roman" w:hAnsi="Times New Roman"/>
          <w:sz w:val="17"/>
          <w:szCs w:val="17"/>
          <w:u w:val="single" w:color="auto"/>
          <w:color w:val="auto"/>
        </w:rPr>
        <w:t>Lender</w:t>
      </w:r>
      <w:r>
        <w:rPr>
          <w:rFonts w:ascii="Times New Roman" w:cs="Times New Roman" w:eastAsia="Times New Roman" w:hAnsi="Times New Roman"/>
          <w:sz w:val="17"/>
          <w:szCs w:val="17"/>
          <w:color w:val="auto"/>
        </w:rPr>
        <w:t>”) or its registered assigns, on the Lender’s Termination Date specified in the Credit Agreement (as hereinafter defined) 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Funding Office specified in such Credit Agreement, in the currency of such Loans and in immediately available funds, the principal amount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 (__________), or, if less, (b) the unpaid principal amount of the Loans of the Lender outstanding under the Credit Agreement.</w:t>
      </w:r>
    </w:p>
    <w:p>
      <w:pPr>
        <w:spacing w:after="0" w:line="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 xml:space="preserve">The Applicable Borrower further agrees to pay interest in like money at such Funding Office on the unpaid principal amount hereof from time to time outstanding at the rates and on the dates specified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of the Credit Agreement.</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holder of this Note is authorized to endorse on the schedules annexed hereto and made a part hereof or on a continuation thereof which shall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attached hereto and made a part hereof the date, Type and amount of each Loan evidenced hereby, and the date and amount of each payment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prepayment of principal with respect thereto, each conversion of all or a portion thereof to another Type, each continuation of all or a portion thereof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same Type and, in the case of Term Benchmark Loans, the length of each Interest Period with respect thereto. Subject to the provisions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10.6(b)</w:t>
      </w:r>
      <w:r>
        <w:rPr>
          <w:rFonts w:ascii="Times New Roman" w:cs="Times New Roman" w:eastAsia="Times New Roman" w:hAnsi="Times New Roman"/>
          <w:sz w:val="18"/>
          <w:szCs w:val="18"/>
          <w:color w:val="auto"/>
        </w:rPr>
        <w:t xml:space="preserve"> of the Credit Agreement, each such endorsement shall constitute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accuracy of the information endorsed.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failure to make any such endorsement or any error in any such endorsement shall not affect the obligations of the Applicable Borrower in respect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w:t>
      </w:r>
    </w:p>
    <w:p>
      <w:pPr>
        <w:spacing w:after="0" w:line="207" w:lineRule="exact"/>
        <w:rPr>
          <w:sz w:val="20"/>
          <w:szCs w:val="20"/>
          <w:color w:val="auto"/>
        </w:rPr>
      </w:pPr>
    </w:p>
    <w:p>
      <w:pPr>
        <w:jc w:val="both"/>
        <w:ind w:right="140" w:firstLine="440"/>
        <w:spacing w:after="0" w:line="261" w:lineRule="auto"/>
        <w:rPr>
          <w:sz w:val="20"/>
          <w:szCs w:val="20"/>
          <w:color w:val="auto"/>
        </w:rPr>
      </w:pPr>
      <w:r>
        <w:rPr>
          <w:rFonts w:ascii="Times New Roman" w:cs="Times New Roman" w:eastAsia="Times New Roman" w:hAnsi="Times New Roman"/>
          <w:sz w:val="18"/>
          <w:szCs w:val="18"/>
          <w:color w:val="auto"/>
        </w:rPr>
        <w:t>This Note (a) is one of the Notes referred to in the Eighth Amended and Restated 364-Day Revolving Credit Agreement, dated as of March 23, 2026 (as amended, restated, amended and restated, renewed,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General Motors Company, a Delaware corporation, General Motors Financial Company, Inc., a Texas corporation, the Subsidiary Borrowers from time to time party thereto, the Lender, the other lenders from time to time party thereto, JPMorgan Chase Bank, N.A.,</w:t>
      </w:r>
    </w:p>
    <w:p>
      <w:pPr>
        <w:sectPr>
          <w:pgSz w:w="11900" w:h="16838" w:orient="portrait"/>
          <w:cols w:equalWidth="0" w:num="1">
            <w:col w:w="11020"/>
          </w:cols>
          <w:pgMar w:left="440" w:top="266" w:right="439" w:bottom="1440" w:gutter="0" w:footer="0" w:header="0"/>
          <w:type w:val="continuous"/>
        </w:sectPr>
      </w:pPr>
    </w:p>
    <w:bookmarkStart w:id="174" w:name="page175"/>
    <w:bookmarkEnd w:id="174"/>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Administrative Agent, Citibank, N.A., as syndication agent, Bank of America, N.A., as co-syndication agent, and the other agents party thereto, (b) is subject to the provisions of the Credit Agreement and (c) is subject to optional and mandatory prepayment in whole or in part as provided in the Credit Agreement. This Note is guaranteed as provided in the Loan Documents subject to the release and termination provisions contained therein.</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All parties now and hereafter liable with respect to this Note, whether as maker, principal, surety, guarantor, endorser or otherwise, hereby waive presentment, demand, protest and all other notices of any kind.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Unless otherwise defined herein, terms used herein have the meanings assigned to such terms in the Credit Agreement.</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OR IN THE CREDIT AGREEMENT, THIS NOTE MAY NOT BE TRANSFERRED EXCEPT PURSUANT TO AND IN ACCORDANCE WITH THE REGISTRATION AND OTHER PROVISIONS OF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OF THE CREDIT AGREEMENT.</w:t>
      </w:r>
    </w:p>
    <w:p>
      <w:pPr>
        <w:spacing w:after="0" w:line="176"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THIS NOTE SHALL BE GOVERNED BY, AND CONSTRUED AND INTERPRETED IN ACCORDANCE WITH, THE LAW OF THE STATE OF NEW YORK.</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OF APPLICABLE BORROWER].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5715</wp:posOffset>
            </wp:positionV>
            <wp:extent cx="24599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5715</wp:posOffset>
            </wp:positionV>
            <wp:extent cx="24599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0960"/>
          </w:cols>
          <w:pgMar w:left="440" w:top="270" w:right="499" w:bottom="1440" w:gutter="0" w:footer="0" w:header="0"/>
        </w:sectPr>
      </w:pPr>
    </w:p>
    <w:bookmarkStart w:id="175" w:name="page176"/>
    <w:bookmarkEnd w:id="175"/>
    <w:p>
      <w:pPr>
        <w:ind w:left="98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31"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8"/>
          <w:szCs w:val="18"/>
          <w:b w:val="1"/>
          <w:bCs w:val="1"/>
          <w:color w:val="auto"/>
        </w:rPr>
        <w:t xml:space="preserve">to       </w:t>
      </w:r>
    </w:p>
    <w:p>
      <w:pPr>
        <w:spacing w:after="0" w:line="9"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8"/>
          <w:szCs w:val="18"/>
          <w:b w:val="1"/>
          <w:bCs w:val="1"/>
          <w:color w:val="auto"/>
        </w:rPr>
        <w:t xml:space="preserve">Note       </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LOANS, CONVERSIONS AND REPAYMENTS OF ABR LOANS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10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Amount of ABR</w:t>
            </w:r>
          </w:p>
        </w:tc>
        <w:tc>
          <w:tcPr>
            <w:tcW w:w="120" w:type="dxa"/>
            <w:vAlign w:val="bottom"/>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Unpaid Principal</w:t>
            </w: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120" w:type="dxa"/>
            <w:vAlign w:val="bottom"/>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Converted to</w:t>
            </w:r>
          </w:p>
        </w:tc>
        <w:tc>
          <w:tcPr>
            <w:tcW w:w="1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Principal</w:t>
            </w:r>
          </w:p>
        </w:tc>
        <w:tc>
          <w:tcPr>
            <w:tcW w:w="1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Loans Converted to</w:t>
            </w:r>
          </w:p>
        </w:tc>
        <w:tc>
          <w:tcPr>
            <w:tcW w:w="1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Date</w:t>
            </w:r>
          </w:p>
        </w:tc>
        <w:tc>
          <w:tcPr>
            <w:tcW w:w="1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ABR Loans</w:t>
            </w:r>
          </w:p>
        </w:tc>
        <w:tc>
          <w:tcPr>
            <w:tcW w:w="1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Term Benchmark</w:t>
            </w: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Balance</w:t>
            </w:r>
          </w:p>
        </w:tc>
        <w:tc>
          <w:tcPr>
            <w:tcW w:w="100" w:type="dxa"/>
            <w:vAlign w:val="bottom"/>
          </w:tcPr>
          <w:p>
            <w:pPr>
              <w:spacing w:after="0"/>
              <w:rPr>
                <w:sz w:val="12"/>
                <w:szCs w:val="12"/>
                <w:color w:val="auto"/>
              </w:rPr>
            </w:pPr>
          </w:p>
        </w:tc>
        <w:tc>
          <w:tcPr>
            <w:tcW w:w="144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Made By</w:t>
            </w:r>
          </w:p>
        </w:tc>
        <w:tc>
          <w:tcPr>
            <w:tcW w:w="0" w:type="dxa"/>
            <w:vAlign w:val="bottom"/>
          </w:tcPr>
          <w:p>
            <w:pPr>
              <w:spacing w:after="0"/>
              <w:rPr>
                <w:sz w:val="1"/>
                <w:szCs w:val="1"/>
                <w:color w:val="auto"/>
              </w:rPr>
            </w:pPr>
          </w:p>
        </w:tc>
      </w:tr>
      <w:tr>
        <w:trPr>
          <w:trHeight w:val="185"/>
        </w:trPr>
        <w:tc>
          <w:tcPr>
            <w:tcW w:w="13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ABR Loans</w:t>
            </w:r>
          </w:p>
        </w:tc>
        <w:tc>
          <w:tcPr>
            <w:tcW w:w="12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ABR Loans</w:t>
            </w: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Repaid</w:t>
            </w: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 ABR Loans</w:t>
            </w:r>
          </w:p>
        </w:tc>
        <w:tc>
          <w:tcPr>
            <w:tcW w:w="10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3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76" w:name="page177"/>
    <w:bookmarkEnd w:id="176"/>
    <w:p>
      <w:pPr>
        <w:ind w:left="98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w:t>
      </w:r>
    </w:p>
    <w:p>
      <w:pPr>
        <w:spacing w:after="0" w:line="31"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8"/>
          <w:szCs w:val="18"/>
          <w:b w:val="1"/>
          <w:bCs w:val="1"/>
          <w:color w:val="auto"/>
        </w:rPr>
        <w:t xml:space="preserve">to       </w:t>
      </w:r>
    </w:p>
    <w:p>
      <w:pPr>
        <w:spacing w:after="0" w:line="9"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8"/>
          <w:szCs w:val="18"/>
          <w:b w:val="1"/>
          <w:bCs w:val="1"/>
          <w:color w:val="auto"/>
        </w:rPr>
        <w:t xml:space="preserve">Note       </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LOANS, CONVERSIONS AND REPAYMENTS OF TERM BENCHMARK LOANS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Unpaid</w:t>
            </w: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Converted</w:t>
            </w: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 Term</w:t>
            </w: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Principal</w:t>
            </w: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1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Principal</w:t>
            </w: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Balance</w:t>
            </w: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Interest</w:t>
            </w: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to</w:t>
            </w: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Term</w:t>
            </w: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Benchmark</w:t>
            </w: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Term</w:t>
            </w: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Date</w:t>
            </w: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Term</w:t>
            </w: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Term Benchmark</w:t>
            </w: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Benchmark Loans</w:t>
            </w: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Loans Converted to</w:t>
            </w: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Benchmark</w:t>
            </w:r>
          </w:p>
        </w:tc>
        <w:tc>
          <w:tcPr>
            <w:tcW w:w="120" w:type="dxa"/>
            <w:vAlign w:val="bottom"/>
          </w:tcPr>
          <w:p>
            <w:pPr>
              <w:spacing w:after="0"/>
              <w:rPr>
                <w:sz w:val="12"/>
                <w:szCs w:val="12"/>
                <w:color w:val="auto"/>
              </w:rPr>
            </w:pPr>
          </w:p>
        </w:tc>
        <w:tc>
          <w:tcPr>
            <w:tcW w:w="12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Made By</w:t>
            </w:r>
          </w:p>
        </w:tc>
        <w:tc>
          <w:tcPr>
            <w:tcW w:w="0" w:type="dxa"/>
            <w:vAlign w:val="bottom"/>
          </w:tcPr>
          <w:p>
            <w:pPr>
              <w:spacing w:after="0"/>
              <w:rPr>
                <w:sz w:val="1"/>
                <w:szCs w:val="1"/>
                <w:color w:val="auto"/>
              </w:rPr>
            </w:pPr>
          </w:p>
        </w:tc>
      </w:tr>
      <w:tr>
        <w:trPr>
          <w:trHeight w:val="185"/>
        </w:trPr>
        <w:tc>
          <w:tcPr>
            <w:tcW w:w="12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Benchmark Loans</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Repaid</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ABR Loans</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Loans</w:t>
            </w:r>
          </w:p>
        </w:tc>
        <w:tc>
          <w:tcPr>
            <w:tcW w:w="12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77" w:name="page178"/>
    <w:bookmarkEnd w:id="177"/>
    <w:p>
      <w:pPr>
        <w:ind w:left="98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C</w:t>
      </w:r>
    </w:p>
    <w:p>
      <w:pPr>
        <w:spacing w:after="0" w:line="31"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8"/>
          <w:szCs w:val="18"/>
          <w:b w:val="1"/>
          <w:bCs w:val="1"/>
          <w:color w:val="auto"/>
        </w:rPr>
        <w:t xml:space="preserve">to       </w:t>
      </w:r>
    </w:p>
    <w:p>
      <w:pPr>
        <w:spacing w:after="0" w:line="9"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8"/>
          <w:szCs w:val="18"/>
          <w:b w:val="1"/>
          <w:bCs w:val="1"/>
          <w:color w:val="auto"/>
        </w:rPr>
        <w:t xml:space="preserve">Note       </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LOANS, CONVERSIONS AND REPAYMENTS OF DAILY SIMPLE SOFR LOANS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10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 Daily</w:t>
            </w:r>
          </w:p>
        </w:tc>
        <w:tc>
          <w:tcPr>
            <w:tcW w:w="10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Unpaid Principal</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Principal</w:t>
            </w: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Converted to</w:t>
            </w: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Daily Simple</w:t>
            </w: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Simple SOFR</w:t>
            </w: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Balance</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Date</w:t>
            </w:r>
          </w:p>
        </w:tc>
        <w:tc>
          <w:tcPr>
            <w:tcW w:w="220" w:type="dxa"/>
            <w:vAlign w:val="bottom"/>
          </w:tcPr>
          <w:p>
            <w:pPr>
              <w:spacing w:after="0"/>
              <w:rPr>
                <w:sz w:val="12"/>
                <w:szCs w:val="12"/>
                <w:color w:val="auto"/>
              </w:rPr>
            </w:pPr>
          </w:p>
        </w:tc>
        <w:tc>
          <w:tcPr>
            <w:tcW w:w="11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Facility</w:t>
            </w:r>
          </w:p>
        </w:tc>
        <w:tc>
          <w:tcPr>
            <w:tcW w:w="100" w:type="dxa"/>
            <w:vAlign w:val="bottom"/>
          </w:tcPr>
          <w:p>
            <w:pPr>
              <w:spacing w:after="0"/>
              <w:rPr>
                <w:sz w:val="12"/>
                <w:szCs w:val="12"/>
                <w:color w:val="auto"/>
              </w:rPr>
            </w:pPr>
          </w:p>
        </w:tc>
        <w:tc>
          <w:tcPr>
            <w:tcW w:w="120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rPr>
              <w:t>Currency</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Daily Simple</w:t>
            </w: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Daily Simple</w:t>
            </w: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SOFR Loans</w:t>
            </w: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Loans Converted to</w:t>
            </w: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Daily Simple</w:t>
            </w:r>
          </w:p>
        </w:tc>
        <w:tc>
          <w:tcPr>
            <w:tcW w:w="100" w:type="dxa"/>
            <w:vAlign w:val="bottom"/>
          </w:tcPr>
          <w:p>
            <w:pPr>
              <w:spacing w:after="0"/>
              <w:rPr>
                <w:sz w:val="12"/>
                <w:szCs w:val="12"/>
                <w:color w:val="auto"/>
              </w:rPr>
            </w:pP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Made By</w:t>
            </w:r>
          </w:p>
        </w:tc>
        <w:tc>
          <w:tcPr>
            <w:tcW w:w="0" w:type="dxa"/>
            <w:vAlign w:val="bottom"/>
          </w:tcPr>
          <w:p>
            <w:pPr>
              <w:spacing w:after="0"/>
              <w:rPr>
                <w:sz w:val="1"/>
                <w:szCs w:val="1"/>
                <w:color w:val="auto"/>
              </w:rPr>
            </w:pPr>
          </w:p>
        </w:tc>
      </w:tr>
      <w:tr>
        <w:trPr>
          <w:trHeight w:val="185"/>
        </w:trPr>
        <w:tc>
          <w:tcPr>
            <w:tcW w:w="6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SOFR Loans</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SOFR Loans</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Repaid</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ABR Loans</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SOFR Loans</w:t>
            </w:r>
          </w:p>
        </w:tc>
        <w:tc>
          <w:tcPr>
            <w:tcW w:w="10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A70BF7"/>
    <w:multiLevelType w:val="hybridMultilevel"/>
    <w:lvl w:ilvl="0">
      <w:lvlJc w:val="left"/>
      <w:lvlText w:val="☐"/>
      <w:numFmt w:val="bullet"/>
      <w:start w:val="1"/>
    </w:lvl>
  </w:abstractNum>
  <w:abstractNum w:abstractNumId="1">
    <w:nsid w:val="1DBABF00"/>
    <w:multiLevelType w:val="hybridMultilevel"/>
    <w:lvl w:ilvl="0">
      <w:lvlJc w:val="left"/>
      <w:lvlText w:val="(%1)"/>
      <w:numFmt w:val="decimal"/>
      <w:start w:val="1"/>
    </w:lvl>
  </w:abstractNum>
  <w:abstractNum w:abstractNumId="2">
    <w:nsid w:val="4AD084E9"/>
    <w:multiLevelType w:val="hybridMultilevel"/>
    <w:lvl w:ilvl="0">
      <w:lvlJc w:val="left"/>
      <w:lvlText w:val="(%1)"/>
      <w:numFmt w:val="decimal"/>
      <w:start w:val="1"/>
    </w:lvl>
  </w:abstractNum>
  <w:abstractNum w:abstractNumId="3">
    <w:nsid w:val="1F48EAA1"/>
    <w:multiLevelType w:val="hybridMultilevel"/>
    <w:lvl w:ilvl="0">
      <w:lvlJc w:val="left"/>
      <w:lvlText w:val="(%1)"/>
      <w:numFmt w:val="lowerRoman"/>
      <w:start w:val="1"/>
    </w:lvl>
  </w:abstractNum>
  <w:abstractNum w:abstractNumId="4">
    <w:nsid w:val="1381823A"/>
    <w:multiLevelType w:val="hybridMultilevel"/>
    <w:lvl w:ilvl="0">
      <w:lvlJc w:val="left"/>
      <w:lvlText w:val="(%1)"/>
      <w:numFmt w:val="lowerLetter"/>
      <w:start w:val="2"/>
    </w:lvl>
  </w:abstractNum>
  <w:abstractNum w:abstractNumId="5">
    <w:nsid w:val="5DB70AE5"/>
    <w:multiLevelType w:val="hybridMultilevel"/>
    <w:lvl w:ilvl="0">
      <w:lvlJc w:val="left"/>
      <w:lvlText w:val="(%1)"/>
      <w:numFmt w:val="lowerRoman"/>
      <w:start w:val="6"/>
    </w:lvl>
  </w:abstractNum>
  <w:abstractNum w:abstractNumId="6">
    <w:nsid w:val="100F8FCA"/>
    <w:multiLevelType w:val="hybridMultilevel"/>
    <w:lvl w:ilvl="0">
      <w:lvlJc w:val="left"/>
      <w:lvlText w:val="(%1)"/>
      <w:numFmt w:val="lowerLetter"/>
      <w:start w:val="9"/>
    </w:lvl>
  </w:abstractNum>
  <w:abstractNum w:abstractNumId="7">
    <w:nsid w:val="6590700B"/>
    <w:multiLevelType w:val="hybridMultilevel"/>
    <w:lvl w:ilvl="0">
      <w:lvlJc w:val="left"/>
      <w:lvlText w:val="(%1)"/>
      <w:numFmt w:val="lowerLetter"/>
      <w:start w:val="4"/>
    </w:lvl>
  </w:abstractNum>
  <w:abstractNum w:abstractNumId="8">
    <w:nsid w:val="15014ACB"/>
    <w:multiLevelType w:val="hybridMultilevel"/>
    <w:lvl w:ilvl="0">
      <w:lvlJc w:val="left"/>
      <w:lvlText w:val="(%1)"/>
      <w:numFmt w:val="lowerLetter"/>
      <w:start w:val="1"/>
    </w:lvl>
  </w:abstractNum>
  <w:abstractNum w:abstractNumId="9">
    <w:nsid w:val="5F5E7FD0"/>
    <w:multiLevelType w:val="hybridMultilevel"/>
    <w:lvl w:ilvl="0">
      <w:lvlJc w:val="left"/>
      <w:lvlText w:val="(%1)"/>
      <w:numFmt w:val="lowerLetter"/>
      <w:start w:val="6"/>
    </w:lvl>
  </w:abstractNum>
  <w:abstractNum w:abstractNumId="10">
    <w:nsid w:val="98A3148"/>
    <w:multiLevelType w:val="hybridMultilevel"/>
    <w:lvl w:ilvl="0">
      <w:lvlJc w:val="left"/>
      <w:lvlText w:val="(%1)"/>
      <w:numFmt w:val="lowerLetter"/>
      <w:start w:val="3"/>
    </w:lvl>
  </w:abstractNum>
  <w:abstractNum w:abstractNumId="11">
    <w:nsid w:val="799D0247"/>
    <w:multiLevelType w:val="hybridMultilevel"/>
    <w:lvl w:ilvl="0">
      <w:lvlJc w:val="left"/>
      <w:lvlText w:val="(%1)"/>
      <w:numFmt w:val="upperLetter"/>
      <w:start w:val="1"/>
    </w:lvl>
  </w:abstractNum>
  <w:abstractNum w:abstractNumId="12">
    <w:nsid w:val="6B94764"/>
    <w:multiLevelType w:val="hybridMultilevel"/>
    <w:lvl w:ilvl="0">
      <w:lvlJc w:val="left"/>
      <w:lvlText w:val="(%1)"/>
      <w:numFmt w:val="upperLetter"/>
      <w:start w:val="2"/>
    </w:lvl>
  </w:abstractNum>
  <w:abstractNum w:abstractNumId="13">
    <w:nsid w:val="42C296BD"/>
    <w:multiLevelType w:val="hybridMultilevel"/>
    <w:lvl w:ilvl="0">
      <w:lvlJc w:val="left"/>
      <w:lvlText w:val="(%1)"/>
      <w:numFmt w:val="lowerLetter"/>
      <w:start w:val="2"/>
    </w:lvl>
  </w:abstractNum>
  <w:abstractNum w:abstractNumId="14">
    <w:nsid w:val="168E121F"/>
    <w:multiLevelType w:val="hybridMultilevel"/>
    <w:lvl w:ilvl="0">
      <w:lvlJc w:val="left"/>
      <w:lvlText w:val="(%1)"/>
      <w:numFmt w:val="lowerLetter"/>
      <w:start w:val="1"/>
    </w:lvl>
  </w:abstractNum>
  <w:abstractNum w:abstractNumId="15">
    <w:nsid w:val="1EBA5D23"/>
    <w:multiLevelType w:val="hybridMultilevel"/>
    <w:lvl w:ilvl="0">
      <w:lvlJc w:val="left"/>
      <w:lvlText w:val="(%1)"/>
      <w:numFmt w:val="lowerLetter"/>
      <w:start w:val="7"/>
    </w:lvl>
  </w:abstractNum>
  <w:abstractNum w:abstractNumId="16">
    <w:nsid w:val="661E3F1E"/>
    <w:multiLevelType w:val="hybridMultilevel"/>
    <w:lvl w:ilvl="0">
      <w:lvlJc w:val="left"/>
      <w:lvlText w:val="%1"/>
      <w:numFmt w:val="lowerRoman"/>
      <w:start w:val="1"/>
    </w:lvl>
    <w:lvl w:ilvl="1">
      <w:lvlJc w:val="left"/>
      <w:lvlText w:val="(%2)"/>
      <w:numFmt w:val="lowerLetter"/>
      <w:start w:val="14"/>
    </w:lvl>
  </w:abstractNum>
  <w:abstractNum w:abstractNumId="17">
    <w:nsid w:val="5DC79EA8"/>
    <w:multiLevelType w:val="hybridMultilevel"/>
    <w:lvl w:ilvl="0">
      <w:lvlJc w:val="left"/>
      <w:lvlText w:val="(%1)"/>
      <w:numFmt w:val="lowerRoman"/>
      <w:start w:val="8"/>
    </w:lvl>
    <w:lvl w:ilvl="1">
      <w:lvlJc w:val="left"/>
      <w:lvlText w:val="(%2)"/>
      <w:numFmt w:val="lowerLetter"/>
      <w:start w:val="18"/>
    </w:lvl>
  </w:abstractNum>
  <w:abstractNum w:abstractNumId="18">
    <w:nsid w:val="540A471C"/>
    <w:multiLevelType w:val="hybridMultilevel"/>
    <w:lvl w:ilvl="0">
      <w:lvlJc w:val="left"/>
      <w:lvlText w:val="(%1)"/>
      <w:numFmt w:val="lowerLetter"/>
      <w:start w:val="25"/>
    </w:lvl>
  </w:abstractNum>
  <w:abstractNum w:abstractNumId="19">
    <w:nsid w:val="7BD3EE7B"/>
    <w:multiLevelType w:val="hybridMultilevel"/>
    <w:lvl w:ilvl="0">
      <w:lvlJc w:val="left"/>
      <w:lvlText w:val="%1"/>
      <w:numFmt w:val="lowerLetter"/>
      <w:start w:val="1"/>
    </w:lvl>
    <w:lvl w:ilvl="1">
      <w:lvlJc w:val="left"/>
      <w:lvlText w:val="(%2)"/>
      <w:numFmt w:val="lowerLetter"/>
      <w:start w:val="2"/>
    </w:lvl>
  </w:abstractNum>
  <w:abstractNum w:abstractNumId="20">
    <w:nsid w:val="51D9C564"/>
    <w:multiLevelType w:val="hybridMultilevel"/>
    <w:lvl w:ilvl="0">
      <w:lvlJc w:val="left"/>
      <w:lvlText w:val="(%1)"/>
      <w:numFmt w:val="lowerLetter"/>
      <w:start w:val="9"/>
    </w:lvl>
    <w:lvl w:ilvl="1">
      <w:lvlJc w:val="left"/>
      <w:lvlText w:val="(%2)"/>
      <w:numFmt w:val="lowerLetter"/>
      <w:start w:val="3"/>
    </w:lvl>
  </w:abstractNum>
  <w:abstractNum w:abstractNumId="21">
    <w:nsid w:val="613EFDC5"/>
    <w:multiLevelType w:val="hybridMultilevel"/>
    <w:lvl w:ilvl="0">
      <w:lvlJc w:val="left"/>
      <w:lvlText w:val="(%1)"/>
      <w:numFmt w:val="lowerLetter"/>
      <w:start w:val="4"/>
    </w:lvl>
  </w:abstractNum>
  <w:abstractNum w:abstractNumId="22">
    <w:nsid w:val="BF72B14"/>
    <w:multiLevelType w:val="hybridMultilevel"/>
    <w:lvl w:ilvl="0">
      <w:lvlJc w:val="left"/>
      <w:lvlText w:val="(%1)"/>
      <w:numFmt w:val="lowerLetter"/>
      <w:start w:val="1"/>
    </w:lvl>
  </w:abstractNum>
  <w:abstractNum w:abstractNumId="23">
    <w:nsid w:val="11447B73"/>
    <w:multiLevelType w:val="hybridMultilevel"/>
    <w:lvl w:ilvl="0">
      <w:lvlJc w:val="left"/>
      <w:lvlText w:val="(%1)"/>
      <w:numFmt w:val="lowerLetter"/>
      <w:start w:val="2"/>
    </w:lvl>
  </w:abstractNum>
  <w:abstractNum w:abstractNumId="24">
    <w:nsid w:val="42963E5A"/>
    <w:multiLevelType w:val="hybridMultilevel"/>
    <w:lvl w:ilvl="0">
      <w:lvlJc w:val="left"/>
      <w:lvlText w:val="(%1)"/>
      <w:numFmt w:val="lowerLetter"/>
      <w:start w:val="2"/>
    </w:lvl>
  </w:abstractNum>
  <w:abstractNum w:abstractNumId="25">
    <w:nsid w:val="A0382C5"/>
    <w:multiLevelType w:val="hybridMultilevel"/>
    <w:lvl w:ilvl="0">
      <w:lvlJc w:val="left"/>
      <w:lvlText w:val="(%1)"/>
      <w:numFmt w:val="lowerLetter"/>
      <w:start w:val="2"/>
    </w:lvl>
  </w:abstractNum>
  <w:abstractNum w:abstractNumId="26">
    <w:nsid w:val="8F2B15E"/>
    <w:multiLevelType w:val="hybridMultilevel"/>
    <w:lvl w:ilvl="0">
      <w:lvlJc w:val="left"/>
      <w:lvlText w:val="(%1)"/>
      <w:numFmt w:val="lowerRoman"/>
      <w:start w:val="1"/>
    </w:lvl>
  </w:abstractNum>
  <w:abstractNum w:abstractNumId="27">
    <w:nsid w:val="1A32234B"/>
    <w:multiLevelType w:val="hybridMultilevel"/>
    <w:lvl w:ilvl="0">
      <w:lvlJc w:val="left"/>
      <w:lvlText w:val="(%1)"/>
      <w:numFmt w:val="lowerLetter"/>
      <w:start w:val="9"/>
    </w:lvl>
    <w:lvl w:ilvl="1">
      <w:lvlJc w:val="left"/>
      <w:lvlText w:val="%2"/>
      <w:numFmt w:val="lowerLetter"/>
      <w:start w:val="1"/>
    </w:lvl>
  </w:abstractNum>
  <w:abstractNum w:abstractNumId="28">
    <w:nsid w:val="3B0FD379"/>
    <w:multiLevelType w:val="hybridMultilevel"/>
    <w:lvl w:ilvl="0">
      <w:lvlJc w:val="left"/>
      <w:lvlText w:val="(%1)"/>
      <w:numFmt w:val="lowerLetter"/>
      <w:start w:val="24"/>
    </w:lvl>
    <w:lvl w:ilvl="1">
      <w:lvlJc w:val="left"/>
      <w:lvlText w:val="(%2)"/>
      <w:numFmt w:val="lowerLetter"/>
      <w:start w:val="2"/>
    </w:lvl>
  </w:abstractNum>
  <w:abstractNum w:abstractNumId="29">
    <w:nsid w:val="68EB2F63"/>
    <w:multiLevelType w:val="hybridMultilevel"/>
    <w:lvl w:ilvl="0">
      <w:lvlJc w:val="left"/>
      <w:lvlText w:val="(%1)"/>
      <w:numFmt w:val="lowerLetter"/>
      <w:start w:val="3"/>
    </w:lvl>
  </w:abstractNum>
  <w:abstractNum w:abstractNumId="30">
    <w:nsid w:val="4962813B"/>
    <w:multiLevelType w:val="hybridMultilevel"/>
    <w:lvl w:ilvl="0">
      <w:lvlJc w:val="left"/>
      <w:lvlText w:val="(%1)"/>
      <w:numFmt w:val="lowerLetter"/>
      <w:start w:val="2"/>
    </w:lvl>
  </w:abstractNum>
  <w:abstractNum w:abstractNumId="31">
    <w:nsid w:val="60B6DF70"/>
    <w:multiLevelType w:val="hybridMultilevel"/>
    <w:lvl w:ilvl="0">
      <w:lvlJc w:val="left"/>
      <w:lvlText w:val="(%1)"/>
      <w:numFmt w:val="lowerLetter"/>
      <w:start w:val="5"/>
    </w:lvl>
  </w:abstractNum>
  <w:abstractNum w:abstractNumId="32">
    <w:nsid w:val="6A5EE64"/>
    <w:multiLevelType w:val="hybridMultilevel"/>
    <w:lvl w:ilvl="0">
      <w:lvlJc w:val="left"/>
      <w:lvlText w:val="(%1)"/>
      <w:numFmt w:val="lowerRoman"/>
      <w:start w:val="1"/>
    </w:lvl>
  </w:abstractNum>
  <w:abstractNum w:abstractNumId="33">
    <w:nsid w:val="14330624"/>
    <w:multiLevelType w:val="hybridMultilevel"/>
    <w:lvl w:ilvl="0">
      <w:lvlJc w:val="left"/>
      <w:lvlText w:val="(%1)"/>
      <w:numFmt w:val="lowerLetter"/>
      <w:start w:val="2"/>
    </w:lvl>
  </w:abstractNum>
  <w:abstractNum w:abstractNumId="34">
    <w:nsid w:val="7FFFCA11"/>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35">
    <w:nsid w:val="1A27709E"/>
    <w:multiLevelType w:val="hybridMultilevel"/>
    <w:lvl w:ilvl="0">
      <w:lvlJc w:val="left"/>
      <w:lvlText w:val="(%1)"/>
      <w:numFmt w:val="lowerLetter"/>
      <w:start w:val="9"/>
    </w:lvl>
    <w:lvl w:ilvl="1">
      <w:lvlJc w:val="left"/>
      <w:lvlText w:val="(%2)"/>
      <w:numFmt w:val="lowerLetter"/>
      <w:start w:val="4"/>
    </w:lvl>
    <w:lvl w:ilvl="2">
      <w:lvlJc w:val="left"/>
      <w:lvlText w:val="(%3)"/>
      <w:numFmt w:val="lowerLetter"/>
      <w:start w:val="35"/>
    </w:lvl>
  </w:abstractNum>
  <w:abstractNum w:abstractNumId="36">
    <w:nsid w:val="71EA1109"/>
    <w:multiLevelType w:val="hybridMultilevel"/>
    <w:lvl w:ilvl="0">
      <w:lvlJc w:val="left"/>
      <w:lvlText w:val="(%1)"/>
      <w:numFmt w:val="upperLetter"/>
      <w:start w:val="1"/>
    </w:lvl>
  </w:abstractNum>
  <w:abstractNum w:abstractNumId="37">
    <w:nsid w:val="100F59DC"/>
    <w:multiLevelType w:val="hybridMultilevel"/>
    <w:lvl w:ilvl="0">
      <w:lvlJc w:val="left"/>
      <w:lvlText w:val="(%1)"/>
      <w:numFmt w:val="upperLetter"/>
      <w:start w:val="3"/>
    </w:lvl>
  </w:abstractNum>
  <w:abstractNum w:abstractNumId="38">
    <w:nsid w:val="7FB7E0AA"/>
    <w:multiLevelType w:val="hybridMultilevel"/>
    <w:lvl w:ilvl="0">
      <w:lvlJc w:val="left"/>
      <w:lvlText w:val="(%1)"/>
      <w:numFmt w:val="lowerLetter"/>
      <w:start w:val="5"/>
    </w:lvl>
  </w:abstractNum>
  <w:abstractNum w:abstractNumId="39">
    <w:nsid w:val="6EB5BD4"/>
    <w:multiLevelType w:val="hybridMultilevel"/>
    <w:lvl w:ilvl="0">
      <w:lvlJc w:val="left"/>
      <w:lvlText w:val="(%1)"/>
      <w:numFmt w:val="lowerLetter"/>
      <w:start w:val="9"/>
    </w:lvl>
    <w:lvl w:ilvl="1">
      <w:lvlJc w:val="left"/>
      <w:lvlText w:val="(%2)"/>
      <w:numFmt w:val="lowerLetter"/>
      <w:start w:val="6"/>
    </w:lvl>
  </w:abstractNum>
  <w:abstractNum w:abstractNumId="40">
    <w:nsid w:val="6F6DD9AC"/>
    <w:multiLevelType w:val="hybridMultilevel"/>
    <w:lvl w:ilvl="0">
      <w:lvlJc w:val="left"/>
      <w:lvlText w:val="(%1)"/>
      <w:numFmt w:val="lowerLetter"/>
      <w:start w:val="1"/>
    </w:lvl>
  </w:abstractNum>
  <w:abstractNum w:abstractNumId="41">
    <w:nsid w:val="94211F2"/>
    <w:multiLevelType w:val="hybridMultilevel"/>
    <w:lvl w:ilvl="0">
      <w:lvlJc w:val="left"/>
      <w:lvlText w:val="(%1)"/>
      <w:numFmt w:val="lowerLetter"/>
      <w:start w:val="2"/>
    </w:lvl>
  </w:abstractNum>
  <w:abstractNum w:abstractNumId="42">
    <w:nsid w:val="885E1B"/>
    <w:multiLevelType w:val="hybridMultilevel"/>
    <w:lvl w:ilvl="0">
      <w:lvlJc w:val="left"/>
      <w:lvlText w:val="(%1)"/>
      <w:numFmt w:val="lowerLetter"/>
      <w:start w:val="1"/>
    </w:lvl>
  </w:abstractNum>
  <w:abstractNum w:abstractNumId="43">
    <w:nsid w:val="76272110"/>
    <w:multiLevelType w:val="hybridMultilevel"/>
    <w:lvl w:ilvl="0">
      <w:lvlJc w:val="left"/>
      <w:lvlText w:val="(%1)"/>
      <w:numFmt w:val="lowerLetter"/>
      <w:start w:val="4"/>
    </w:lvl>
  </w:abstractNum>
  <w:abstractNum w:abstractNumId="44">
    <w:nsid w:val="4C04A8AF"/>
    <w:multiLevelType w:val="hybridMultilevel"/>
    <w:lvl w:ilvl="0">
      <w:lvlJc w:val="left"/>
      <w:lvlText w:val="(%1)"/>
      <w:numFmt w:val="lowerLetter"/>
      <w:start w:val="1"/>
    </w:lvl>
  </w:abstractNum>
  <w:abstractNum w:abstractNumId="45">
    <w:nsid w:val="1716703B"/>
    <w:multiLevelType w:val="hybridMultilevel"/>
    <w:lvl w:ilvl="0">
      <w:lvlJc w:val="left"/>
      <w:lvlText w:val="%1"/>
      <w:numFmt w:val="lowerLetter"/>
      <w:start w:val="1"/>
    </w:lvl>
    <w:lvl w:ilvl="1">
      <w:lvlJc w:val="left"/>
      <w:lvlText w:val="(%2)"/>
      <w:numFmt w:val="lowerLetter"/>
      <w:start w:val="1"/>
    </w:lvl>
  </w:abstractNum>
  <w:abstractNum w:abstractNumId="46">
    <w:nsid w:val="14E17E33"/>
    <w:multiLevelType w:val="hybridMultilevel"/>
    <w:lvl w:ilvl="0">
      <w:lvlJc w:val="left"/>
      <w:lvlText w:val="(%1)"/>
      <w:numFmt w:val="lowerLetter"/>
      <w:start w:val="9"/>
    </w:lvl>
    <w:lvl w:ilvl="1">
      <w:lvlJc w:val="left"/>
      <w:lvlText w:val="(%2)"/>
      <w:numFmt w:val="lowerLetter"/>
      <w:start w:val="4"/>
    </w:lvl>
  </w:abstractNum>
  <w:abstractNum w:abstractNumId="47">
    <w:nsid w:val="3222E7CD"/>
    <w:multiLevelType w:val="hybridMultilevel"/>
    <w:lvl w:ilvl="0">
      <w:lvlJc w:val="left"/>
      <w:lvlText w:val="(%1)"/>
      <w:numFmt w:val="lowerLetter"/>
      <w:start w:val="6"/>
    </w:lvl>
  </w:abstractNum>
  <w:abstractNum w:abstractNumId="48">
    <w:nsid w:val="74DE0EE3"/>
    <w:multiLevelType w:val="hybridMultilevel"/>
    <w:lvl w:ilvl="0">
      <w:lvlJc w:val="left"/>
      <w:lvlText w:val="(%1)"/>
      <w:numFmt w:val="lowerLetter"/>
      <w:start w:val="1"/>
    </w:lvl>
  </w:abstractNum>
  <w:abstractNum w:abstractNumId="49">
    <w:nsid w:val="68EBC550"/>
    <w:multiLevelType w:val="hybridMultilevel"/>
    <w:lvl w:ilvl="0">
      <w:lvlJc w:val="left"/>
      <w:lvlText w:val="(%1)"/>
      <w:numFmt w:val="lowerLetter"/>
      <w:start w:val="2"/>
    </w:lvl>
  </w:abstractNum>
  <w:abstractNum w:abstractNumId="50">
    <w:nsid w:val="2DF6D648"/>
    <w:multiLevelType w:val="hybridMultilevel"/>
    <w:lvl w:ilvl="0">
      <w:lvlJc w:val="left"/>
      <w:lvlText w:val="(%1)"/>
      <w:numFmt w:val="lowerLetter"/>
      <w:start w:val="1"/>
    </w:lvl>
  </w:abstractNum>
  <w:abstractNum w:abstractNumId="51">
    <w:nsid w:val="46B7D447"/>
    <w:multiLevelType w:val="hybridMultilevel"/>
    <w:lvl w:ilvl="0">
      <w:lvlJc w:val="left"/>
      <w:lvlText w:val="(%1)"/>
      <w:numFmt w:val="lowerLetter"/>
      <w:start w:val="1"/>
    </w:lvl>
  </w:abstractNum>
  <w:abstractNum w:abstractNumId="52">
    <w:nsid w:val="4A2AC315"/>
    <w:multiLevelType w:val="hybridMultilevel"/>
    <w:lvl w:ilvl="0">
      <w:lvlJc w:val="left"/>
      <w:lvlText w:val="%1"/>
      <w:numFmt w:val="upperLetter"/>
      <w:start w:val="1"/>
    </w:lvl>
    <w:lvl w:ilvl="1">
      <w:lvlJc w:val="left"/>
      <w:lvlText w:val="(%2)"/>
      <w:numFmt w:val="lowerLetter"/>
      <w:start w:val="2"/>
    </w:lvl>
  </w:abstractNum>
  <w:abstractNum w:abstractNumId="53">
    <w:nsid w:val="39EE015C"/>
    <w:multiLevelType w:val="hybridMultilevel"/>
    <w:lvl w:ilvl="0">
      <w:lvlJc w:val="left"/>
      <w:lvlText w:val="(%1)"/>
      <w:numFmt w:val="upperLetter"/>
      <w:start w:val="2"/>
    </w:lvl>
    <w:lvl w:ilvl="1">
      <w:lvlJc w:val="left"/>
      <w:lvlText w:val="%2"/>
      <w:numFmt w:val="lowerLetter"/>
      <w:start w:val="1"/>
    </w:lvl>
  </w:abstractNum>
  <w:abstractNum w:abstractNumId="54">
    <w:nsid w:val="57FC4FBB"/>
    <w:multiLevelType w:val="hybridMultilevel"/>
    <w:lvl w:ilvl="0">
      <w:lvlJc w:val="left"/>
      <w:lvlText w:val="(%1)"/>
      <w:numFmt w:val="lowerLetter"/>
      <w:start w:val="1"/>
    </w:lvl>
  </w:abstractNum>
  <w:abstractNum w:abstractNumId="55">
    <w:nsid w:val="CC1016F"/>
    <w:multiLevelType w:val="hybridMultilevel"/>
    <w:lvl w:ilvl="0">
      <w:lvlJc w:val="left"/>
      <w:lvlText w:val="(%1)"/>
      <w:numFmt w:val="lowerLetter"/>
      <w:start w:val="4"/>
    </w:lvl>
  </w:abstractNum>
  <w:abstractNum w:abstractNumId="56">
    <w:nsid w:val="43F18422"/>
    <w:multiLevelType w:val="hybridMultilevel"/>
    <w:lvl w:ilvl="0">
      <w:lvlJc w:val="left"/>
      <w:lvlText w:val="(%1)"/>
      <w:numFmt w:val="lowerRoman"/>
      <w:start w:val="2"/>
    </w:lvl>
  </w:abstractNum>
  <w:abstractNum w:abstractNumId="57">
    <w:nsid w:val="60EF0119"/>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58">
    <w:nsid w:val="26F324B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59">
    <w:nsid w:val="7F01579B"/>
    <w:multiLevelType w:val="hybridMultilevel"/>
    <w:lvl w:ilvl="0">
      <w:lvlJc w:val="left"/>
      <w:lvlText w:val="%1"/>
      <w:numFmt w:val="lowerLetter"/>
      <w:start w:val="1"/>
    </w:lvl>
    <w:lvl w:ilvl="1">
      <w:lvlJc w:val="left"/>
      <w:lvlText w:val="(%2)"/>
      <w:numFmt w:val="lowerLetter"/>
      <w:start w:val="2"/>
    </w:lvl>
  </w:abstractNum>
  <w:abstractNum w:abstractNumId="60">
    <w:nsid w:val="49DA307D"/>
    <w:multiLevelType w:val="hybridMultilevel"/>
    <w:lvl w:ilvl="0">
      <w:lvlJc w:val="left"/>
      <w:lvlText w:val="(%1)"/>
      <w:numFmt w:val="lowerLetter"/>
      <w:start w:val="24"/>
    </w:lvl>
    <w:lvl w:ilvl="1">
      <w:lvlJc w:val="left"/>
      <w:lvlText w:val="%2"/>
      <w:numFmt w:val="lowerLetter"/>
      <w:start w:val="1"/>
    </w:lvl>
  </w:abstractNum>
  <w:abstractNum w:abstractNumId="61">
    <w:nsid w:val="7055A5F5"/>
    <w:multiLevelType w:val="hybridMultilevel"/>
    <w:lvl w:ilvl="0">
      <w:lvlJc w:val="left"/>
      <w:lvlText w:val="(%1)"/>
      <w:numFmt w:val="lowerLetter"/>
      <w:start w:val="1"/>
    </w:lvl>
  </w:abstractNum>
  <w:abstractNum w:abstractNumId="62">
    <w:nsid w:val="5FB8370B"/>
    <w:multiLevelType w:val="hybridMultilevel"/>
    <w:lvl w:ilvl="0">
      <w:lvlJc w:val="left"/>
      <w:lvlText w:val="(%1)"/>
      <w:numFmt w:val="lowerRoman"/>
      <w:start w:val="2"/>
    </w:lvl>
  </w:abstractNum>
  <w:abstractNum w:abstractNumId="63">
    <w:nsid w:val="50801EE1"/>
    <w:multiLevelType w:val="hybridMultilevel"/>
    <w:lvl w:ilvl="0">
      <w:lvlJc w:val="left"/>
      <w:lvlText w:val="(%1)"/>
      <w:numFmt w:val="lowerLetter"/>
      <w:start w:val="4"/>
    </w:lvl>
  </w:abstractNum>
  <w:abstractNum w:abstractNumId="64">
    <w:nsid w:val="488AC1A"/>
    <w:multiLevelType w:val="hybridMultilevel"/>
    <w:lvl w:ilvl="0">
      <w:lvlJc w:val="left"/>
      <w:lvlText w:val="(%1)"/>
      <w:numFmt w:val="lowerLetter"/>
      <w:start w:val="2"/>
    </w:lvl>
  </w:abstractNum>
  <w:abstractNum w:abstractNumId="65">
    <w:nsid w:val="5FB8011C"/>
    <w:multiLevelType w:val="hybridMultilevel"/>
    <w:lvl w:ilvl="0">
      <w:lvlJc w:val="left"/>
      <w:lvlText w:val="(%1)"/>
      <w:numFmt w:val="lowerLetter"/>
      <w:start w:val="4"/>
    </w:lvl>
  </w:abstractNum>
  <w:abstractNum w:abstractNumId="66">
    <w:nsid w:val="6AA78F7F"/>
    <w:multiLevelType w:val="hybridMultilevel"/>
    <w:lvl w:ilvl="0">
      <w:lvlJc w:val="left"/>
      <w:lvlText w:val="(%1)"/>
      <w:numFmt w:val="lowerLetter"/>
      <w:start w:val="5"/>
    </w:lvl>
  </w:abstractNum>
  <w:abstractNum w:abstractNumId="67">
    <w:nsid w:val="7672BD23"/>
    <w:multiLevelType w:val="hybridMultilevel"/>
    <w:lvl w:ilvl="0">
      <w:lvlJc w:val="left"/>
      <w:lvlText w:val="(%1)"/>
      <w:numFmt w:val="upperLetter"/>
      <w:start w:val="1"/>
    </w:lvl>
  </w:abstractNum>
  <w:abstractNum w:abstractNumId="68">
    <w:nsid w:val="6FC75AF8"/>
    <w:multiLevelType w:val="hybridMultilevel"/>
    <w:lvl w:ilvl="0">
      <w:lvlJc w:val="left"/>
      <w:lvlText w:val="(%1)"/>
      <w:numFmt w:val="upperLetter"/>
      <w:start w:val="5"/>
    </w:lvl>
  </w:abstractNum>
  <w:abstractNum w:abstractNumId="69">
    <w:nsid w:val="6A5F7029"/>
    <w:multiLevelType w:val="hybridMultilevel"/>
    <w:lvl w:ilvl="0">
      <w:lvlJc w:val="left"/>
      <w:lvlText w:val="(%1)"/>
      <w:numFmt w:val="lowerLetter"/>
      <w:start w:val="2"/>
    </w:lvl>
  </w:abstractNum>
  <w:abstractNum w:abstractNumId="70">
    <w:nsid w:val="7D5E18F8"/>
    <w:multiLevelType w:val="hybridMultilevel"/>
    <w:lvl w:ilvl="0">
      <w:lvlJc w:val="left"/>
      <w:lvlText w:val="(%1)"/>
      <w:numFmt w:val="lowerRoman"/>
      <w:start w:val="1"/>
    </w:lvl>
  </w:abstractNum>
  <w:abstractNum w:abstractNumId="71">
    <w:nsid w:val="5F3534A4"/>
    <w:multiLevelType w:val="hybridMultilevel"/>
    <w:lvl w:ilvl="0">
      <w:lvlJc w:val="left"/>
      <w:lvlText w:val="(%1)"/>
      <w:numFmt w:val="lowerLetter"/>
      <w:start w:val="5"/>
    </w:lvl>
  </w:abstractNum>
  <w:abstractNum w:abstractNumId="72">
    <w:nsid w:val="73A1821B"/>
    <w:multiLevelType w:val="hybridMultilevel"/>
    <w:lvl w:ilvl="0">
      <w:lvlJc w:val="left"/>
      <w:lvlText w:val="(%1)"/>
      <w:numFmt w:val="lowerLetter"/>
      <w:start w:val="2"/>
    </w:lvl>
  </w:abstractNum>
  <w:abstractNum w:abstractNumId="73">
    <w:nsid w:val="7DE67713"/>
    <w:multiLevelType w:val="hybridMultilevel"/>
    <w:lvl w:ilvl="0">
      <w:lvlJc w:val="left"/>
      <w:lvlText w:val="(%1)"/>
      <w:numFmt w:val="lowerLetter"/>
      <w:start w:val="3"/>
    </w:lvl>
  </w:abstractNum>
  <w:abstractNum w:abstractNumId="74">
    <w:nsid w:val="555C55B5"/>
    <w:multiLevelType w:val="hybridMultilevel"/>
    <w:lvl w:ilvl="0">
      <w:lvlJc w:val="left"/>
      <w:lvlText w:val="(%1)"/>
      <w:numFmt w:val="lowerLetter"/>
      <w:start w:val="1"/>
    </w:lvl>
  </w:abstractNum>
  <w:abstractNum w:abstractNumId="75">
    <w:nsid w:val="3FA62ACA"/>
    <w:multiLevelType w:val="hybridMultilevel"/>
    <w:lvl w:ilvl="0">
      <w:lvlJc w:val="left"/>
      <w:lvlText w:val="(%1)"/>
      <w:numFmt w:val="lowerLetter"/>
      <w:start w:val="2"/>
    </w:lvl>
  </w:abstractNum>
  <w:abstractNum w:abstractNumId="76">
    <w:nsid w:val="14FCE74E"/>
    <w:multiLevelType w:val="hybridMultilevel"/>
    <w:lvl w:ilvl="0">
      <w:lvlJc w:val="left"/>
      <w:lvlText w:val="(%1)"/>
      <w:numFmt w:val="lowerLetter"/>
      <w:start w:val="5"/>
    </w:lvl>
  </w:abstractNum>
  <w:abstractNum w:abstractNumId="77">
    <w:nsid w:val="6A3DD3E8"/>
    <w:multiLevelType w:val="hybridMultilevel"/>
    <w:lvl w:ilvl="0">
      <w:lvlJc w:val="left"/>
      <w:lvlText w:val="(%1)"/>
      <w:numFmt w:val="lowerLetter"/>
      <w:start w:val="35"/>
    </w:lvl>
    <w:lvl w:ilvl="1">
      <w:lvlJc w:val="left"/>
      <w:lvlText w:val="(%2)"/>
      <w:numFmt w:val="lowerLetter"/>
      <w:start w:val="2"/>
    </w:lvl>
    <w:lvl w:ilvl="2">
      <w:lvlJc w:val="left"/>
      <w:lvlText w:val="(%3)"/>
      <w:numFmt w:val="decimal"/>
      <w:start w:val="1"/>
    </w:lvl>
  </w:abstractNum>
  <w:abstractNum w:abstractNumId="78">
    <w:nsid w:val="71C91298"/>
    <w:multiLevelType w:val="hybridMultilevel"/>
    <w:lvl w:ilvl="0">
      <w:lvlJc w:val="left"/>
      <w:lvlText w:val="(%1)"/>
      <w:numFmt w:val="lowerLetter"/>
      <w:start w:val="25"/>
    </w:lvl>
  </w:abstractNum>
  <w:abstractNum w:abstractNumId="79">
    <w:nsid w:val="9DAF632"/>
    <w:multiLevelType w:val="hybridMultilevel"/>
    <w:lvl w:ilvl="0">
      <w:lvlJc w:val="left"/>
      <w:lvlText w:val="(%1)"/>
      <w:numFmt w:val="lowerRoman"/>
      <w:start w:val="2"/>
    </w:lvl>
    <w:lvl w:ilvl="1">
      <w:lvlJc w:val="left"/>
      <w:lvlText w:val="(%2)"/>
      <w:numFmt w:val="upperLetter"/>
      <w:start w:val="1"/>
    </w:lvl>
  </w:abstractNum>
  <w:abstractNum w:abstractNumId="80">
    <w:nsid w:val="53299938"/>
    <w:multiLevelType w:val="hybridMultilevel"/>
    <w:lvl w:ilvl="0">
      <w:lvlJc w:val="left"/>
      <w:lvlText w:val="(%1)"/>
      <w:numFmt w:val="lowerLetter"/>
      <w:start w:val="22"/>
    </w:lvl>
    <w:lvl w:ilvl="1">
      <w:lvlJc w:val="left"/>
      <w:lvlText w:val="(%2)"/>
      <w:numFmt w:val="lowerLetter"/>
      <w:start w:val="3"/>
    </w:lvl>
  </w:abstractNum>
  <w:abstractNum w:abstractNumId="81">
    <w:nsid w:val="1FBFE8E0"/>
    <w:multiLevelType w:val="hybridMultilevel"/>
    <w:lvl w:ilvl="0">
      <w:lvlJc w:val="left"/>
      <w:lvlText w:val="(%1)"/>
      <w:numFmt w:val="lowerRoman"/>
      <w:start w:val="2"/>
    </w:lvl>
  </w:abstractNum>
  <w:abstractNum w:abstractNumId="82">
    <w:nsid w:val="5092CA79"/>
    <w:multiLevelType w:val="hybridMultilevel"/>
    <w:lvl w:ilvl="0">
      <w:lvlJc w:val="left"/>
      <w:lvlText w:val="(%1)"/>
      <w:numFmt w:val="lowerLetter"/>
      <w:start w:val="4"/>
    </w:lvl>
  </w:abstractNum>
  <w:abstractNum w:abstractNumId="83">
    <w:nsid w:val="1D545C4D"/>
    <w:multiLevelType w:val="hybridMultilevel"/>
    <w:lvl w:ilvl="0">
      <w:lvlJc w:val="left"/>
      <w:lvlText w:val="(%1)"/>
      <w:numFmt w:val="lowerLetter"/>
      <w:start w:val="1"/>
    </w:lvl>
  </w:abstractNum>
  <w:abstractNum w:abstractNumId="84">
    <w:nsid w:val="59ADEA3D"/>
    <w:multiLevelType w:val="hybridMultilevel"/>
    <w:lvl w:ilvl="0">
      <w:lvlJc w:val="left"/>
      <w:lvlText w:val="(%1)"/>
      <w:numFmt w:val="lowerRoman"/>
      <w:start w:val="1"/>
    </w:lvl>
    <w:lvl w:ilvl="1">
      <w:lvlJc w:val="left"/>
      <w:lvlText w:val="(%2)"/>
      <w:numFmt w:val="lowerLetter"/>
      <w:start w:val="2"/>
    </w:lvl>
  </w:abstractNum>
  <w:abstractNum w:abstractNumId="85">
    <w:nsid w:val="288F1A34"/>
    <w:multiLevelType w:val="hybridMultilevel"/>
    <w:lvl w:ilvl="0">
      <w:lvlJc w:val="left"/>
      <w:lvlText w:val="(%1)"/>
      <w:numFmt w:val="lowerLetter"/>
      <w:start w:val="1"/>
    </w:lvl>
  </w:abstractNum>
  <w:abstractNum w:abstractNumId="86">
    <w:nsid w:val="2A155DBC"/>
    <w:multiLevelType w:val="hybridMultilevel"/>
    <w:lvl w:ilvl="0">
      <w:lvlJc w:val="left"/>
      <w:lvlText w:val="(%1)"/>
      <w:numFmt w:val="lowerLetter"/>
      <w:start w:val="1"/>
    </w:lvl>
  </w:abstractNum>
  <w:abstractNum w:abstractNumId="87">
    <w:nsid w:val="1D9F6E5F"/>
    <w:multiLevelType w:val="hybridMultilevel"/>
    <w:lvl w:ilvl="0">
      <w:lvlJc w:val="left"/>
      <w:lvlText w:val="(%1)"/>
      <w:numFmt w:val="lowerLetter"/>
      <w:start w:val="4"/>
    </w:lvl>
  </w:abstractNum>
  <w:abstractNum w:abstractNumId="88">
    <w:nsid w:val="97E1B4E"/>
    <w:multiLevelType w:val="hybridMultilevel"/>
    <w:lvl w:ilvl="0">
      <w:lvlJc w:val="left"/>
      <w:lvlText w:val="%1"/>
      <w:numFmt w:val="lowerRoman"/>
      <w:start w:val="1"/>
    </w:lvl>
    <w:lvl w:ilvl="1">
      <w:lvlJc w:val="left"/>
      <w:lvlText w:val="(%2)"/>
      <w:numFmt w:val="lowerLetter"/>
      <w:start w:val="1"/>
    </w:lvl>
  </w:abstractNum>
  <w:abstractNum w:abstractNumId="89">
    <w:nsid w:val="51088277"/>
    <w:multiLevelType w:val="hybridMultilevel"/>
    <w:lvl w:ilvl="0">
      <w:lvlJc w:val="left"/>
      <w:lvlText w:val="(%1)"/>
      <w:numFmt w:val="lowerRoman"/>
      <w:start w:val="1"/>
    </w:lvl>
    <w:lvl w:ilvl="1">
      <w:lvlJc w:val="left"/>
      <w:lvlText w:val="%2"/>
      <w:numFmt w:val="lowerLetter"/>
      <w:start w:val="1"/>
    </w:lvl>
  </w:abstractNum>
  <w:abstractNum w:abstractNumId="90">
    <w:nsid w:val="1CA0C5FA"/>
    <w:multiLevelType w:val="hybridMultilevel"/>
    <w:lvl w:ilvl="0">
      <w:lvlJc w:val="left"/>
      <w:lvlText w:val="(%1)"/>
      <w:numFmt w:val="lowerLetter"/>
      <w:start w:val="1"/>
    </w:lvl>
  </w:abstractNum>
  <w:abstractNum w:abstractNumId="91">
    <w:nsid w:val="53584BCB"/>
    <w:multiLevelType w:val="hybridMultilevel"/>
    <w:lvl w:ilvl="0">
      <w:lvlJc w:val="left"/>
      <w:lvlText w:val="(%1)"/>
      <w:numFmt w:val="lowerLetter"/>
      <w:start w:val="1"/>
    </w:lvl>
  </w:abstractNum>
  <w:abstractNum w:abstractNumId="92">
    <w:nsid w:val="415E286C"/>
    <w:multiLevelType w:val="hybridMultilevel"/>
    <w:lvl w:ilvl="0">
      <w:lvlJc w:val="left"/>
      <w:lvlText w:val="(%1)"/>
      <w:numFmt w:val="lowerLetter"/>
      <w:start w:val="3"/>
    </w:lvl>
  </w:abstractNum>
  <w:abstractNum w:abstractNumId="93">
    <w:nsid w:val="7C58FD05"/>
    <w:multiLevelType w:val="hybridMultilevel"/>
    <w:lvl w:ilvl="0">
      <w:lvlJc w:val="left"/>
      <w:lvlText w:val="(%1)"/>
      <w:numFmt w:val="lowerLetter"/>
      <w:start w:val="1"/>
    </w:lvl>
  </w:abstractNum>
  <w:abstractNum w:abstractNumId="94">
    <w:nsid w:val="23D86AAC"/>
    <w:multiLevelType w:val="hybridMultilevel"/>
    <w:lvl w:ilvl="0">
      <w:lvlJc w:val="left"/>
      <w:lvlText w:val="(%1)"/>
      <w:numFmt w:val="lowerLetter"/>
      <w:start w:val="2"/>
    </w:lvl>
  </w:abstractNum>
  <w:abstractNum w:abstractNumId="95">
    <w:nsid w:val="45E6D486"/>
    <w:multiLevelType w:val="hybridMultilevel"/>
    <w:lvl w:ilvl="0">
      <w:lvlJc w:val="left"/>
      <w:lvlText w:val="(%1)"/>
      <w:numFmt w:val="lowerLetter"/>
      <w:start w:val="1"/>
    </w:lvl>
  </w:abstractNum>
  <w:abstractNum w:abstractNumId="96">
    <w:nsid w:val="5C10FE21"/>
    <w:multiLevelType w:val="hybridMultilevel"/>
    <w:lvl w:ilvl="0">
      <w:lvlJc w:val="left"/>
      <w:lvlText w:val="(%1)"/>
      <w:numFmt w:val="lowerLetter"/>
      <w:start w:val="2"/>
    </w:lvl>
  </w:abstractNum>
  <w:abstractNum w:abstractNumId="97">
    <w:nsid w:val="E7FFA2B"/>
    <w:multiLevelType w:val="hybridMultilevel"/>
    <w:lvl w:ilvl="0">
      <w:lvlJc w:val="left"/>
      <w:lvlText w:val="(%1)"/>
      <w:numFmt w:val="lowerLetter"/>
      <w:start w:val="1"/>
    </w:lvl>
  </w:abstractNum>
  <w:abstractNum w:abstractNumId="98">
    <w:nsid w:val="3C5991AA"/>
    <w:multiLevelType w:val="hybridMultilevel"/>
    <w:lvl w:ilvl="0">
      <w:lvlJc w:val="left"/>
      <w:lvlText w:val="(%1)"/>
      <w:numFmt w:val="lowerLetter"/>
      <w:start w:val="1"/>
    </w:lvl>
  </w:abstractNum>
  <w:abstractNum w:abstractNumId="99">
    <w:nsid w:val="4BD8591A"/>
    <w:multiLevelType w:val="hybridMultilevel"/>
    <w:lvl w:ilvl="0">
      <w:lvlJc w:val="left"/>
      <w:lvlText w:val="%1."/>
      <w:numFmt w:val="decimal"/>
      <w:start w:val="1"/>
    </w:lvl>
  </w:abstractNum>
  <w:abstractNum w:abstractNumId="100">
    <w:nsid w:val="78DF6A55"/>
    <w:multiLevelType w:val="hybridMultilevel"/>
    <w:lvl w:ilvl="0">
      <w:lvlJc w:val="left"/>
      <w:lvlText w:val="%1."/>
      <w:numFmt w:val="decimal"/>
      <w:start w:val="1"/>
    </w:lvl>
    <w:lvl w:ilvl="1">
      <w:lvlJc w:val="left"/>
      <w:lvlText w:val="(%2)"/>
      <w:numFmt w:val="lowerLetter"/>
      <w:start w:val="1"/>
    </w:lvl>
  </w:abstractNum>
  <w:abstractNum w:abstractNumId="101">
    <w:nsid w:val="39B7AAA2"/>
    <w:multiLevelType w:val="hybridMultilevel"/>
    <w:lvl w:ilvl="0">
      <w:lvlJc w:val="left"/>
      <w:lvlText w:val="%1."/>
      <w:numFmt w:val="decimal"/>
      <w:start w:val="1"/>
    </w:lvl>
  </w:abstractNum>
  <w:abstractNum w:abstractNumId="102">
    <w:nsid w:val="2B0D8DBE"/>
    <w:multiLevelType w:val="hybridMultilevel"/>
    <w:lvl w:ilvl="0">
      <w:lvlJc w:val="left"/>
      <w:lvlText w:val="%1."/>
      <w:numFmt w:val="decimal"/>
      <w:start w:val="4"/>
    </w:lvl>
  </w:abstractNum>
  <w:abstractNum w:abstractNumId="103">
    <w:nsid w:val="6C80EC70"/>
    <w:multiLevelType w:val="hybridMultilevel"/>
    <w:lvl w:ilvl="0">
      <w:lvlJc w:val="left"/>
      <w:lvlText w:val="1"/>
      <w:numFmt w:val="bullet"/>
      <w:start w:val="1"/>
    </w:lvl>
  </w:abstractNum>
  <w:abstractNum w:abstractNumId="104">
    <w:nsid w:val="379E21B5"/>
    <w:multiLevelType w:val="hybridMultilevel"/>
    <w:lvl w:ilvl="0">
      <w:lvlJc w:val="left"/>
      <w:lvlText w:val="2"/>
      <w:numFmt w:val="bullet"/>
      <w:start w:val="1"/>
    </w:lvl>
  </w:abstractNum>
  <w:abstractNum w:abstractNumId="105">
    <w:nsid w:val="69E373"/>
    <w:multiLevelType w:val="hybridMultilevel"/>
    <w:lvl w:ilvl="0">
      <w:lvlJc w:val="left"/>
      <w:lvlText w:val="%1."/>
      <w:numFmt w:val="decimal"/>
      <w:start w:val="1"/>
    </w:lvl>
  </w:abstractNum>
  <w:abstractNum w:abstractNumId="106">
    <w:nsid w:val="2C27173B"/>
    <w:multiLevelType w:val="hybridMultilevel"/>
    <w:lvl w:ilvl="0">
      <w:lvlJc w:val="left"/>
      <w:lvlText w:val="3"/>
      <w:numFmt w:val="bullet"/>
      <w:start w:val="1"/>
    </w:lvl>
  </w:abstractNum>
  <w:abstractNum w:abstractNumId="107">
    <w:nsid w:val="4C9B0904"/>
    <w:multiLevelType w:val="hybridMultilevel"/>
    <w:lvl w:ilvl="0">
      <w:lvlJc w:val="left"/>
      <w:lvlText w:val="%1."/>
      <w:numFmt w:val="decimal"/>
      <w:start w:val="6"/>
    </w:lvl>
  </w:abstractNum>
  <w:abstractNum w:abstractNumId="108">
    <w:nsid w:val="6AA7B75C"/>
    <w:multiLevelType w:val="hybridMultilevel"/>
    <w:lvl w:ilvl="0">
      <w:lvlJc w:val="left"/>
      <w:lvlText w:val="4"/>
      <w:numFmt w:val="bullet"/>
      <w:start w:val="1"/>
    </w:lvl>
  </w:abstractNum>
  <w:abstractNum w:abstractNumId="109">
    <w:nsid w:val="1DF029D3"/>
    <w:multiLevelType w:val="hybridMultilevel"/>
    <w:lvl w:ilvl="0">
      <w:lvlJc w:val="left"/>
      <w:lvlText w:val="5"/>
      <w:numFmt w:val="bullet"/>
      <w:start w:val="1"/>
    </w:lvl>
  </w:abstractNum>
  <w:abstractNum w:abstractNumId="110">
    <w:nsid w:val="5675FF36"/>
    <w:multiLevelType w:val="hybridMultilevel"/>
    <w:lvl w:ilvl="0">
      <w:lvlJc w:val="left"/>
      <w:lvlText w:val="%1."/>
      <w:numFmt w:val="decimal"/>
      <w:start w:val="1"/>
    </w:lvl>
  </w:abstractNum>
  <w:abstractNum w:abstractNumId="111">
    <w:nsid w:val="3DD15094"/>
    <w:multiLevelType w:val="hybridMultilevel"/>
    <w:lvl w:ilvl="0">
      <w:lvlJc w:val="left"/>
      <w:lvlText w:val="(%1)"/>
      <w:numFmt w:val="lowerRoman"/>
      <w:start w:val="2"/>
    </w:lvl>
  </w:abstractNum>
  <w:abstractNum w:abstractNumId="112">
    <w:nsid w:val="3DB012B3"/>
    <w:multiLevelType w:val="hybridMultilevel"/>
    <w:lvl w:ilvl="0">
      <w:lvlJc w:val="left"/>
      <w:lvlText w:val="%1."/>
      <w:numFmt w:val="decimal"/>
      <w:start w:val="2"/>
    </w:lvl>
  </w:abstractNum>
  <w:abstractNum w:abstractNumId="113">
    <w:nsid w:val="2708C9AF"/>
    <w:multiLevelType w:val="hybridMultilevel"/>
    <w:lvl w:ilvl="0">
      <w:lvlJc w:val="left"/>
      <w:lvlText w:val="%1."/>
      <w:numFmt w:val="decimal"/>
      <w:start w:val="1"/>
    </w:lvl>
  </w:abstractNum>
  <w:abstractNum w:abstractNumId="114">
    <w:nsid w:val="5B25ACE2"/>
    <w:multiLevelType w:val="hybridMultilevel"/>
    <w:lvl w:ilvl="0">
      <w:lvlJc w:val="left"/>
      <w:lvlText w:val="(%1)"/>
      <w:numFmt w:val="lowerRoman"/>
      <w:start w:val="2"/>
    </w:lvl>
  </w:abstractNum>
  <w:abstractNum w:abstractNumId="115">
    <w:nsid w:val="175DFCF0"/>
    <w:multiLevelType w:val="hybridMultilevel"/>
    <w:lvl w:ilvl="0">
      <w:lvlJc w:val="left"/>
      <w:lvlText w:val="%1."/>
      <w:numFmt w:val="decimal"/>
      <w:start w:val="1"/>
    </w:lvl>
  </w:abstractNum>
  <w:abstractNum w:abstractNumId="116">
    <w:nsid w:val="4F97E3E4"/>
    <w:multiLevelType w:val="hybridMultilevel"/>
    <w:lvl w:ilvl="0">
      <w:lvlJc w:val="left"/>
      <w:lvlText w:val="(%1)"/>
      <w:numFmt w:val="upperLetter"/>
      <w:start w:val="1"/>
    </w:lvl>
  </w:abstractNum>
  <w:abstractNum w:abstractNumId="117">
    <w:nsid w:val="53B0A9E"/>
    <w:multiLevelType w:val="hybridMultilevel"/>
    <w:lvl w:ilvl="0">
      <w:lvlJc w:val="left"/>
      <w:lvlText w:val="(%1)"/>
      <w:numFmt w:val="upperLetter"/>
      <w:start w:val="2"/>
    </w:lvl>
  </w:abstractNum>
  <w:abstractNum w:abstractNumId="118">
    <w:nsid w:val="34FD6B4F"/>
    <w:multiLevelType w:val="hybridMultilevel"/>
    <w:lvl w:ilvl="0">
      <w:lvlJc w:val="left"/>
      <w:lvlText w:val="(%1)"/>
      <w:numFmt w:val="upperLetter"/>
      <w:start w:val="3"/>
    </w:lvl>
  </w:abstractNum>
  <w:abstractNum w:abstractNumId="119">
    <w:nsid w:val="5915FF32"/>
    <w:multiLevelType w:val="hybridMultilevel"/>
    <w:lvl w:ilvl="0">
      <w:lvlJc w:val="left"/>
      <w:lvlText w:val="(%1)"/>
      <w:numFmt w:val="upperLetter"/>
      <w:start w:val="4"/>
    </w:lvl>
  </w:abstractNum>
  <w:abstractNum w:abstractNumId="120">
    <w:nsid w:val="56438D15"/>
    <w:multiLevelType w:val="hybridMultilevel"/>
    <w:lvl w:ilvl="0">
      <w:lvlJc w:val="left"/>
      <w:lvlText w:val="(%1)"/>
      <w:numFmt w:val="upperLetter"/>
      <w:start w:val="5"/>
    </w:lvl>
  </w:abstractNum>
  <w:abstractNum w:abstractNumId="121">
    <w:nsid w:val="519E3149"/>
    <w:multiLevelType w:val="hybridMultilevel"/>
    <w:lvl w:ilvl="0">
      <w:lvlJc w:val="left"/>
      <w:lvlText w:val="1"/>
      <w:numFmt w:val="bullet"/>
      <w:start w:val="1"/>
    </w:lvl>
  </w:abstractNum>
  <w:abstractNum w:abstractNumId="122">
    <w:nsid w:val="2C6E4AFD"/>
    <w:multiLevelType w:val="hybridMultilevel"/>
    <w:lvl w:ilvl="0">
      <w:lvlJc w:val="left"/>
      <w:lvlText w:val="2"/>
      <w:numFmt w:val="bullet"/>
      <w:start w:val="1"/>
    </w:lvl>
  </w:abstractNum>
  <w:abstractNum w:abstractNumId="123">
    <w:nsid w:val="17A1B582"/>
    <w:multiLevelType w:val="hybridMultilevel"/>
    <w:lvl w:ilvl="0">
      <w:lvlJc w:val="left"/>
      <w:lvlText w:val="(%1)"/>
      <w:numFmt w:val="upperLetter"/>
      <w:start w:val="1"/>
    </w:lvl>
  </w:abstractNum>
  <w:abstractNum w:abstractNumId="124">
    <w:nsid w:val="4DF72E4E"/>
    <w:multiLevelType w:val="hybridMultilevel"/>
    <w:lvl w:ilvl="0">
      <w:lvlJc w:val="left"/>
      <w:lvlText w:val="(%1)"/>
      <w:numFmt w:val="upperLetter"/>
      <w:start w:val="2"/>
    </w:lvl>
  </w:abstractNum>
  <w:abstractNum w:abstractNumId="125">
    <w:nsid w:val="5046B5A9"/>
    <w:multiLevelType w:val="hybridMultilevel"/>
    <w:lvl w:ilvl="0">
      <w:lvlJc w:val="left"/>
      <w:lvlText w:val="(%1)"/>
      <w:numFmt w:val="upperLetter"/>
      <w:start w:val="3"/>
    </w:lvl>
  </w:abstractNum>
  <w:abstractNum w:abstractNumId="126">
    <w:nsid w:val="5D888A08"/>
    <w:multiLevelType w:val="hybridMultilevel"/>
    <w:lvl w:ilvl="0">
      <w:lvlJc w:val="left"/>
      <w:lvlText w:val="(%1)"/>
      <w:numFmt w:val="upperLetter"/>
      <w:start w:val="4"/>
    </w:lvl>
  </w:abstractNum>
  <w:abstractNum w:abstractNumId="127">
    <w:nsid w:val="2A082C70"/>
    <w:multiLevelType w:val="hybridMultilevel"/>
    <w:lvl w:ilvl="0">
      <w:lvlJc w:val="left"/>
      <w:lvlText w:val="(%1)"/>
      <w:numFmt w:val="upperLetter"/>
      <w:start w:val="5"/>
    </w:lvl>
  </w:abstractNum>
  <w:abstractNum w:abstractNumId="128">
    <w:nsid w:val="5EC6AFD4"/>
    <w:multiLevelType w:val="hybridMultilevel"/>
    <w:lvl w:ilvl="0">
      <w:lvlJc w:val="left"/>
      <w:lvlText w:val="1"/>
      <w:numFmt w:val="bullet"/>
      <w:start w:val="1"/>
    </w:lvl>
  </w:abstractNum>
  <w:abstractNum w:abstractNumId="129">
    <w:nsid w:val="19E21BB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2026-03-23T15:11:15Z</dcterms:created>
  <dcterms:modified xsi:type="dcterms:W3CDTF">2026-03-23T15:11:15Z</dcterms:modified>
</cp:coreProperties>
</file>