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60" w:type="dxa"/>
            <w:vAlign w:val="bottom"/>
          </w:tcPr>
          <w:p>
            <w:pPr>
              <w:ind w:left="7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5608320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17145</wp:posOffset>
            </wp:positionV>
            <wp:extent cx="7019290" cy="37560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75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8"/>
                </w:rPr>
                <w:t>Harvey Rory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restart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7"/>
          <w:szCs w:val="17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7"/>
            <w:szCs w:val="17"/>
            <w:color w:val="0000EE"/>
          </w:rPr>
          <w:t xml:space="preserve"> </w:t>
        </w:r>
      </w:hyperlink>
      <w:r>
        <w:rPr>
          <w:rFonts w:ascii="Arial" w:cs="Arial" w:eastAsia="Arial" w:hAnsi="Arial"/>
          <w:sz w:val="17"/>
          <w:szCs w:val="17"/>
          <w:color w:val="000000"/>
        </w:rPr>
        <w:t>[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GM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00"/>
        </w:rPr>
        <w:t>]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Relationship of Reporting Person(s) to Issuer</w:t>
            </w:r>
          </w:p>
        </w:tc>
        <w:tc>
          <w:tcPr>
            <w:tcW w:w="2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If Amendment, Date of Original Filed (Month/Day/Year)</w:t>
            </w:r>
          </w:p>
        </w:tc>
      </w:tr>
      <w:tr>
        <w:trPr>
          <w:trHeight w:val="130"/>
        </w:trPr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5"/>
        </w:trPr>
        <w:tc>
          <w:tcPr>
            <w:tcW w:w="4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ind w:left="50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below)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Executive Vice President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6. 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460"/>
        <w:spacing w:after="0"/>
        <w:tabs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80" w:space="340"/>
            <w:col w:w="600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13,779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 Stock Option (Right to Buy)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1"/>
              </w:rPr>
              <w:t>02/13/2029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3,655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39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 Stock Option (Right to Buy)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1"/>
              </w:rPr>
              <w:t>02/12/2030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10,952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35.49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 Stock Option (Right to Buy)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1"/>
              </w:rPr>
              <w:t>02/18/2031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6,600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52.16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 Stock Option (Right to Buy)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1"/>
              </w:rPr>
              <w:t>02/08/2032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13,378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49.46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 Stock Option (Right to Buy)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1"/>
              </w:rPr>
              <w:t>02/07/2033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16,956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41.4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These Stock Options were granted on February 13, 2019 and are fully vested.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These Stock Options were granted on February 12, 2020 and are fully vested.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These Stock Options were granted on February 18, 2021. Two-thirds have vested, and one-third will vest on February 18, 2024.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These Stock Options were granted on February 8, 2022. One-third has vested; one-third will vest on February 8, 2024; and one-third will vest February 8, 2025.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These Stock Options were granted on February 7, 2023. One-third will vest on February 7, 2024; one-third will vest on February 7, 2025; and one-third will vest on February 7, 2026.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ind w:left="662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 xml:space="preserve">/s/ Tia Y. Turk, Attorney-in-Fact for Mr. </w:t>
      </w:r>
      <w:r>
        <w:rPr>
          <w:rFonts w:ascii="Arial" w:cs="Arial" w:eastAsia="Arial" w:hAnsi="Arial"/>
          <w:sz w:val="26"/>
          <w:szCs w:val="26"/>
          <w:color w:val="0000FF"/>
          <w:vertAlign w:val="subscript"/>
        </w:rPr>
        <w:t>06/06/2023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6144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Harvey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25146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976795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2023-06-06T16:09:01Z</dcterms:created>
  <dcterms:modified xsi:type="dcterms:W3CDTF">2023-06-06T16:09:01Z</dcterms:modified>
</cp:coreProperties>
</file>