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81280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127000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3011805</wp:posOffset>
            </wp:positionH>
            <wp:positionV relativeFrom="paragraph">
              <wp:posOffset>295910</wp:posOffset>
            </wp:positionV>
            <wp:extent cx="1593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99"/>
        <w:spacing w:after="0"/>
        <w:rPr>
          <w:sz w:val="20"/>
          <w:szCs w:val="20"/>
          <w:color w:val="auto"/>
        </w:rPr>
      </w:pPr>
      <w:r>
        <w:rPr>
          <w:rFonts w:ascii="Arial" w:cs="Arial" w:eastAsia="Arial" w:hAnsi="Arial"/>
          <w:sz w:val="34"/>
          <w:szCs w:val="34"/>
          <w:b w:val="1"/>
          <w:bCs w:val="1"/>
          <w:color w:val="auto"/>
        </w:rPr>
        <w:t>SCHEDULE 13G</w:t>
      </w:r>
    </w:p>
    <w:p>
      <w:pPr>
        <w:spacing w:after="0" w:line="36" w:lineRule="exact"/>
        <w:rPr>
          <w:sz w:val="24"/>
          <w:szCs w:val="24"/>
          <w:color w:val="auto"/>
        </w:rPr>
      </w:pPr>
    </w:p>
    <w:p>
      <w:pPr>
        <w:ind w:left="5280"/>
        <w:spacing w:after="0"/>
        <w:rPr>
          <w:sz w:val="20"/>
          <w:szCs w:val="20"/>
          <w:color w:val="auto"/>
        </w:rPr>
      </w:pPr>
      <w:r>
        <w:rPr>
          <w:rFonts w:ascii="Arial" w:cs="Arial" w:eastAsia="Arial" w:hAnsi="Arial"/>
          <w:sz w:val="23"/>
          <w:szCs w:val="23"/>
          <w:b w:val="1"/>
          <w:bCs w:val="1"/>
          <w:color w:val="auto"/>
        </w:rPr>
        <w:t>(Rule 13d-102)</w:t>
      </w:r>
    </w:p>
    <w:p>
      <w:pPr>
        <w:spacing w:after="0" w:line="194" w:lineRule="exact"/>
        <w:rPr>
          <w:sz w:val="24"/>
          <w:szCs w:val="24"/>
          <w:color w:val="auto"/>
        </w:rPr>
      </w:pPr>
    </w:p>
    <w:p>
      <w:pPr>
        <w:ind w:left="2180"/>
        <w:spacing w:after="0"/>
        <w:rPr>
          <w:sz w:val="20"/>
          <w:szCs w:val="20"/>
          <w:color w:val="auto"/>
        </w:rPr>
      </w:pPr>
      <w:r>
        <w:rPr>
          <w:rFonts w:ascii="Arial" w:cs="Arial" w:eastAsia="Arial" w:hAnsi="Arial"/>
          <w:sz w:val="23"/>
          <w:szCs w:val="23"/>
          <w:b w:val="1"/>
          <w:bCs w:val="1"/>
          <w:color w:val="auto"/>
        </w:rPr>
        <w:t>INFORMATION TO BE INCLUDED IN STATEMENTS FILED PURSUANT</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TO § 240.13d-1(b), (c) AND (d) AND AMENDMENTS THERETO FILED</w:t>
      </w:r>
    </w:p>
    <w:p>
      <w:pPr>
        <w:jc w:val="center"/>
        <w:ind w:right="-99"/>
        <w:spacing w:after="0"/>
        <w:rPr>
          <w:sz w:val="20"/>
          <w:szCs w:val="20"/>
          <w:color w:val="auto"/>
        </w:rPr>
      </w:pPr>
      <w:r>
        <w:rPr>
          <w:rFonts w:ascii="Arial" w:cs="Arial" w:eastAsia="Arial" w:hAnsi="Arial"/>
          <w:sz w:val="23"/>
          <w:szCs w:val="23"/>
          <w:b w:val="1"/>
          <w:bCs w:val="1"/>
          <w:color w:val="auto"/>
        </w:rPr>
        <w:t>PURSUANT TO § 240.13d-2</w:t>
      </w:r>
    </w:p>
    <w:p>
      <w:pPr>
        <w:spacing w:after="0" w:line="194" w:lineRule="exact"/>
        <w:rPr>
          <w:sz w:val="24"/>
          <w:szCs w:val="24"/>
          <w:color w:val="auto"/>
        </w:rPr>
      </w:pPr>
    </w:p>
    <w:p>
      <w:pPr>
        <w:jc w:val="center"/>
        <w:ind w:right="-79"/>
        <w:spacing w:after="0"/>
        <w:tabs>
          <w:tab w:leader="none" w:pos="220" w:val="left"/>
        </w:tabs>
        <w:rPr>
          <w:sz w:val="20"/>
          <w:szCs w:val="20"/>
          <w:color w:val="auto"/>
        </w:rPr>
      </w:pPr>
      <w:r>
        <w:rPr>
          <w:rFonts w:ascii="Arial" w:cs="Arial" w:eastAsia="Arial" w:hAnsi="Arial"/>
          <w:sz w:val="23"/>
          <w:szCs w:val="23"/>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3011805</wp:posOffset>
            </wp:positionH>
            <wp:positionV relativeFrom="paragraph">
              <wp:posOffset>312420</wp:posOffset>
            </wp:positionV>
            <wp:extent cx="1593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79"/>
        <w:spacing w:after="0"/>
        <w:rPr>
          <w:sz w:val="20"/>
          <w:szCs w:val="20"/>
          <w:color w:val="auto"/>
        </w:rPr>
      </w:pPr>
      <w:r>
        <w:rPr>
          <w:rFonts w:ascii="Arial" w:cs="Arial" w:eastAsia="Arial" w:hAnsi="Arial"/>
          <w:sz w:val="42"/>
          <w:szCs w:val="42"/>
          <w:b w:val="1"/>
          <w:bCs w:val="1"/>
          <w:color w:val="auto"/>
        </w:rPr>
        <w:t>GENERAL MOTORS COMPANY</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3011805</wp:posOffset>
            </wp:positionH>
            <wp:positionV relativeFrom="paragraph">
              <wp:posOffset>313055</wp:posOffset>
            </wp:positionV>
            <wp:extent cx="1593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(Title of Class of Securities)</w:t>
      </w:r>
    </w:p>
    <w:p>
      <w:pPr>
        <w:spacing w:after="0" w:line="27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37045V100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(CUSIP Number)</w:t>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December 31, 2018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3011805</wp:posOffset>
            </wp:positionH>
            <wp:positionV relativeFrom="paragraph">
              <wp:posOffset>293370</wp:posOffset>
            </wp:positionV>
            <wp:extent cx="1593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Check the appropriate box to designate the rule pursuant to which this Schedule is filed:</w:t>
      </w:r>
    </w:p>
    <w:p>
      <w:pPr>
        <w:spacing w:after="0" w:line="238" w:lineRule="exact"/>
        <w:rPr>
          <w:sz w:val="24"/>
          <w:szCs w:val="24"/>
          <w:color w:val="auto"/>
        </w:rPr>
      </w:pPr>
    </w:p>
    <w:p>
      <w:pPr>
        <w:ind w:left="1180" w:hanging="225"/>
        <w:spacing w:after="0"/>
        <w:tabs>
          <w:tab w:leader="none" w:pos="11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Rule 13d-1 (b)</w:t>
      </w:r>
    </w:p>
    <w:p>
      <w:pPr>
        <w:spacing w:after="0" w:line="238" w:lineRule="exact"/>
        <w:rPr>
          <w:sz w:val="24"/>
          <w:szCs w:val="24"/>
          <w:color w:val="auto"/>
        </w:rPr>
      </w:pPr>
    </w:p>
    <w:p>
      <w:pPr>
        <w:ind w:left="1180" w:hanging="225"/>
        <w:spacing w:after="0"/>
        <w:tabs>
          <w:tab w:leader="none" w:pos="1180" w:val="left"/>
        </w:tabs>
        <w:numPr>
          <w:ilvl w:val="1"/>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Rule 13d-1 (c)</w:t>
      </w:r>
    </w:p>
    <w:p>
      <w:pPr>
        <w:spacing w:after="0" w:line="237" w:lineRule="exact"/>
        <w:rPr>
          <w:rFonts w:ascii="MS PGothic" w:cs="MS PGothic" w:eastAsia="MS PGothic" w:hAnsi="MS PGothic"/>
          <w:sz w:val="19"/>
          <w:szCs w:val="19"/>
          <w:color w:val="auto"/>
        </w:rPr>
      </w:pPr>
    </w:p>
    <w:p>
      <w:pPr>
        <w:ind w:left="1180" w:hanging="225"/>
        <w:spacing w:after="0"/>
        <w:tabs>
          <w:tab w:leader="none" w:pos="1180" w:val="left"/>
        </w:tabs>
        <w:numPr>
          <w:ilvl w:val="1"/>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Rule 13d-1 (d)</w:t>
      </w:r>
    </w:p>
    <w:p>
      <w:pPr>
        <w:spacing w:after="0" w:line="272" w:lineRule="exact"/>
        <w:rPr>
          <w:rFonts w:ascii="MS PGothic" w:cs="MS PGothic" w:eastAsia="MS PGothic" w:hAnsi="MS PGothic"/>
          <w:sz w:val="19"/>
          <w:szCs w:val="19"/>
          <w:color w:val="auto"/>
        </w:rPr>
      </w:pPr>
    </w:p>
    <w:p>
      <w:pPr>
        <w:ind w:left="460" w:hanging="471"/>
        <w:spacing w:after="0" w:line="275" w:lineRule="auto"/>
        <w:rPr>
          <w:rFonts w:ascii="MS PGothic" w:cs="MS PGothic" w:eastAsia="MS PGothic" w:hAnsi="MS PGothic"/>
          <w:sz w:val="19"/>
          <w:szCs w:val="19"/>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4" w:lineRule="exact"/>
        <w:rPr>
          <w:sz w:val="24"/>
          <w:szCs w:val="24"/>
          <w:color w:val="auto"/>
        </w:rPr>
      </w:pPr>
    </w:p>
    <w:p>
      <w:pPr>
        <w:ind w:right="40"/>
        <w:spacing w:after="0" w:line="263" w:lineRule="auto"/>
        <w:rPr>
          <w:sz w:val="20"/>
          <w:szCs w:val="20"/>
          <w:color w:val="auto"/>
        </w:rPr>
      </w:pPr>
      <w:r>
        <w:rPr>
          <w:rFonts w:ascii="Arial" w:cs="Arial" w:eastAsia="Arial" w:hAnsi="Arial"/>
          <w:sz w:val="19"/>
          <w:szCs w:val="19"/>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00"/>
          </w:cols>
          <w:pgMar w:left="120" w:top="396" w:right="22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2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Warren E. Buffett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70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60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United States Citizen</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100" w:type="dxa"/>
            <w:vAlign w:val="bottom"/>
          </w:tcPr>
          <w:p>
            <w:pPr>
              <w:spacing w:after="0"/>
              <w:rPr>
                <w:sz w:val="21"/>
                <w:szCs w:val="21"/>
                <w:color w:val="auto"/>
              </w:rPr>
            </w:pPr>
          </w:p>
        </w:tc>
        <w:tc>
          <w:tcPr>
            <w:tcW w:w="9960" w:type="dxa"/>
            <w:vAlign w:val="bottom"/>
          </w:tcPr>
          <w:p>
            <w:pPr>
              <w:ind w:left="2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ind w:left="2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100" w:type="dxa"/>
            <w:vAlign w:val="bottom"/>
          </w:tcPr>
          <w:p>
            <w:pPr>
              <w:spacing w:after="0"/>
              <w:rPr>
                <w:sz w:val="4"/>
                <w:szCs w:val="4"/>
                <w:color w:val="auto"/>
              </w:rPr>
            </w:pPr>
          </w:p>
        </w:tc>
        <w:tc>
          <w:tcPr>
            <w:tcW w:w="99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960" w:type="dxa"/>
            <w:vAlign w:val="bottom"/>
            <w:vMerge w:val="restart"/>
          </w:tcPr>
          <w:p>
            <w:pPr>
              <w:ind w:left="20"/>
              <w:spacing w:after="0"/>
              <w:rPr>
                <w:sz w:val="20"/>
                <w:szCs w:val="20"/>
                <w:color w:val="auto"/>
              </w:rPr>
            </w:pPr>
            <w:r>
              <w:rPr>
                <w:rFonts w:ascii="Arial" w:cs="Arial" w:eastAsia="Arial" w:hAnsi="Arial"/>
                <w:sz w:val="23"/>
                <w:szCs w:val="23"/>
                <w:color w:val="auto"/>
              </w:rPr>
              <w:t>72,269,696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100" w:type="dxa"/>
            <w:vAlign w:val="bottom"/>
          </w:tcPr>
          <w:p>
            <w:pPr>
              <w:spacing w:after="0"/>
              <w:rPr>
                <w:sz w:val="16"/>
                <w:szCs w:val="16"/>
                <w:color w:val="auto"/>
              </w:rPr>
            </w:pPr>
          </w:p>
        </w:tc>
        <w:tc>
          <w:tcPr>
            <w:tcW w:w="9960" w:type="dxa"/>
            <w:vAlign w:val="bottom"/>
          </w:tcPr>
          <w:p>
            <w:pPr>
              <w:ind w:left="2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960" w:type="dxa"/>
            <w:vAlign w:val="bottom"/>
          </w:tcPr>
          <w:p>
            <w:pPr>
              <w:ind w:left="2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100" w:type="dxa"/>
            <w:vAlign w:val="bottom"/>
          </w:tcPr>
          <w:p>
            <w:pPr>
              <w:spacing w:after="0"/>
              <w:rPr>
                <w:sz w:val="13"/>
                <w:szCs w:val="13"/>
                <w:color w:val="auto"/>
              </w:rPr>
            </w:pPr>
          </w:p>
        </w:tc>
        <w:tc>
          <w:tcPr>
            <w:tcW w:w="99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ind w:left="20"/>
              <w:spacing w:after="0"/>
              <w:rPr>
                <w:sz w:val="20"/>
                <w:szCs w:val="20"/>
                <w:color w:val="auto"/>
              </w:rPr>
            </w:pPr>
            <w:r>
              <w:rPr>
                <w:rFonts w:ascii="Arial" w:cs="Arial" w:eastAsia="Arial" w:hAnsi="Arial"/>
                <w:sz w:val="23"/>
                <w:szCs w:val="23"/>
                <w:color w:val="auto"/>
              </w:rPr>
              <w:t>72,269,696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72,269,696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8"/>
              </w:rPr>
              <w:t>Not Applicable.</w:t>
            </w: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5.1%</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IN</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3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Berkshire Hathaway Inc.</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Delaware</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72,269,696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72,269,696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72,269,696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5.1%</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w w:val="96"/>
              </w:rPr>
              <w:t>HC,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4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National Indemnity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Nebraska</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36,873,358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36,873,358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36,873,358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2.6%</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5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Corporation</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Delaware</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24,887,209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24,887,209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24,887,209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1.8%</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w w:val="96"/>
              </w:rPr>
              <w:t>HC,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6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Government Employees Insurance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Maryland</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11,739,909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11,739,909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11,739,909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0.8%</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7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Indemnity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Maryland</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7,945,845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7,945,845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7,945,845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0.6%</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8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National Fire &amp; Marine Insurance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Nebraska</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8,402,338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8,402,338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8,402,338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0.6%</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37054V100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9"/>
                <w:szCs w:val="19"/>
                <w:b w:val="1"/>
                <w:bCs w:val="1"/>
                <w:color w:val="auto"/>
                <w:w w:val="87"/>
              </w:rPr>
              <w:t>Page 9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Casualty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Maryland</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3,869,700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3,869,700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3,869,700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0.3%</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10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Secure Insurance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Nebraska</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435,400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435,400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435,400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9"/>
                <w:szCs w:val="19"/>
                <w:b w:val="1"/>
                <w:bCs w:val="1"/>
                <w:color w:val="auto"/>
                <w:w w:val="86"/>
              </w:rPr>
              <w:t>Page 11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Advantage Insurance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Nebraska</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447,170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447,170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447,170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12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Choice Insurance Company</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Nebraska</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449,185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449,185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449,185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IC, CO</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13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The Buffalo News Drivers/Distributors Pension Plan</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New York</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26,000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26,000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rPr>
              <w:t>26,000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14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BNSF Master Retirement Trust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8"/>
              </w:rPr>
              <w:t>State of Texas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8,100,000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8,100,000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8,100,000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0.6%</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15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Buffalo News Mechanical Pension Plan</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New York</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60,000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60,000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rPr>
              <w:t>60,000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16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GEICO Corporation Pension Plan Trust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Delaware</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5,000,000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5,000,000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5,000,000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r>
              <w:rPr>
                <w:rFonts w:ascii="Arial" w:cs="Arial" w:eastAsia="Arial" w:hAnsi="Arial"/>
                <w:sz w:val="23"/>
                <w:szCs w:val="23"/>
                <w:color w:val="auto"/>
                <w:w w:val="89"/>
              </w:rPr>
              <w:t>.</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0.4%</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17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Lubrizol Master Trust Pension</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rPr>
              <w:t>State of Ohio</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2,300,000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2,300,000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2,300,000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0.2%</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18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Scott Fetzer Collective Investment Trust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rPr>
              <w:t>State of Ohio</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100,000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100,000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100,000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19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Acme Brick Company Pension Trust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8"/>
              </w:rPr>
              <w:t>State of Texas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125,000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125,000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125,000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20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The Buffalo News Editorial Pension Plan</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New York</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83,000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83,000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rPr>
              <w:t>83,000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21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The Buffalo News Office Pension Plan</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New York</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150,000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150,000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150,000 shares</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92"/>
              </w:rPr>
              <w:t>Less than 0.1%</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22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Precision Castparts Corp. Master Trust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color w:val="auto"/>
                <w:w w:val="89"/>
              </w:rPr>
              <w:t>State of Oregon</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2,950,000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2,950,000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2,950,000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0.2%</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12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37045V100</w:t>
            </w:r>
          </w:p>
        </w:tc>
        <w:tc>
          <w:tcPr>
            <w:tcW w:w="1700" w:type="dxa"/>
            <w:vAlign w:val="bottom"/>
          </w:tcPr>
          <w:p>
            <w:pPr>
              <w:spacing w:after="0"/>
              <w:rPr>
                <w:sz w:val="22"/>
                <w:szCs w:val="22"/>
                <w:color w:val="auto"/>
              </w:rPr>
            </w:pPr>
          </w:p>
        </w:tc>
        <w:tc>
          <w:tcPr>
            <w:tcW w:w="4520" w:type="dxa"/>
            <w:vAlign w:val="bottom"/>
            <w:tcBorders>
              <w:right w:val="single" w:sz="8" w:color="auto"/>
            </w:tcBorders>
          </w:tcPr>
          <w:p>
            <w:pPr>
              <w:ind w:left="1280"/>
              <w:spacing w:after="0"/>
              <w:rPr>
                <w:sz w:val="20"/>
                <w:szCs w:val="20"/>
                <w:color w:val="auto"/>
              </w:rPr>
            </w:pPr>
            <w:r>
              <w:rPr>
                <w:rFonts w:ascii="Arial" w:cs="Arial" w:eastAsia="Arial" w:hAnsi="Arial"/>
                <w:sz w:val="19"/>
                <w:szCs w:val="19"/>
                <w:b w:val="1"/>
                <w:bCs w:val="1"/>
                <w:color w:val="auto"/>
              </w:rPr>
              <w:t>13G</w:t>
            </w:r>
          </w:p>
        </w:tc>
        <w:tc>
          <w:tcPr>
            <w:tcW w:w="27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9"/>
                <w:szCs w:val="19"/>
                <w:b w:val="1"/>
                <w:bCs w:val="1"/>
                <w:color w:val="auto"/>
                <w:w w:val="87"/>
              </w:rPr>
              <w:t>Page 23 of 28 Pages</w:t>
            </w:r>
          </w:p>
        </w:tc>
      </w:tr>
      <w:tr>
        <w:trPr>
          <w:trHeight w:val="38"/>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52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1"/>
        </w:trPr>
        <w:tc>
          <w:tcPr>
            <w:tcW w:w="4740" w:type="dxa"/>
            <w:vAlign w:val="bottom"/>
            <w:tcBorders>
              <w:bottom w:val="single" w:sz="8" w:color="auto"/>
            </w:tcBorders>
            <w:gridSpan w:val="3"/>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r>
      <w:tr>
        <w:trPr>
          <w:trHeight w:val="242"/>
        </w:trPr>
        <w:tc>
          <w:tcPr>
            <w:tcW w:w="4740" w:type="dxa"/>
            <w:vAlign w:val="bottom"/>
            <w:gridSpan w:val="3"/>
          </w:tcPr>
          <w:p>
            <w:pPr>
              <w:ind w:left="260"/>
              <w:spacing w:after="0"/>
              <w:rPr>
                <w:sz w:val="20"/>
                <w:szCs w:val="20"/>
                <w:color w:val="auto"/>
              </w:rPr>
            </w:pPr>
            <w:r>
              <w:rPr>
                <w:rFonts w:ascii="Arial" w:cs="Arial" w:eastAsia="Arial" w:hAnsi="Arial"/>
                <w:sz w:val="19"/>
                <w:szCs w:val="19"/>
                <w:b w:val="1"/>
                <w:bCs w:val="1"/>
                <w:color w:val="auto"/>
              </w:rPr>
              <w:t>1  NAME OF REPORTING PERSON</w:t>
            </w:r>
          </w:p>
        </w:tc>
        <w:tc>
          <w:tcPr>
            <w:tcW w:w="4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-165735</wp:posOffset>
            </wp:positionV>
            <wp:extent cx="8890" cy="1783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7621270</wp:posOffset>
            </wp:positionH>
            <wp:positionV relativeFrom="paragraph">
              <wp:posOffset>-165735</wp:posOffset>
            </wp:positionV>
            <wp:extent cx="8890" cy="5695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5695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8890" cy="5695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56959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Berkshire Hathaway Consolidated Pension Plan Master Trust</w:t>
            </w:r>
          </w:p>
        </w:tc>
        <w:tc>
          <w:tcPr>
            <w:tcW w:w="0" w:type="dxa"/>
            <w:vAlign w:val="bottom"/>
          </w:tcPr>
          <w:p>
            <w:pPr>
              <w:spacing w:after="0"/>
              <w:rPr>
                <w:sz w:val="1"/>
                <w:szCs w:val="1"/>
                <w:color w:val="auto"/>
              </w:rPr>
            </w:pPr>
          </w:p>
        </w:tc>
      </w:tr>
      <w:tr>
        <w:trPr>
          <w:trHeight w:val="175"/>
        </w:trPr>
        <w:tc>
          <w:tcPr>
            <w:tcW w:w="360" w:type="dxa"/>
            <w:vAlign w:val="bottom"/>
          </w:tcPr>
          <w:p>
            <w:pPr>
              <w:jc w:val="right"/>
              <w:spacing w:after="0" w:line="175" w:lineRule="exact"/>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5"/>
                <w:szCs w:val="15"/>
                <w:color w:val="auto"/>
              </w:rPr>
            </w:pPr>
          </w:p>
        </w:tc>
        <w:tc>
          <w:tcPr>
            <w:tcW w:w="11560" w:type="dxa"/>
            <w:vAlign w:val="bottom"/>
            <w:gridSpan w:val="5"/>
          </w:tcPr>
          <w:p>
            <w:pPr>
              <w:ind w:left="100"/>
              <w:spacing w:after="0" w:line="175" w:lineRule="exact"/>
              <w:rPr>
                <w:sz w:val="20"/>
                <w:szCs w:val="20"/>
                <w:color w:val="auto"/>
              </w:rPr>
            </w:pPr>
            <w:r>
              <w:rPr>
                <w:rFonts w:ascii="Arial" w:cs="Arial" w:eastAsia="Arial" w:hAnsi="Arial"/>
                <w:sz w:val="19"/>
                <w:szCs w:val="19"/>
                <w:b w:val="1"/>
                <w:bCs w:val="1"/>
                <w:color w:val="auto"/>
              </w:rPr>
              <w:t>CHECK THE APPROPRIATE BOX IF A MEMBER OF A GROUP</w:t>
            </w:r>
          </w:p>
        </w:tc>
        <w:tc>
          <w:tcPr>
            <w:tcW w:w="0" w:type="dxa"/>
            <w:vAlign w:val="bottom"/>
          </w:tcPr>
          <w:p>
            <w:pPr>
              <w:spacing w:after="0"/>
              <w:rPr>
                <w:sz w:val="1"/>
                <w:szCs w:val="1"/>
                <w:color w:val="auto"/>
              </w:rPr>
            </w:pPr>
          </w:p>
        </w:tc>
      </w:tr>
      <w:tr>
        <w:trPr>
          <w:trHeight w:val="29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00"/>
              <w:spacing w:after="0" w:line="219" w:lineRule="exact"/>
              <w:rPr>
                <w:sz w:val="20"/>
                <w:szCs w:val="20"/>
                <w:color w:val="auto"/>
              </w:rPr>
            </w:pPr>
            <w:r>
              <w:rPr>
                <w:rFonts w:ascii="Arial" w:cs="Arial" w:eastAsia="Arial" w:hAnsi="Arial"/>
                <w:sz w:val="19"/>
                <w:szCs w:val="19"/>
                <w:b w:val="1"/>
                <w:bCs w:val="1"/>
                <w:color w:val="auto"/>
              </w:rPr>
              <w:t xml:space="preserve">(a) </w:t>
            </w:r>
            <w:r>
              <w:rPr>
                <w:rFonts w:ascii="MS PGothic" w:cs="MS PGothic" w:eastAsia="MS PGothic" w:hAnsi="MS PGothic"/>
                <w:sz w:val="19"/>
                <w:szCs w:val="19"/>
                <w:color w:val="auto"/>
              </w:rPr>
              <w:t>☒</w:t>
            </w:r>
          </w:p>
        </w:tc>
        <w:tc>
          <w:tcPr>
            <w:tcW w:w="680" w:type="dxa"/>
            <w:vAlign w:val="bottom"/>
            <w:gridSpan w:val="3"/>
          </w:tcPr>
          <w:p>
            <w:pPr>
              <w:ind w:left="80"/>
              <w:spacing w:after="0" w:line="219" w:lineRule="exact"/>
              <w:rPr>
                <w:sz w:val="20"/>
                <w:szCs w:val="20"/>
                <w:color w:val="auto"/>
              </w:rPr>
            </w:pPr>
            <w:r>
              <w:rPr>
                <w:rFonts w:ascii="Arial" w:cs="Arial" w:eastAsia="Arial" w:hAnsi="Arial"/>
                <w:sz w:val="19"/>
                <w:szCs w:val="19"/>
                <w:b w:val="1"/>
                <w:bCs w:val="1"/>
                <w:color w:val="auto"/>
              </w:rPr>
              <w:t xml:space="preserve">(b) </w:t>
            </w:r>
            <w:r>
              <w:rPr>
                <w:rFonts w:ascii="MS PGothic" w:cs="MS PGothic" w:eastAsia="MS PGothic" w:hAnsi="MS PGothic"/>
                <w:sz w:val="19"/>
                <w:szCs w:val="19"/>
                <w:color w:val="auto"/>
              </w:rPr>
              <w:t>☐</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100" w:type="dxa"/>
            <w:vAlign w:val="bottom"/>
          </w:tcPr>
          <w:p>
            <w:pPr>
              <w:spacing w:after="0"/>
              <w:rPr>
                <w:sz w:val="21"/>
                <w:szCs w:val="21"/>
                <w:color w:val="auto"/>
              </w:rPr>
            </w:pPr>
          </w:p>
        </w:tc>
        <w:tc>
          <w:tcPr>
            <w:tcW w:w="1580" w:type="dxa"/>
            <w:vAlign w:val="bottom"/>
            <w:gridSpan w:val="4"/>
          </w:tcPr>
          <w:p>
            <w:pPr>
              <w:ind w:left="100"/>
              <w:spacing w:after="0"/>
              <w:rPr>
                <w:sz w:val="20"/>
                <w:szCs w:val="20"/>
                <w:color w:val="auto"/>
              </w:rPr>
            </w:pPr>
            <w:r>
              <w:rPr>
                <w:rFonts w:ascii="Arial" w:cs="Arial" w:eastAsia="Arial" w:hAnsi="Arial"/>
                <w:sz w:val="19"/>
                <w:szCs w:val="19"/>
                <w:b w:val="1"/>
                <w:bCs w:val="1"/>
                <w:color w:val="auto"/>
              </w:rPr>
              <w:t>SEC USE ONLY</w:t>
            </w:r>
          </w:p>
        </w:tc>
        <w:tc>
          <w:tcPr>
            <w:tcW w:w="9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100" w:type="dxa"/>
            <w:vAlign w:val="bottom"/>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State of Delaware</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5</w:t>
            </w:r>
          </w:p>
        </w:tc>
        <w:tc>
          <w:tcPr>
            <w:tcW w:w="80" w:type="dxa"/>
            <w:vAlign w:val="bottom"/>
          </w:tcPr>
          <w:p>
            <w:pPr>
              <w:spacing w:after="0"/>
              <w:rPr>
                <w:sz w:val="21"/>
                <w:szCs w:val="21"/>
                <w:color w:val="auto"/>
              </w:rPr>
            </w:pPr>
          </w:p>
        </w:tc>
        <w:tc>
          <w:tcPr>
            <w:tcW w:w="9980" w:type="dxa"/>
            <w:vAlign w:val="bottom"/>
          </w:tcPr>
          <w:p>
            <w:pPr>
              <w:ind w:left="4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507"/>
        </w:trPr>
        <w:tc>
          <w:tcPr>
            <w:tcW w:w="1680" w:type="dxa"/>
            <w:vAlign w:val="bottom"/>
            <w:tcBorders>
              <w:right w:val="single" w:sz="8" w:color="auto"/>
            </w:tcBorders>
            <w:gridSpan w:val="4"/>
            <w:vMerge w:val="restart"/>
          </w:tcPr>
          <w:p>
            <w:pPr>
              <w:jc w:val="center"/>
              <w:ind w:left="45"/>
              <w:spacing w:after="0"/>
              <w:rPr>
                <w:sz w:val="20"/>
                <w:szCs w:val="20"/>
                <w:color w:val="auto"/>
              </w:rPr>
            </w:pPr>
            <w:r>
              <w:rPr>
                <w:rFonts w:ascii="Arial" w:cs="Arial" w:eastAsia="Arial" w:hAnsi="Arial"/>
                <w:sz w:val="19"/>
                <w:szCs w:val="19"/>
                <w:b w:val="1"/>
                <w:bCs w:val="1"/>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47"/>
        </w:trPr>
        <w:tc>
          <w:tcPr>
            <w:tcW w:w="168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6</w:t>
            </w:r>
          </w:p>
        </w:tc>
        <w:tc>
          <w:tcPr>
            <w:tcW w:w="80" w:type="dxa"/>
            <w:vAlign w:val="bottom"/>
          </w:tcPr>
          <w:p>
            <w:pPr>
              <w:spacing w:after="0"/>
              <w:rPr>
                <w:sz w:val="4"/>
                <w:szCs w:val="4"/>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SHARES</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b w:val="1"/>
                <w:bCs w:val="1"/>
                <w:color w:val="auto"/>
              </w:rPr>
              <w:t>BENEFICIALLY</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vMerge w:val="restart"/>
          </w:tcPr>
          <w:p>
            <w:pPr>
              <w:ind w:left="40"/>
              <w:spacing w:after="0"/>
              <w:rPr>
                <w:sz w:val="20"/>
                <w:szCs w:val="20"/>
                <w:color w:val="auto"/>
              </w:rPr>
            </w:pPr>
            <w:r>
              <w:rPr>
                <w:rFonts w:ascii="Arial" w:cs="Arial" w:eastAsia="Arial" w:hAnsi="Arial"/>
                <w:sz w:val="23"/>
                <w:szCs w:val="23"/>
                <w:color w:val="auto"/>
              </w:rPr>
              <w:t>8,100,000 shares</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320" w:type="dxa"/>
            <w:vAlign w:val="bottom"/>
            <w:tcBorders>
              <w:right w:val="single" w:sz="8" w:color="auto"/>
            </w:tcBorders>
            <w:gridSpan w:val="3"/>
          </w:tcPr>
          <w:p>
            <w:pPr>
              <w:jc w:val="center"/>
              <w:ind w:right="125"/>
              <w:spacing w:after="0"/>
              <w:rPr>
                <w:sz w:val="20"/>
                <w:szCs w:val="20"/>
                <w:color w:val="auto"/>
              </w:rPr>
            </w:pPr>
            <w:r>
              <w:rPr>
                <w:rFonts w:ascii="Arial" w:cs="Arial" w:eastAsia="Arial" w:hAnsi="Arial"/>
                <w:sz w:val="19"/>
                <w:szCs w:val="19"/>
                <w:b w:val="1"/>
                <w:bCs w:val="1"/>
                <w:color w:val="auto"/>
              </w:rPr>
              <w:t>OWNED BY</w:t>
            </w:r>
          </w:p>
        </w:tc>
        <w:tc>
          <w:tcPr>
            <w:tcW w:w="2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9"/>
                <w:szCs w:val="19"/>
                <w:b w:val="1"/>
                <w:bCs w:val="1"/>
                <w:color w:val="auto"/>
              </w:rPr>
              <w:t>EACH</w:t>
            </w:r>
          </w:p>
        </w:tc>
        <w:tc>
          <w:tcPr>
            <w:tcW w:w="32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9"/>
                <w:szCs w:val="19"/>
                <w:b w:val="1"/>
                <w:bCs w:val="1"/>
                <w:color w:val="auto"/>
              </w:rPr>
              <w:t>7</w:t>
            </w:r>
          </w:p>
        </w:tc>
        <w:tc>
          <w:tcPr>
            <w:tcW w:w="80" w:type="dxa"/>
            <w:vAlign w:val="bottom"/>
          </w:tcPr>
          <w:p>
            <w:pPr>
              <w:spacing w:after="0"/>
              <w:rPr>
                <w:sz w:val="16"/>
                <w:szCs w:val="16"/>
                <w:color w:val="auto"/>
              </w:rPr>
            </w:pPr>
          </w:p>
        </w:tc>
        <w:tc>
          <w:tcPr>
            <w:tcW w:w="9980" w:type="dxa"/>
            <w:vAlign w:val="bottom"/>
          </w:tcPr>
          <w:p>
            <w:pPr>
              <w:ind w:left="40"/>
              <w:spacing w:after="0" w:line="189" w:lineRule="exact"/>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4"/>
          </w:tcPr>
          <w:p>
            <w:pPr>
              <w:jc w:val="center"/>
              <w:ind w:left="45"/>
              <w:spacing w:after="0"/>
              <w:rPr>
                <w:sz w:val="20"/>
                <w:szCs w:val="20"/>
                <w:color w:val="auto"/>
              </w:rPr>
            </w:pPr>
            <w:r>
              <w:rPr>
                <w:rFonts w:ascii="Arial" w:cs="Arial" w:eastAsia="Arial" w:hAnsi="Arial"/>
                <w:sz w:val="19"/>
                <w:szCs w:val="19"/>
                <w:b w:val="1"/>
                <w:bCs w:val="1"/>
                <w:color w:val="auto"/>
              </w:rPr>
              <w:t>REPORTING</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9"/>
                <w:szCs w:val="19"/>
                <w:b w:val="1"/>
                <w:bCs w:val="1"/>
                <w:color w:val="auto"/>
                <w:w w:val="97"/>
              </w:rPr>
              <w:t>PERSON</w:t>
            </w:r>
          </w:p>
        </w:tc>
        <w:tc>
          <w:tcPr>
            <w:tcW w:w="32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80" w:type="dxa"/>
            <w:vAlign w:val="bottom"/>
          </w:tcPr>
          <w:p>
            <w:pPr>
              <w:ind w:left="40"/>
              <w:spacing w:after="0" w:line="263" w:lineRule="exact"/>
              <w:rPr>
                <w:sz w:val="20"/>
                <w:szCs w:val="20"/>
                <w:color w:val="auto"/>
              </w:rPr>
            </w:pPr>
            <w:r>
              <w:rPr>
                <w:rFonts w:ascii="Arial" w:cs="Arial" w:eastAsia="Arial" w:hAnsi="Arial"/>
                <w:sz w:val="23"/>
                <w:szCs w:val="23"/>
                <w:color w:val="auto"/>
              </w:rPr>
              <w:t>NONE</w:t>
            </w: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WITH</w:t>
            </w:r>
          </w:p>
        </w:tc>
        <w:tc>
          <w:tcPr>
            <w:tcW w:w="320" w:type="dxa"/>
            <w:vAlign w:val="bottom"/>
            <w:tcBorders>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rPr>
              <w:t>8</w:t>
            </w:r>
          </w:p>
        </w:tc>
        <w:tc>
          <w:tcPr>
            <w:tcW w:w="80" w:type="dxa"/>
            <w:vAlign w:val="bottom"/>
          </w:tcPr>
          <w:p>
            <w:pPr>
              <w:spacing w:after="0"/>
              <w:rPr>
                <w:sz w:val="13"/>
                <w:szCs w:val="13"/>
                <w:color w:val="auto"/>
              </w:rPr>
            </w:pPr>
          </w:p>
        </w:tc>
        <w:tc>
          <w:tcPr>
            <w:tcW w:w="99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0"/>
              <w:spacing w:after="0"/>
              <w:rPr>
                <w:sz w:val="20"/>
                <w:szCs w:val="20"/>
                <w:color w:val="auto"/>
              </w:rPr>
            </w:pPr>
            <w:r>
              <w:rPr>
                <w:rFonts w:ascii="Arial" w:cs="Arial" w:eastAsia="Arial" w:hAnsi="Arial"/>
                <w:sz w:val="23"/>
                <w:szCs w:val="23"/>
                <w:color w:val="auto"/>
              </w:rPr>
              <w:t>8,100,000 shares</w:t>
            </w: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100" w:type="dxa"/>
            <w:vAlign w:val="bottom"/>
            <w:tcBorders>
              <w:right w:val="single" w:sz="8" w:color="auto"/>
            </w:tcBorders>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b w:val="1"/>
                <w:bCs w:val="1"/>
                <w:color w:val="auto"/>
                <w:w w:val="88"/>
              </w:rPr>
              <w:t>AGGREGATE</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19"/>
                <w:szCs w:val="19"/>
                <w:b w:val="1"/>
                <w:bCs w:val="1"/>
                <w:color w:val="auto"/>
              </w:rPr>
              <w:t>AMOUNT BENEFICIALLY OWNED BY EACH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560" w:type="dxa"/>
            <w:vAlign w:val="bottom"/>
            <w:tcBorders>
              <w:bottom w:val="single" w:sz="8" w:color="auto"/>
            </w:tcBorders>
            <w:gridSpan w:val="5"/>
          </w:tcPr>
          <w:p>
            <w:pPr>
              <w:ind w:left="100"/>
              <w:spacing w:after="0"/>
              <w:rPr>
                <w:sz w:val="20"/>
                <w:szCs w:val="20"/>
                <w:color w:val="auto"/>
              </w:rPr>
            </w:pPr>
            <w:r>
              <w:rPr>
                <w:rFonts w:ascii="Arial" w:cs="Arial" w:eastAsia="Arial" w:hAnsi="Arial"/>
                <w:sz w:val="23"/>
                <w:szCs w:val="23"/>
                <w:color w:val="auto"/>
              </w:rPr>
              <w:t>8,100,000 shares</w:t>
            </w:r>
          </w:p>
        </w:tc>
        <w:tc>
          <w:tcPr>
            <w:tcW w:w="0" w:type="dxa"/>
            <w:vAlign w:val="bottom"/>
          </w:tcPr>
          <w:p>
            <w:pPr>
              <w:spacing w:after="0"/>
              <w:rPr>
                <w:sz w:val="1"/>
                <w:szCs w:val="1"/>
                <w:color w:val="auto"/>
              </w:rPr>
            </w:pPr>
          </w:p>
        </w:tc>
      </w:tr>
      <w:tr>
        <w:trPr>
          <w:trHeight w:val="294"/>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00" w:type="dxa"/>
            <w:vAlign w:val="bottom"/>
            <w:tcBorders>
              <w:right w:val="single" w:sz="8" w:color="auto"/>
            </w:tcBorders>
          </w:tcPr>
          <w:p>
            <w:pPr>
              <w:spacing w:after="0"/>
              <w:rPr>
                <w:sz w:val="24"/>
                <w:szCs w:val="24"/>
                <w:color w:val="auto"/>
              </w:rPr>
            </w:pPr>
          </w:p>
        </w:tc>
        <w:tc>
          <w:tcPr>
            <w:tcW w:w="11560" w:type="dxa"/>
            <w:vAlign w:val="bottom"/>
            <w:gridSpan w:val="5"/>
          </w:tcPr>
          <w:p>
            <w:pPr>
              <w:ind w:left="100"/>
              <w:spacing w:after="0" w:line="219" w:lineRule="exact"/>
              <w:rPr>
                <w:sz w:val="20"/>
                <w:szCs w:val="20"/>
                <w:color w:val="auto"/>
              </w:rPr>
            </w:pPr>
            <w:r>
              <w:rPr>
                <w:rFonts w:ascii="Arial" w:cs="Arial" w:eastAsia="Arial" w:hAnsi="Arial"/>
                <w:sz w:val="19"/>
                <w:szCs w:val="19"/>
                <w:b w:val="1"/>
                <w:bCs w:val="1"/>
                <w:color w:val="auto"/>
              </w:rPr>
              <w:t xml:space="preserve">CHECK BOX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456"/>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23"/>
                <w:szCs w:val="23"/>
                <w:b w:val="1"/>
                <w:bCs w:val="1"/>
                <w:color w:val="auto"/>
                <w:w w:val="89"/>
              </w:rPr>
              <w:t>Not applicable.</w:t>
            </w: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11</w:t>
            </w: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0.6%</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100" w:type="dxa"/>
            <w:vAlign w:val="bottom"/>
            <w:tcBorders>
              <w:right w:val="single" w:sz="8" w:color="auto"/>
            </w:tcBorders>
          </w:tcPr>
          <w:p>
            <w:pPr>
              <w:spacing w:after="0"/>
              <w:rPr>
                <w:sz w:val="21"/>
                <w:szCs w:val="21"/>
                <w:color w:val="auto"/>
              </w:rPr>
            </w:pPr>
          </w:p>
        </w:tc>
        <w:tc>
          <w:tcPr>
            <w:tcW w:w="11560" w:type="dxa"/>
            <w:vAlign w:val="bottom"/>
            <w:gridSpan w:val="5"/>
          </w:tcPr>
          <w:p>
            <w:pPr>
              <w:ind w:left="100"/>
              <w:spacing w:after="0"/>
              <w:rPr>
                <w:sz w:val="20"/>
                <w:szCs w:val="20"/>
                <w:color w:val="auto"/>
              </w:rPr>
            </w:pPr>
            <w:r>
              <w:rPr>
                <w:rFonts w:ascii="Arial" w:cs="Arial" w:eastAsia="Arial" w:hAnsi="Arial"/>
                <w:sz w:val="19"/>
                <w:szCs w:val="19"/>
                <w:b w:val="1"/>
                <w:bCs w:val="1"/>
                <w:color w:val="auto"/>
              </w:rPr>
              <w:t>TYPE OF REPORTING PERSON</w:t>
            </w:r>
          </w:p>
        </w:tc>
        <w:tc>
          <w:tcPr>
            <w:tcW w:w="0" w:type="dxa"/>
            <w:vAlign w:val="bottom"/>
          </w:tcPr>
          <w:p>
            <w:pPr>
              <w:spacing w:after="0"/>
              <w:rPr>
                <w:sz w:val="1"/>
                <w:szCs w:val="1"/>
                <w:color w:val="auto"/>
              </w:rPr>
            </w:pPr>
          </w:p>
        </w:tc>
      </w:tr>
      <w:tr>
        <w:trPr>
          <w:trHeight w:val="507"/>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EP</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36" w:right="100" w:bottom="1440" w:gutter="0" w:footer="0" w:header="0"/>
        </w:sectPr>
      </w:pPr>
    </w:p>
    <w:bookmarkStart w:id="23" w:name="page24"/>
    <w:bookmarkEnd w:id="23"/>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w:t>
      </w:r>
    </w:p>
    <w:p>
      <w:pPr>
        <w:spacing w:after="0" w:line="138" w:lineRule="exact"/>
        <w:rPr>
          <w:sz w:val="20"/>
          <w:szCs w:val="20"/>
          <w:color w:val="auto"/>
        </w:rPr>
      </w:pPr>
    </w:p>
    <w:p>
      <w:pPr>
        <w:ind w:left="940" w:hanging="475"/>
        <w:spacing w:after="0"/>
        <w:tabs>
          <w:tab w:leader="none" w:pos="9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w:t>
      </w:r>
    </w:p>
    <w:p>
      <w:pPr>
        <w:spacing w:after="0" w:line="129" w:lineRule="exact"/>
        <w:rPr>
          <w:rFonts w:ascii="Arial" w:cs="Arial" w:eastAsia="Arial" w:hAnsi="Arial"/>
          <w:sz w:val="19"/>
          <w:szCs w:val="19"/>
          <w:b w:val="1"/>
          <w:bCs w:val="1"/>
          <w:color w:val="auto"/>
        </w:rPr>
      </w:pPr>
    </w:p>
    <w:p>
      <w:pPr>
        <w:ind w:left="960"/>
        <w:spacing w:after="0"/>
        <w:rPr>
          <w:rFonts w:ascii="Arial" w:cs="Arial" w:eastAsia="Arial" w:hAnsi="Arial"/>
          <w:sz w:val="19"/>
          <w:szCs w:val="19"/>
          <w:b w:val="1"/>
          <w:bCs w:val="1"/>
          <w:color w:val="auto"/>
        </w:rPr>
      </w:pPr>
      <w:r>
        <w:rPr>
          <w:rFonts w:ascii="Arial" w:cs="Arial" w:eastAsia="Arial" w:hAnsi="Arial"/>
          <w:sz w:val="19"/>
          <w:szCs w:val="19"/>
          <w:color w:val="auto"/>
        </w:rPr>
        <w:t>General Motors Company</w:t>
      </w:r>
    </w:p>
    <w:p>
      <w:pPr>
        <w:spacing w:after="0" w:line="132" w:lineRule="exact"/>
        <w:rPr>
          <w:rFonts w:ascii="Arial" w:cs="Arial" w:eastAsia="Arial" w:hAnsi="Arial"/>
          <w:sz w:val="19"/>
          <w:szCs w:val="19"/>
          <w:b w:val="1"/>
          <w:bCs w:val="1"/>
          <w:color w:val="auto"/>
        </w:rPr>
      </w:pPr>
    </w:p>
    <w:p>
      <w:pPr>
        <w:ind w:left="940" w:hanging="475"/>
        <w:spacing w:after="0"/>
        <w:tabs>
          <w:tab w:leader="none" w:pos="9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Address of Issuer’s Principal Executive Offices</w:t>
      </w:r>
    </w:p>
    <w:p>
      <w:pPr>
        <w:spacing w:after="0" w:line="164" w:lineRule="exact"/>
        <w:rPr>
          <w:rFonts w:ascii="Arial" w:cs="Arial" w:eastAsia="Arial" w:hAnsi="Arial"/>
          <w:sz w:val="16"/>
          <w:szCs w:val="16"/>
          <w:b w:val="1"/>
          <w:bCs w:val="1"/>
          <w:color w:val="auto"/>
        </w:rPr>
      </w:pPr>
    </w:p>
    <w:p>
      <w:pPr>
        <w:ind w:left="960" w:right="2840"/>
        <w:spacing w:after="0" w:line="372" w:lineRule="auto"/>
        <w:rPr>
          <w:rFonts w:ascii="Arial" w:cs="Arial" w:eastAsia="Arial" w:hAnsi="Arial"/>
          <w:sz w:val="16"/>
          <w:szCs w:val="16"/>
          <w:b w:val="1"/>
          <w:bCs w:val="1"/>
          <w:color w:val="auto"/>
        </w:rPr>
      </w:pPr>
      <w:r>
        <w:rPr>
          <w:rFonts w:ascii="Arial" w:cs="Arial" w:eastAsia="Arial" w:hAnsi="Arial"/>
          <w:sz w:val="16"/>
          <w:szCs w:val="16"/>
          <w:color w:val="auto"/>
        </w:rPr>
        <w:t>300 Renaissance Center Detroit, MI 48265</w:t>
      </w:r>
    </w:p>
    <w:p>
      <w:pPr>
        <w:spacing w:after="0" w:line="265"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7"/>
          <w:szCs w:val="17"/>
          <w:b w:val="1"/>
          <w:bCs w:val="1"/>
          <w:color w:val="auto"/>
        </w:rPr>
        <w:t>Name of Person Filing:</w:t>
      </w:r>
    </w:p>
    <w:p>
      <w:pPr>
        <w:spacing w:after="0" w:line="138"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w:t>
      </w:r>
    </w:p>
    <w:p>
      <w:pPr>
        <w:spacing w:after="0" w:line="138"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7"/>
          <w:szCs w:val="17"/>
          <w:b w:val="1"/>
          <w:bCs w:val="1"/>
          <w:color w:val="auto"/>
        </w:rPr>
        <w:t>Citizenship:</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Warren E. Buffett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3555 Farnam Street</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Omaha, Nebraska 68131</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United States Citizen</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National Indemnity Company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1314 Douglas Street</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Omaha, Nebraska 68102</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Nebraska corporation</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Government Employees Insurance Company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Maryland corporation</w:t>
      </w:r>
    </w:p>
    <w:p>
      <w:pPr>
        <w:spacing w:after="0" w:line="200" w:lineRule="exact"/>
        <w:rPr>
          <w:sz w:val="20"/>
          <w:szCs w:val="20"/>
          <w:color w:val="auto"/>
        </w:rPr>
      </w:pPr>
    </w:p>
    <w:p>
      <w:pPr>
        <w:spacing w:after="0" w:line="267"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Acme Brick Company Pension Trust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c/o Acme Brick Company</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3024 Acme Brick Company</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Fort Worth, TX 76109</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Texas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BNSF Master Retirement Trust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c/o BNSF Railway</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2650 Lou Menk Drive</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Fort Worth, TX 76131</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Texas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Advantage Insurance Company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Nebraska Corporation</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Secure Insurance Company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Nebraska Corporation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b w:val="1"/>
          <w:bCs w:val="1"/>
          <w:color w:val="auto"/>
        </w:rPr>
        <w:t>Page 24 of 28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-224790</wp:posOffset>
            </wp:positionV>
            <wp:extent cx="766826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Berkshire Hathaway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3555 Farnam Street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Omaha, Nebraska 68131</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GEICO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Buffalo News Drivers/Distributors Pension Plan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The Buffalo News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One News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Buffalo, NY 14240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New York</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GEICO Indemnity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Maryland corporation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Buffalo News Mechanical Pension Plan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The Buffalo News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One News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Buffalo, NY 14240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New York</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GEICO Casualty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Maryland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Berkshire Hathaway Consolidated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Pension Plan Master Trust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c/o Berkshire Hathaway Inc.</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3555 Farnam Street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Omaha, NE 68131</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Nebraska</w:t>
      </w:r>
    </w:p>
    <w:p>
      <w:pPr>
        <w:sectPr>
          <w:pgSz w:w="12240" w:h="15840" w:orient="portrait"/>
          <w:cols w:equalWidth="0" w:num="2">
            <w:col w:w="5620" w:space="720"/>
            <w:col w:w="5660"/>
          </w:cols>
          <w:pgMar w:left="120" w:top="136" w:right="120" w:bottom="1440" w:gutter="0" w:footer="0" w:header="0"/>
        </w:sectPr>
      </w:pPr>
    </w:p>
    <w:bookmarkStart w:id="24" w:name="page25"/>
    <w:bookmarkEnd w:id="24"/>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Lubrizol Master Trust Pension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The Lubrizol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29400 Lakeland Blvd.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Wickliffe, Ohio 44092</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Ohio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Buffalo News Editorial Pension Plan</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c/o The Buffalo News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One News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Buffalo, NY 14240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New York</w:t>
      </w:r>
    </w:p>
    <w:p>
      <w:pPr>
        <w:spacing w:after="0" w:line="239" w:lineRule="exact"/>
        <w:rPr>
          <w:sz w:val="20"/>
          <w:szCs w:val="20"/>
          <w:color w:val="auto"/>
        </w:rPr>
      </w:pPr>
    </w:p>
    <w:p>
      <w:pPr>
        <w:ind w:right="2120"/>
        <w:spacing w:after="0" w:line="255" w:lineRule="auto"/>
        <w:rPr>
          <w:sz w:val="20"/>
          <w:szCs w:val="20"/>
          <w:color w:val="auto"/>
        </w:rPr>
      </w:pPr>
      <w:r>
        <w:rPr>
          <w:rFonts w:ascii="Arial" w:cs="Arial" w:eastAsia="Arial" w:hAnsi="Arial"/>
          <w:sz w:val="19"/>
          <w:szCs w:val="19"/>
          <w:color w:val="auto"/>
        </w:rPr>
        <w:t>GEICO Corporation Pension Plan Trust c/o GEICO Corporation One GEICO Plaza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239" w:lineRule="exact"/>
        <w:rPr>
          <w:sz w:val="20"/>
          <w:szCs w:val="20"/>
          <w:color w:val="auto"/>
        </w:rPr>
      </w:pPr>
    </w:p>
    <w:p>
      <w:pPr>
        <w:ind w:right="2180"/>
        <w:spacing w:after="0" w:line="257" w:lineRule="auto"/>
        <w:rPr>
          <w:sz w:val="20"/>
          <w:szCs w:val="20"/>
          <w:color w:val="auto"/>
        </w:rPr>
      </w:pPr>
      <w:r>
        <w:rPr>
          <w:rFonts w:ascii="Arial" w:cs="Arial" w:eastAsia="Arial" w:hAnsi="Arial"/>
          <w:sz w:val="19"/>
          <w:szCs w:val="19"/>
          <w:color w:val="auto"/>
        </w:rPr>
        <w:t>Precision Castparts Corp. Master Trust c/o Precision Castparts Corp.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4650 SW Macadam Ave.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Portland, OR 97239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Oregon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GEICO Choice Insurance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One GEICO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20076</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Nebraska Corporation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b w:val="1"/>
          <w:bCs w:val="1"/>
          <w:color w:val="auto"/>
        </w:rPr>
        <w:t>Page 25 of 28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-224790</wp:posOffset>
            </wp:positionV>
            <wp:extent cx="766826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Buffalo News Office Pension Plan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The Buffalo News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One News Plaza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Buffalo, NY 14240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New York</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Scott Fetzer Collective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Scott Fetzer Co.</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28800 Clemens Road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Westlake, OH 44145</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National Fire &amp; Marine Insurance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1314 Douglas Street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Omaha, NE 68102</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Nebraska Corporation</w:t>
      </w:r>
    </w:p>
    <w:p>
      <w:pPr>
        <w:sectPr>
          <w:pgSz w:w="12240" w:h="15840" w:orient="portrait"/>
          <w:cols w:equalWidth="0" w:num="2">
            <w:col w:w="5140" w:space="720"/>
            <w:col w:w="5660"/>
          </w:cols>
          <w:pgMar w:left="600" w:top="136" w:right="120" w:bottom="1440" w:gutter="0" w:footer="0" w:header="0"/>
        </w:sectPr>
      </w:pPr>
    </w:p>
    <w:bookmarkStart w:id="25" w:name="page26"/>
    <w:bookmarkEnd w:id="2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Page 26 of 28 Pages</w:t>
      </w:r>
    </w:p>
    <w:p>
      <w:pPr>
        <w:spacing w:after="0" w:line="167" w:lineRule="exact"/>
        <w:rPr>
          <w:sz w:val="20"/>
          <w:szCs w:val="20"/>
          <w:color w:val="auto"/>
        </w:rPr>
      </w:pPr>
    </w:p>
    <w:p>
      <w:pPr>
        <w:ind w:left="960" w:right="8960" w:hanging="495"/>
        <w:spacing w:after="0" w:line="428" w:lineRule="auto"/>
        <w:tabs>
          <w:tab w:leader="none" w:pos="94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 of Class of Securities </w:t>
      </w:r>
      <w:r>
        <w:rPr>
          <w:rFonts w:ascii="Arial" w:cs="Arial" w:eastAsia="Arial" w:hAnsi="Arial"/>
          <w:sz w:val="17"/>
          <w:szCs w:val="17"/>
          <w:color w:val="auto"/>
        </w:rPr>
        <w:t>Common Stock</w:t>
      </w:r>
    </w:p>
    <w:p>
      <w:pPr>
        <w:spacing w:after="0" w:line="1" w:lineRule="exact"/>
        <w:rPr>
          <w:rFonts w:ascii="Arial" w:cs="Arial" w:eastAsia="Arial" w:hAnsi="Arial"/>
          <w:sz w:val="17"/>
          <w:szCs w:val="17"/>
          <w:b w:val="1"/>
          <w:bCs w:val="1"/>
          <w:color w:val="auto"/>
        </w:rPr>
      </w:pPr>
    </w:p>
    <w:p>
      <w:pPr>
        <w:ind w:left="960" w:right="9780" w:hanging="495"/>
        <w:spacing w:after="0" w:line="483" w:lineRule="auto"/>
        <w:tabs>
          <w:tab w:leader="none" w:pos="94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37045V100</w:t>
      </w:r>
    </w:p>
    <w:p>
      <w:pPr>
        <w:spacing w:after="0" w:line="16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 240.13d-1(b), or § 240.13d-2(b) or (c), check whether the person filing is a:</w:t>
      </w:r>
    </w:p>
    <w:p>
      <w:pPr>
        <w:spacing w:after="0" w:line="130"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Warren E. Buffett (an individual who may be deemed to control Berkshire Hathaway Inc.), Berkshire Hathaway Inc. and GEICO Corporation are each a Parent Holding Company or Control Person, in accordance with § 240.13d-1(b)(1)(ii)(G).</w:t>
      </w:r>
    </w:p>
    <w:p>
      <w:pPr>
        <w:spacing w:after="0" w:line="184" w:lineRule="exact"/>
        <w:rPr>
          <w:sz w:val="20"/>
          <w:szCs w:val="20"/>
          <w:color w:val="auto"/>
        </w:rPr>
      </w:pPr>
    </w:p>
    <w:p>
      <w:pPr>
        <w:ind w:right="80" w:firstLine="480"/>
        <w:spacing w:after="0" w:line="263" w:lineRule="auto"/>
        <w:rPr>
          <w:sz w:val="20"/>
          <w:szCs w:val="20"/>
          <w:color w:val="auto"/>
        </w:rPr>
      </w:pPr>
      <w:r>
        <w:rPr>
          <w:rFonts w:ascii="Arial" w:cs="Arial" w:eastAsia="Arial" w:hAnsi="Arial"/>
          <w:sz w:val="19"/>
          <w:szCs w:val="19"/>
          <w:color w:val="auto"/>
        </w:rPr>
        <w:t>National Indemnity Company, Government Employees Insurance Company, GEICO Indemnity Company, National Fire &amp; Marine Insurance Company, GEICO Advantage Insurance Company, GEICO Casualty Company, GEICO Secure Insurance Company and GEICO Choice Insurance Company are each an Insurance Company as defined in section 3(a)(19) of the Act.</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Buffalo News Drivers/Distributors Pension Plan, BNSF Master Retirement Trust, Lubrizol Master Trust Pension, Buffalo News Mechanical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Pension Plan, GEICO Corporation Pension Plan Trust, Scott Fetzer Collective Investment Trust, Acme Brick Company Pension Trust, The Buffalo News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Editorial Pension Plan, The Buffalo News Office Pension Plan, Berkshire Hathaway Consolidated Pension Plan Master Trust, and Precision Castparts Master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Trust are each an Employee Benefit Plan in accordance with</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 240.13d-1(b)(1)(ii)(F).</w:t>
      </w:r>
    </w:p>
    <w:p>
      <w:pPr>
        <w:spacing w:after="0" w:line="376"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132" w:lineRule="exact"/>
        <w:rPr>
          <w:sz w:val="20"/>
          <w:szCs w:val="20"/>
          <w:color w:val="auto"/>
        </w:rPr>
      </w:pPr>
    </w:p>
    <w:p>
      <w:pPr>
        <w:ind w:left="940" w:hanging="475"/>
        <w:spacing w:after="0"/>
        <w:tabs>
          <w:tab w:leader="none" w:pos="94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Amount beneficially Owned</w:t>
      </w:r>
    </w:p>
    <w:p>
      <w:pPr>
        <w:spacing w:after="0" w:line="129" w:lineRule="exact"/>
        <w:rPr>
          <w:rFonts w:ascii="Arial" w:cs="Arial" w:eastAsia="Arial" w:hAnsi="Arial"/>
          <w:sz w:val="19"/>
          <w:szCs w:val="19"/>
          <w:b w:val="1"/>
          <w:bCs w:val="1"/>
          <w:color w:val="auto"/>
        </w:rPr>
      </w:pPr>
    </w:p>
    <w:p>
      <w:pPr>
        <w:ind w:left="960"/>
        <w:spacing w:after="0"/>
        <w:rPr>
          <w:rFonts w:ascii="Arial" w:cs="Arial" w:eastAsia="Arial" w:hAnsi="Arial"/>
          <w:sz w:val="19"/>
          <w:szCs w:val="19"/>
          <w:b w:val="1"/>
          <w:bCs w:val="1"/>
          <w:color w:val="auto"/>
        </w:rPr>
      </w:pPr>
      <w:r>
        <w:rPr>
          <w:rFonts w:ascii="Arial" w:cs="Arial" w:eastAsia="Arial" w:hAnsi="Arial"/>
          <w:sz w:val="19"/>
          <w:szCs w:val="19"/>
          <w:color w:val="auto"/>
        </w:rPr>
        <w:t>See the Cover Pages for each of the Reporting Persons.</w:t>
      </w:r>
    </w:p>
    <w:p>
      <w:pPr>
        <w:spacing w:after="0" w:line="132" w:lineRule="exact"/>
        <w:rPr>
          <w:rFonts w:ascii="Arial" w:cs="Arial" w:eastAsia="Arial" w:hAnsi="Arial"/>
          <w:sz w:val="19"/>
          <w:szCs w:val="19"/>
          <w:b w:val="1"/>
          <w:bCs w:val="1"/>
          <w:color w:val="auto"/>
        </w:rPr>
      </w:pPr>
    </w:p>
    <w:p>
      <w:pPr>
        <w:ind w:left="940" w:hanging="475"/>
        <w:spacing w:after="0"/>
        <w:tabs>
          <w:tab w:leader="none" w:pos="94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Percent of Class</w:t>
      </w:r>
    </w:p>
    <w:p>
      <w:pPr>
        <w:spacing w:after="0" w:line="129" w:lineRule="exact"/>
        <w:rPr>
          <w:rFonts w:ascii="Arial" w:cs="Arial" w:eastAsia="Arial" w:hAnsi="Arial"/>
          <w:sz w:val="19"/>
          <w:szCs w:val="19"/>
          <w:b w:val="1"/>
          <w:bCs w:val="1"/>
          <w:color w:val="auto"/>
        </w:rPr>
      </w:pPr>
    </w:p>
    <w:p>
      <w:pPr>
        <w:ind w:left="960"/>
        <w:spacing w:after="0"/>
        <w:rPr>
          <w:rFonts w:ascii="Arial" w:cs="Arial" w:eastAsia="Arial" w:hAnsi="Arial"/>
          <w:sz w:val="19"/>
          <w:szCs w:val="19"/>
          <w:b w:val="1"/>
          <w:bCs w:val="1"/>
          <w:color w:val="auto"/>
        </w:rPr>
      </w:pPr>
      <w:r>
        <w:rPr>
          <w:rFonts w:ascii="Arial" w:cs="Arial" w:eastAsia="Arial" w:hAnsi="Arial"/>
          <w:sz w:val="19"/>
          <w:szCs w:val="19"/>
          <w:color w:val="auto"/>
        </w:rPr>
        <w:t>See the Cover Pages for each of the Reporting Persons.</w:t>
      </w:r>
    </w:p>
    <w:p>
      <w:pPr>
        <w:spacing w:after="0" w:line="132" w:lineRule="exact"/>
        <w:rPr>
          <w:rFonts w:ascii="Arial" w:cs="Arial" w:eastAsia="Arial" w:hAnsi="Arial"/>
          <w:sz w:val="19"/>
          <w:szCs w:val="19"/>
          <w:b w:val="1"/>
          <w:bCs w:val="1"/>
          <w:color w:val="auto"/>
        </w:rPr>
      </w:pPr>
    </w:p>
    <w:p>
      <w:pPr>
        <w:ind w:left="940" w:hanging="475"/>
        <w:spacing w:after="0"/>
        <w:tabs>
          <w:tab w:leader="none" w:pos="94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Number of shares as to which such person has:</w:t>
      </w:r>
    </w:p>
    <w:p>
      <w:pPr>
        <w:spacing w:after="0" w:line="144" w:lineRule="exact"/>
        <w:rPr>
          <w:rFonts w:ascii="Arial" w:cs="Arial" w:eastAsia="Arial" w:hAnsi="Arial"/>
          <w:sz w:val="19"/>
          <w:szCs w:val="19"/>
          <w:b w:val="1"/>
          <w:bCs w:val="1"/>
          <w:color w:val="auto"/>
        </w:rPr>
      </w:pPr>
    </w:p>
    <w:p>
      <w:pPr>
        <w:ind w:left="2020" w:hanging="471"/>
        <w:spacing w:after="0"/>
        <w:tabs>
          <w:tab w:leader="none" w:pos="2020" w:val="left"/>
        </w:tabs>
        <w:numPr>
          <w:ilvl w:val="1"/>
          <w:numId w:val="5"/>
        </w:numPr>
        <w:rPr>
          <w:rFonts w:ascii="Arial" w:cs="Arial" w:eastAsia="Arial" w:hAnsi="Arial"/>
          <w:sz w:val="19"/>
          <w:szCs w:val="19"/>
          <w:color w:val="auto"/>
        </w:rPr>
      </w:pPr>
      <w:r>
        <w:rPr>
          <w:rFonts w:ascii="Arial" w:cs="Arial" w:eastAsia="Arial" w:hAnsi="Arial"/>
          <w:sz w:val="19"/>
          <w:szCs w:val="19"/>
          <w:color w:val="auto"/>
        </w:rPr>
        <w:t>sole power to vote or to direct the vote</w:t>
      </w:r>
    </w:p>
    <w:p>
      <w:pPr>
        <w:spacing w:after="0" w:line="138" w:lineRule="exact"/>
        <w:rPr>
          <w:rFonts w:ascii="Arial" w:cs="Arial" w:eastAsia="Arial" w:hAnsi="Arial"/>
          <w:sz w:val="19"/>
          <w:szCs w:val="19"/>
          <w:color w:val="auto"/>
        </w:rPr>
      </w:pPr>
    </w:p>
    <w:p>
      <w:pPr>
        <w:ind w:left="2020" w:hanging="471"/>
        <w:spacing w:after="0"/>
        <w:tabs>
          <w:tab w:leader="none" w:pos="2020" w:val="left"/>
        </w:tabs>
        <w:numPr>
          <w:ilvl w:val="1"/>
          <w:numId w:val="5"/>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ectPr>
          <w:pgSz w:w="12240" w:h="15840" w:orient="portrait"/>
          <w:cols w:equalWidth="0" w:num="1">
            <w:col w:w="12000"/>
          </w:cols>
          <w:pgMar w:left="120" w:top="136" w:right="120" w:bottom="1440" w:gutter="0" w:footer="0" w:header="0"/>
        </w:sectPr>
      </w:pPr>
    </w:p>
    <w:bookmarkStart w:id="26" w:name="page27"/>
    <w:bookmarkEnd w:id="2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Page 27 of 28 Pages</w:t>
      </w:r>
    </w:p>
    <w:p>
      <w:pPr>
        <w:spacing w:after="0" w:line="173" w:lineRule="exact"/>
        <w:rPr>
          <w:sz w:val="20"/>
          <w:szCs w:val="20"/>
          <w:color w:val="auto"/>
        </w:rPr>
      </w:pPr>
    </w:p>
    <w:p>
      <w:pPr>
        <w:ind w:left="2020" w:hanging="471"/>
        <w:spacing w:after="0"/>
        <w:tabs>
          <w:tab w:leader="none" w:pos="2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w:t>
      </w:r>
    </w:p>
    <w:p>
      <w:pPr>
        <w:spacing w:after="0" w:line="138" w:lineRule="exact"/>
        <w:rPr>
          <w:rFonts w:ascii="Arial" w:cs="Arial" w:eastAsia="Arial" w:hAnsi="Arial"/>
          <w:sz w:val="19"/>
          <w:szCs w:val="19"/>
          <w:color w:val="auto"/>
        </w:rPr>
      </w:pPr>
    </w:p>
    <w:p>
      <w:pPr>
        <w:ind w:left="960" w:right="5900" w:firstLine="589"/>
        <w:spacing w:after="0" w:line="436"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the Cover Pages for each of the Reporting Persons</w:t>
      </w:r>
      <w:r>
        <w:rPr>
          <w:rFonts w:ascii="Arial" w:cs="Arial" w:eastAsia="Arial" w:hAnsi="Arial"/>
          <w:sz w:val="18"/>
          <w:szCs w:val="18"/>
          <w:b w:val="1"/>
          <w:bCs w:val="1"/>
          <w:color w:val="auto"/>
        </w:rPr>
        <w:t>.</w:t>
      </w:r>
    </w:p>
    <w:p>
      <w:pPr>
        <w:spacing w:after="0" w:line="197"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b w:val="1"/>
          <w:bCs w:val="1"/>
          <w:color w:val="auto"/>
        </w:rPr>
        <w:t>Item 7. Identification and Classification of the Subsidiary Which Acquired the Security Being Reported on By the Parent Holding Company or Control Person.</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See Exhibit A.</w:t>
      </w:r>
    </w:p>
    <w:p>
      <w:pPr>
        <w:spacing w:after="0" w:line="38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See Exhibit A.</w:t>
      </w:r>
    </w:p>
    <w:p>
      <w:pPr>
        <w:spacing w:after="0" w:line="38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30" w:lineRule="exact"/>
        <w:rPr>
          <w:sz w:val="20"/>
          <w:szCs w:val="20"/>
          <w:color w:val="auto"/>
        </w:rPr>
      </w:pPr>
    </w:p>
    <w:p>
      <w:pPr>
        <w:ind w:right="200" w:firstLine="48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2240" w:h="15840" w:orient="portrait"/>
          <w:cols w:equalWidth="0" w:num="1">
            <w:col w:w="12000"/>
          </w:cols>
          <w:pgMar w:left="120" w:top="136" w:right="120" w:bottom="1440" w:gutter="0" w:footer="0" w:header="0"/>
        </w:sectPr>
      </w:pPr>
    </w:p>
    <w:bookmarkStart w:id="27" w:name="page28"/>
    <w:bookmarkEnd w:id="27"/>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Page 28 of 28 Pages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480" w:firstLine="480"/>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Dated this 14</w:t>
      </w:r>
      <w:r>
        <w:rPr>
          <w:rFonts w:ascii="Arial" w:cs="Arial" w:eastAsia="Arial" w:hAnsi="Arial"/>
          <w:sz w:val="16"/>
          <w:szCs w:val="16"/>
          <w:color w:val="auto"/>
        </w:rPr>
        <w:t>th</w:t>
      </w:r>
      <w:r>
        <w:rPr>
          <w:rFonts w:ascii="Arial" w:cs="Arial" w:eastAsia="Arial" w:hAnsi="Arial"/>
          <w:sz w:val="19"/>
          <w:szCs w:val="19"/>
          <w:color w:val="auto"/>
        </w:rPr>
        <w:t xml:space="preserve"> day of February, 2019</w:t>
      </w:r>
    </w:p>
    <w:p>
      <w:pPr>
        <w:spacing w:after="0" w:line="267"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/s/ Warren E. Buffett</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Warren E. Buffett</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BERKSHIRE HATHAWAY INC.</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/s/ Warren E. Buffett</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Warren E. Buffett</w:t>
      </w:r>
    </w:p>
    <w:p>
      <w:pPr>
        <w:spacing w:after="0" w:line="10"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Chairman of the Board</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NATIONAL INDEMNITY COMPANY, GEICO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CORPORATION, GOVERNMENT EMPLOYEES</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INSURANCE COMPANY, GEICO INDEMNITY</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COMPANY, NATIONAL FIRE &amp; MARINE INSURANCE</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COMPANY, GEICO ADVANTAGE INSURANCE</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COMPANY, GEICO CASUALTY INSURANCE COMPANY,</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GEICO CHOICE INSURANCE COMPANY, GEICO</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SECURE INSURANCE COMPANY, THE BUFFALO NEWS</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DRIVERS/DISTRIBUTORS PENSION PLAN, BNSF</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MASTER RETIREMENT TRUST, LUBRIZOL MASTER</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TRUST PENSION, THE BUFFALO NEWS MECHANICAL</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PENSION PLAN, GEICO CORPORATION PENSION</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PLAN TRUST, SCOTT FETZER COLLECTIVE</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INVESTMENT TRUST, ACME BRICK COMPANY</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PENSION TRUST, THE BUFFALO NEWS EDITORIAL</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PENSION PLAN, THE BUFFALO NEWS OFFICE</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PENSION PLAN, PRECISION CASTPARTS CORP.</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MASTER TRUST AND BERKSHIRE HATHAWAY</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CONSOLIDATED PENSION PLAN MASTER TRUST</w:t>
      </w:r>
    </w:p>
    <w:p>
      <w:pPr>
        <w:spacing w:after="0" w:line="225" w:lineRule="exact"/>
        <w:rPr>
          <w:sz w:val="20"/>
          <w:szCs w:val="20"/>
          <w:color w:val="auto"/>
        </w:rPr>
      </w:pPr>
    </w:p>
    <w:p>
      <w:pPr>
        <w:ind w:left="7220"/>
        <w:spacing w:after="0"/>
        <w:tabs>
          <w:tab w:leader="none" w:pos="75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Warren E. Buffett</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Warren E. Buffett</w:t>
      </w:r>
    </w:p>
    <w:p>
      <w:pPr>
        <w:spacing w:after="0" w:line="10"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Attorney-in-Fact</w:t>
      </w:r>
    </w:p>
    <w:p>
      <w:pPr>
        <w:sectPr>
          <w:pgSz w:w="12240" w:h="15840" w:orient="portrait"/>
          <w:cols w:equalWidth="0" w:num="1">
            <w:col w:w="12000"/>
          </w:cols>
          <w:pgMar w:left="120" w:top="136" w:right="120" w:bottom="1440" w:gutter="0" w:footer="0" w:header="0"/>
        </w:sectPr>
      </w:pPr>
    </w:p>
    <w:bookmarkStart w:id="28" w:name="page29"/>
    <w:bookmarkEnd w:id="28"/>
    <w:p>
      <w:pPr>
        <w:jc w:val="center"/>
        <w:ind w:right="-13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38" w:lineRule="exact"/>
        <w:rPr>
          <w:sz w:val="20"/>
          <w:szCs w:val="20"/>
          <w:color w:val="auto"/>
        </w:rPr>
      </w:pPr>
    </w:p>
    <w:p>
      <w:pPr>
        <w:jc w:val="center"/>
        <w:ind w:right="-1319"/>
        <w:spacing w:after="0"/>
        <w:rPr>
          <w:sz w:val="20"/>
          <w:szCs w:val="20"/>
          <w:color w:val="auto"/>
        </w:rPr>
      </w:pPr>
      <w:r>
        <w:rPr>
          <w:rFonts w:ascii="Arial" w:cs="Arial" w:eastAsia="Arial" w:hAnsi="Arial"/>
          <w:sz w:val="19"/>
          <w:szCs w:val="19"/>
          <w:b w:val="1"/>
          <w:bCs w:val="1"/>
          <w:u w:val="single" w:color="auto"/>
          <w:color w:val="auto"/>
        </w:rPr>
        <w:t>EXHIBIT A</w:t>
      </w:r>
    </w:p>
    <w:p>
      <w:pPr>
        <w:spacing w:after="0" w:line="238"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RELEVANT SUBSIDIARIES AND MEMBERS OF FILING GROUP</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PARENT HOLDING COMPANIES OR CONTROL PERSONS: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Warren E. Buffett (an individual who may be deemed to control Berkshire Hathaway Inc.)</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Berkshire Hathaway Inc.</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INSURANCE COMPANIES AS DEFINED IN SECTION 3(a)(19) OF THE ACT:</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National Indemnity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Government Employees Insurance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Indemnity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National Fire &amp; Marine Insurance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Advantage Insurance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Casualty Insurance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Secure Insurance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Choice Insurance Company</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EMPLOYEE BENEFIT PLANS IN ACCORDANCE WITH § 240.13d-1-(b)(1)(ii)(F)</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Buffalo News Drivers/Distributors Pension Plan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BNSF Master Retirement Trust</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Lubrizol Master Trust Pension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Buffalo News Mechanical Pension Plan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GEICO Corporation Pension Plan Trust</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Scott Fetzer Collective Investment Trust</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Acme Brick Company Pension Plan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Buffalo News Editorial Pension Plan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Buffalo News Office Pension Plan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Precision Castparts Corp. Master Trust</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Berkshire Hathaway Consolidated Pension Plan Master Trust</w:t>
      </w:r>
    </w:p>
    <w:p>
      <w:pPr>
        <w:sectPr>
          <w:pgSz w:w="12240" w:h="15840" w:orient="portrait"/>
          <w:cols w:equalWidth="0" w:num="1">
            <w:col w:w="10680"/>
          </w:cols>
          <w:pgMar w:left="120" w:top="136"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SCHEDULE 13G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B</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JOINT FILING AGREEMENT PURSUANT TO RULE 13d-1(k)(1)</w:t>
      </w:r>
    </w:p>
    <w:p>
      <w:pPr>
        <w:spacing w:after="0" w:line="244" w:lineRule="exact"/>
        <w:rPr>
          <w:sz w:val="20"/>
          <w:szCs w:val="20"/>
          <w:color w:val="auto"/>
        </w:rPr>
      </w:pPr>
    </w:p>
    <w:p>
      <w:pPr>
        <w:ind w:right="100" w:firstLine="480"/>
        <w:spacing w:after="0" w:line="308" w:lineRule="auto"/>
        <w:rPr>
          <w:sz w:val="20"/>
          <w:szCs w:val="20"/>
          <w:color w:val="auto"/>
        </w:rPr>
      </w:pPr>
      <w:r>
        <w:rPr>
          <w:rFonts w:ascii="Arial" w:cs="Arial" w:eastAsia="Arial" w:hAnsi="Arial"/>
          <w:sz w:val="17"/>
          <w:szCs w:val="17"/>
          <w:color w:val="auto"/>
        </w:rPr>
        <w:t>The undersigned persons hereby agree that reports on Schedule 13G, and amendments thereto, with respect to the Class A Ordinary Shares of Liberty Global plc may be filed in a single statement on behalf of each of such persons, and further, each of such persons designates Warren E. Buffett as its agent and Attorney-in-Fact for the purpose of executing any and all Schedule 13G filings required to be made by it with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Warren E. Buffett</w:t>
            </w:r>
          </w:p>
        </w:tc>
      </w:tr>
      <w:tr>
        <w:trPr>
          <w:trHeight w:val="236"/>
        </w:trPr>
        <w:tc>
          <w:tcPr>
            <w:tcW w:w="614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Warren E. Buffett</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Berkshire Hathaway Inc.</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Warren E. Buffett</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Warren E. Buffett</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Chairman of the Board</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National Indemnity Company</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Marc D. Hamburg</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Marc D. Hamburg</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Chairman of the Board</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GEICO Corporation</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William E. Roberts</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William E. Roberts</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Government Employees Insurance Company</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William E. Roberts</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William E. Roberts</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GEICO Indemnity Company</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William E. Roberts</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William E. Roberts</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 GEICO Corporation</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Acme Brick Company Pension Trust</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Dennis Knautz</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Dennis Knautz</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 Acme Brick Company</w:t>
            </w:r>
          </w:p>
        </w:tc>
      </w:tr>
    </w:tbl>
    <w:p>
      <w:pPr>
        <w:sectPr>
          <w:pgSz w:w="12240" w:h="15840" w:orient="portrait"/>
          <w:cols w:equalWidth="0" w:num="1">
            <w:col w:w="12000"/>
          </w:cols>
          <w:pgMar w:left="120" w:top="136" w:right="120" w:bottom="1440" w:gutter="0" w:footer="0" w:header="0"/>
        </w:sectPr>
      </w:pPr>
    </w:p>
    <w:bookmarkStart w:id="30" w:name="page31"/>
    <w:bookmarkEnd w:id="30"/>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Buffalo News Editorial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-228600</wp:posOffset>
            </wp:positionV>
            <wp:extent cx="766826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Warren Colville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 The Buffalo News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The Buffalo News Office Pension Plan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Warren Colville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 The Buffalo News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Berkshire Hathaway Consolidated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Pension Plan Master Trust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 Mark D.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Mark D. Millard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 Berkshire Hathaway Inc.</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The Buffalo News Drivers/Distributors Pension Plan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Warren Colville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 The Buffalo News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The Buffalo News Mechanical Pension Plan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Warren Colville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 The Buffalo News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BNSF Master Retirement Trust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Julie Piggott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Julie Piggott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Burlington Northern Santa Fe, LLC</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Precision Castparts Corp. Master Trust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Shawn Hagel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Shawn Hagel</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Executive Vice President, Precision Castparts Corp.</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Scott Fetzer Collective Investment Trust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Robert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Robert McBride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6"/>
          <w:szCs w:val="16"/>
          <w:color w:val="auto"/>
        </w:rPr>
        <w:t>President, Scott Fetzer Co.</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GEICO Choice Insurance Company</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/S/ William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William E. Roberts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GEICO Secure Insurance Company</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/S/ William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William E. Roberts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Lubrizol Master Trust Pension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Brian Pitts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7217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Brian Pitts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 The Lubrizol Corporation</w:t>
      </w:r>
    </w:p>
    <w:p>
      <w:pPr>
        <w:sectPr>
          <w:pgSz w:w="12240" w:h="15840" w:orient="portrait"/>
          <w:cols w:equalWidth="0" w:num="2">
            <w:col w:w="5420" w:space="720"/>
            <w:col w:w="4540"/>
          </w:cols>
          <w:pgMar w:left="120" w:top="142" w:right="1440"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614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GEICO Corporation Pension Plan Trust</w:t>
            </w:r>
          </w:p>
        </w:tc>
      </w:tr>
      <w:tr>
        <w:trPr>
          <w:trHeight w:val="443"/>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William E. Roberts</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William E. Roberts</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 GEICO Corporation</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National Fire &amp; Marine Insurance Company</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Dale D. Geistkemper</w:t>
            </w:r>
          </w:p>
        </w:tc>
      </w:tr>
      <w:tr>
        <w:trPr>
          <w:trHeight w:val="237"/>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Dale D. Geistkemper</w:t>
            </w:r>
          </w:p>
        </w:tc>
      </w:tr>
      <w:tr>
        <w:trPr>
          <w:trHeight w:val="256"/>
        </w:trPr>
        <w:tc>
          <w:tcPr>
            <w:tcW w:w="614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Treasurer</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GEICO Advantage Insurance Company</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William E. Roberts</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William E. Roberts</w:t>
            </w:r>
          </w:p>
        </w:tc>
      </w:tr>
      <w:tr>
        <w:trPr>
          <w:trHeight w:val="256"/>
        </w:trPr>
        <w:tc>
          <w:tcPr>
            <w:tcW w:w="614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w:t>
            </w:r>
          </w:p>
        </w:tc>
      </w:tr>
      <w:tr>
        <w:trPr>
          <w:trHeight w:val="456"/>
        </w:trPr>
        <w:tc>
          <w:tcPr>
            <w:tcW w:w="61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9"/>
                <w:szCs w:val="19"/>
                <w:color w:val="auto"/>
              </w:rPr>
              <w:t>GEICO Casualty Insurance Company</w:t>
            </w:r>
          </w:p>
        </w:tc>
      </w:tr>
      <w:tr>
        <w:trPr>
          <w:trHeight w:val="457"/>
        </w:trPr>
        <w:tc>
          <w:tcPr>
            <w:tcW w:w="6140" w:type="dxa"/>
            <w:vAlign w:val="bottom"/>
          </w:tcPr>
          <w:p>
            <w:pPr>
              <w:spacing w:after="0"/>
              <w:rPr>
                <w:sz w:val="20"/>
                <w:szCs w:val="20"/>
                <w:color w:val="auto"/>
              </w:rPr>
            </w:pPr>
            <w:r>
              <w:rPr>
                <w:rFonts w:ascii="Arial" w:cs="Arial" w:eastAsia="Arial" w:hAnsi="Arial"/>
                <w:sz w:val="19"/>
                <w:szCs w:val="19"/>
                <w:color w:val="auto"/>
              </w:rPr>
              <w:t>Dated: February 14, 2019</w:t>
            </w:r>
          </w:p>
        </w:tc>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William E. Roberts</w:t>
            </w:r>
          </w:p>
        </w:tc>
      </w:tr>
      <w:tr>
        <w:trPr>
          <w:trHeight w:val="223"/>
        </w:trPr>
        <w:tc>
          <w:tcPr>
            <w:tcW w:w="6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By:</w:t>
            </w:r>
          </w:p>
        </w:tc>
        <w:tc>
          <w:tcPr>
            <w:tcW w:w="5360" w:type="dxa"/>
            <w:vAlign w:val="bottom"/>
          </w:tcPr>
          <w:p>
            <w:pPr>
              <w:ind w:left="80"/>
              <w:spacing w:after="0"/>
              <w:rPr>
                <w:sz w:val="20"/>
                <w:szCs w:val="20"/>
                <w:color w:val="auto"/>
              </w:rPr>
            </w:pPr>
            <w:r>
              <w:rPr>
                <w:rFonts w:ascii="Arial" w:cs="Arial" w:eastAsia="Arial" w:hAnsi="Arial"/>
                <w:sz w:val="19"/>
                <w:szCs w:val="19"/>
                <w:color w:val="auto"/>
              </w:rPr>
              <w:t>William E. Roberts</w:t>
            </w:r>
          </w:p>
        </w:tc>
      </w:tr>
      <w:tr>
        <w:trPr>
          <w:trHeight w:val="241"/>
        </w:trPr>
        <w:tc>
          <w:tcPr>
            <w:tcW w:w="6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9"/>
                <w:szCs w:val="19"/>
                <w:color w:val="auto"/>
              </w:rPr>
              <w:t>Title:</w:t>
            </w:r>
          </w:p>
        </w:tc>
        <w:tc>
          <w:tcPr>
            <w:tcW w:w="5360" w:type="dxa"/>
            <w:vAlign w:val="bottom"/>
          </w:tcPr>
          <w:p>
            <w:pPr>
              <w:ind w:left="80"/>
              <w:spacing w:after="0"/>
              <w:rPr>
                <w:sz w:val="20"/>
                <w:szCs w:val="20"/>
                <w:color w:val="auto"/>
              </w:rPr>
            </w:pPr>
            <w:r>
              <w:rPr>
                <w:rFonts w:ascii="Arial" w:cs="Arial" w:eastAsia="Arial" w:hAnsi="Arial"/>
                <w:sz w:val="19"/>
                <w:szCs w:val="19"/>
                <w:color w:val="auto"/>
              </w:rPr>
              <w:t>President</w:t>
            </w:r>
          </w:p>
        </w:tc>
      </w:tr>
    </w:tbl>
    <w:p>
      <w:pPr>
        <w:spacing w:after="0" w:line="1" w:lineRule="exact"/>
        <w:rPr>
          <w:sz w:val="20"/>
          <w:szCs w:val="20"/>
          <w:color w:val="auto"/>
        </w:rPr>
      </w:pP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2019-12-15T16:54:07Z</dcterms:created>
  <dcterms:modified xsi:type="dcterms:W3CDTF">2019-12-15T16:54:07Z</dcterms:modified>
</cp:coreProperties>
</file>