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Date of Report (Date of earliest event reported): April 25, 2023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GENERAL MOTORS COMPANY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w:t>
      </w:r>
    </w:p>
    <w:tbl>
      <w:tblPr>
        <w:tblW w:w="8997" w:type="dxa"/>
        <w:jc w:val="center"/>
        <w:tblInd w:w="0" w:type="dxa"/>
        <w:tblCellMar>
          <w:top w:w="28" w:type="dxa"/>
          <w:left w:w="28" w:type="dxa"/>
          <w:bottom w:w="28" w:type="dxa"/>
          <w:right w:w="28" w:type="dxa"/>
        </w:tblCellMar>
      </w:tblPr>
      <w:tblGrid>
        <w:gridCol w:w="1328"/>
        <w:gridCol w:w="1167"/>
        <w:gridCol w:w="1179"/>
        <w:gridCol w:w="381"/>
        <w:gridCol w:w="381"/>
        <w:gridCol w:w="381"/>
        <w:gridCol w:w="381"/>
        <w:gridCol w:w="381"/>
        <w:gridCol w:w="389"/>
        <w:gridCol w:w="884"/>
        <w:gridCol w:w="884"/>
        <w:gridCol w:w="1261"/>
      </w:tblGrid>
      <w:tr>
        <w:trPr/>
        <w:tc>
          <w:tcPr>
            <w:tcW w:w="1328"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6"/>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001-34960</w:t>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27-0756180</w:t>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6"/>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6828" w:type="dxa"/>
        <w:jc w:val="center"/>
        <w:tblInd w:w="0" w:type="dxa"/>
        <w:tblCellMar>
          <w:top w:w="28" w:type="dxa"/>
          <w:left w:w="28" w:type="dxa"/>
          <w:bottom w:w="28" w:type="dxa"/>
          <w:right w:w="28" w:type="dxa"/>
        </w:tblCellMar>
      </w:tblPr>
      <w:tblGrid>
        <w:gridCol w:w="124"/>
        <w:gridCol w:w="109"/>
        <w:gridCol w:w="109"/>
        <w:gridCol w:w="180"/>
        <w:gridCol w:w="180"/>
        <w:gridCol w:w="180"/>
        <w:gridCol w:w="180"/>
        <w:gridCol w:w="180"/>
        <w:gridCol w:w="180"/>
        <w:gridCol w:w="180"/>
        <w:gridCol w:w="180"/>
        <w:gridCol w:w="180"/>
        <w:gridCol w:w="180"/>
        <w:gridCol w:w="180"/>
        <w:gridCol w:w="180"/>
        <w:gridCol w:w="249"/>
        <w:gridCol w:w="249"/>
        <w:gridCol w:w="251"/>
        <w:gridCol w:w="305"/>
        <w:gridCol w:w="305"/>
        <w:gridCol w:w="30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1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300 Renaissance Center,</w:t>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Detroit,</w:t>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Michigan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48265</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-3000</w:t>
            </w:r>
          </w:p>
        </w:tc>
      </w:tr>
      <w:tr>
        <w:trPr/>
        <w:tc>
          <w:tcPr>
            <w:tcW w:w="482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007"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color w:val="000000"/>
          <w:sz w:val="20"/>
        </w:rPr>
        <w:t>(313)</w:t>
      </w:r>
      <w:r>
        <w:rPr>
          <w:color w:val="000000"/>
        </w:rPr>
        <w:t xml:space="preserve"> </w:t>
      </w:r>
      <w:r>
        <w:rPr>
          <w:rFonts w:ascii="Times New Roman;sans-serif" w:hAnsi="Times New Roman;sans-serif"/>
          <w:b/>
          <w:color w:val="000000"/>
          <w:sz w:val="20"/>
        </w:rPr>
        <w:t>667-1500</w:t>
      </w:r>
      <w:r>
        <w:rPr>
          <w:color w:val="000000"/>
        </w:rPr>
        <w:t xml:space="preserv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Check the appropriate box below if the Form 8-K filing is intended to simultaneously satisfy the filing obligation of the registrant under any of the following provisions: </w:t>
      </w:r>
    </w:p>
    <w:tbl>
      <w:tblPr>
        <w:tblW w:w="8769" w:type="dxa"/>
        <w:jc w:val="center"/>
        <w:tblInd w:w="0" w:type="dxa"/>
        <w:tblCellMar>
          <w:top w:w="28" w:type="dxa"/>
          <w:left w:w="28" w:type="dxa"/>
          <w:bottom w:w="28" w:type="dxa"/>
          <w:right w:w="28" w:type="dxa"/>
        </w:tblCellMar>
      </w:tblPr>
      <w:tblGrid>
        <w:gridCol w:w="124"/>
        <w:gridCol w:w="109"/>
        <w:gridCol w:w="109"/>
        <w:gridCol w:w="109"/>
        <w:gridCol w:w="109"/>
        <w:gridCol w:w="109"/>
        <w:gridCol w:w="2369"/>
        <w:gridCol w:w="2369"/>
        <w:gridCol w:w="33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0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137" w:type="dxa"/>
        <w:jc w:val="center"/>
        <w:tblInd w:w="0" w:type="dxa"/>
        <w:tblCellMar>
          <w:top w:w="28" w:type="dxa"/>
          <w:left w:w="28" w:type="dxa"/>
          <w:bottom w:w="28" w:type="dxa"/>
          <w:right w:w="28" w:type="dxa"/>
        </w:tblCellMar>
      </w:tblPr>
      <w:tblGrid>
        <w:gridCol w:w="870"/>
        <w:gridCol w:w="767"/>
        <w:gridCol w:w="777"/>
        <w:gridCol w:w="484"/>
        <w:gridCol w:w="484"/>
        <w:gridCol w:w="486"/>
        <w:gridCol w:w="956"/>
        <w:gridCol w:w="956"/>
        <w:gridCol w:w="1357"/>
      </w:tblGrid>
      <w:tr>
        <w:trPr/>
        <w:tc>
          <w:tcPr>
            <w:tcW w:w="870"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GM</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spacing w:lineRule="auto" w:line="288" w:before="140" w:after="283"/>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spacing w:lineRule="auto" w:line="288" w:before="240" w:after="283"/>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before="0" w:after="0"/>
        <w:rPr/>
      </w:pPr>
      <w:r>
        <w:rPr/>
      </w:r>
    </w:p>
    <w:p>
      <w:pPr>
        <w:pStyle w:val="TextBody"/>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2023, General Motors Company (GM) issued a news release and supplemental materials on the subject of its 2023 first quarter consolidated earnings. The news release and supplemental materials are attached as Exhibit 99.1 and Exhibit 99.2.</w:t>
      </w:r>
    </w:p>
    <w:p>
      <w:pPr>
        <w:pStyle w:val="TextBody"/>
        <w:spacing w:before="0" w:after="0"/>
        <w:ind w:left="0" w:right="0" w:firstLine="180"/>
        <w:jc w:val="both"/>
        <w:rPr/>
      </w:pPr>
      <w:r>
        <w:rPr/>
      </w:r>
    </w:p>
    <w:p>
      <w:pPr>
        <w:pStyle w:val="TextBody"/>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Charts furnished to securities analysts in connection with GM's 2023 first quarter earnings release are available on GM's website at www.gm.com/investors/earnings-releases.html.</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w:t>
      </w:r>
    </w:p>
    <w:tbl>
      <w:tblPr>
        <w:tblW w:w="7739" w:type="dxa"/>
        <w:jc w:val="center"/>
        <w:tblInd w:w="0" w:type="dxa"/>
        <w:tblCellMar>
          <w:top w:w="28" w:type="dxa"/>
          <w:left w:w="28" w:type="dxa"/>
          <w:bottom w:w="28" w:type="dxa"/>
          <w:right w:w="28" w:type="dxa"/>
        </w:tblCellMar>
      </w:tblPr>
      <w:tblGrid>
        <w:gridCol w:w="412"/>
        <w:gridCol w:w="362"/>
        <w:gridCol w:w="365"/>
        <w:gridCol w:w="1933"/>
        <w:gridCol w:w="1933"/>
        <w:gridCol w:w="2734"/>
      </w:tblGrid>
      <w:tr>
        <w:trPr/>
        <w:tc>
          <w:tcPr>
            <w:tcW w:w="41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2734" w:type="dxa"/>
            <w:tcBorders/>
            <w:shd w:fill="auto" w:val="cle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w:t>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99.1</w:t>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q12023earnings04252023.htm">
              <w:r>
                <w:rPr>
                  <w:rStyle w:val="InternetLink"/>
                  <w:rFonts w:ascii="Times New Roman;sans-serif" w:hAnsi="Times New Roman;sans-serif"/>
                  <w:b w:val="false"/>
                  <w:color w:val="0000FF"/>
                  <w:sz w:val="20"/>
                  <w:u w:val="single"/>
                </w:rPr>
                <w:t>News Release Dated April 25, 2023</w:t>
              </w:r>
            </w:hyperlink>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99.2</w:t>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mq12023financialhighlights.htm">
              <w:r>
                <w:rPr>
                  <w:rStyle w:val="InternetLink"/>
                  <w:rFonts w:ascii="Times New Roman;sans-serif" w:hAnsi="Times New Roman;sans-serif"/>
                  <w:b w:val="false"/>
                  <w:color w:val="0000FF"/>
                  <w:sz w:val="20"/>
                  <w:u w:val="single"/>
                </w:rPr>
                <w:t>Financial Highlights Dated April 25, 2023</w:t>
              </w:r>
            </w:hyperlink>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w:t>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r>
    </w:p>
    <w:tbl>
      <w:tblPr>
        <w:tblW w:w="9988" w:type="dxa"/>
        <w:jc w:val="center"/>
        <w:tblInd w:w="0" w:type="dxa"/>
        <w:tblCellMar>
          <w:top w:w="28" w:type="dxa"/>
          <w:left w:w="28" w:type="dxa"/>
          <w:bottom w:w="28" w:type="dxa"/>
          <w:right w:w="28" w:type="dxa"/>
        </w:tblCellMar>
      </w:tblPr>
      <w:tblGrid>
        <w:gridCol w:w="645"/>
        <w:gridCol w:w="568"/>
        <w:gridCol w:w="571"/>
        <w:gridCol w:w="134"/>
        <w:gridCol w:w="134"/>
        <w:gridCol w:w="136"/>
        <w:gridCol w:w="2282"/>
        <w:gridCol w:w="2282"/>
        <w:gridCol w:w="3236"/>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c>
          <w:tcPr>
            <w:tcW w:w="3236"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MOTORS COMPANY (Registrant)</w:t>
            </w:r>
          </w:p>
          <w:p>
            <w:pPr>
              <w:pStyle w:val="TableContents"/>
              <w:spacing w:before="0" w:after="0"/>
              <w:jc w:val="left"/>
              <w:rPr/>
            </w:pPr>
            <w:r>
              <w:rPr/>
            </w:r>
          </w:p>
          <w:p>
            <w:pPr>
              <w:pStyle w:val="TableContents"/>
              <w:spacing w:before="0" w:after="0"/>
              <w:rPr/>
            </w:pPr>
            <w:r>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T. HATTO</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25,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Christopher T. Hatto, Vice President, Global Business Solutions and Chief Accounting Officer </w:t>
            </w:r>
          </w:p>
        </w:tc>
      </w:tr>
    </w:tbl>
    <w:p>
      <w:pPr>
        <w:pStyle w:val="TextBody"/>
        <w:spacing w:before="0" w:after="0"/>
        <w:rPr/>
      </w:pPr>
      <w:r>
        <w:rPr/>
      </w:r>
    </w:p>
    <w:p>
      <w:pPr>
        <w:pStyle w:val="TextBody"/>
        <w:rPr/>
      </w:pPr>
      <w:r>
        <w:rPr/>
      </w:r>
      <w:r>
        <w:br w:type="page"/>
      </w:r>
    </w:p>
    <w:p>
      <w:pPr>
        <w:pStyle w:val="TextBody"/>
        <w:spacing w:before="0" w:after="0"/>
        <w:jc w:val="center"/>
        <w:rPr/>
      </w:pPr>
      <w:bookmarkStart w:id="0" w:name="q12023earnings04252023.htm"/>
      <w:bookmarkStart w:id="1" w:name="ksq12023earnings04252023"/>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jc w:val="center"/>
        <w:rPr>
          <w:color w:val="FFFFFF"/>
          <w:sz w:val="2"/>
        </w:rPr>
      </w:pPr>
      <w:r>
        <w:rPr>
          <w:color w:val="FFFFFF"/>
          <w:sz w:val="2"/>
        </w:rPr>
        <w:t xml:space="preserve">For release: Tuesday, April 25, 2023, at 6:30 a.m. ET GM Releases 2023 First-Quarter Results and Raises Full-Year Guidance DETROIT – General Motors Co. (NYSE: GM) today reported first-quarter 2023 revenue of $40.0 billion, net income attributable to stockholders of $2.4 billion and EBIT-adjusted of $3.8 billion. GM is also updating its full-year 2023 earnings guidance: • U.S. GAAP net income attributable to stockholders of $8.4 billion-$9.9 billion, compared to the previous outlook of $8.7 billion-$10.1 billion, including $0.9 billion of charges related to the voluntary separation program • EBIT-adjusted of $11.0 billion-$13.0 billion, compared to the previous outlook of $10.5 billion-$12.5 billion • U.S. GAAP net automotive cash provided by operating activities of $16.5 billion-$20.5 billion, compared to the previous outlook of $16.0 billion-$20.0 billion • Adjusted automotive free cash flow of $5.5 billion-$7.5 billion, compared to the previous outlook of $5.0 billion-$7.0 billion See below for reconciliations of non-GAAP measures to their most directly comparable GAAP measures or visit the GM Investor Relations website for complete details. Downloads • GM Chair and CEO Mary Barra's letter to shareholders • Earnings deck • Detailed quarterly results with year-over-year comparisons Conference Call for Investors and Analysts GM Chair and CEO Mary Barra and GM Chief Financial Officer Paul Jacobson will host a conference call for the investment community at 8:30 a.m. ET today to discuss these results. Those who wish to listen to the call may dial in using the following numbers and passcode: • United States: 1-800-857-9821 • International: +1-517-308-9481 • Conference call passcode: General Motors News Exhibit 99.1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Results Overview Three Months Ended ($M) except where noted March 31, 2023 March 31, 2022 Change % Change Revenue $ 39,985 $ 35,979 $ 4,006 11.1 % Net income attributable to stockholders $ 2,395 $ 2,939 $ (544) (18.5) % EBIT-adjusted $ 3,803 $ 4,044 $ (241) (6.0) % Net income margin 6.0 % 8.2 % (2.2) ppts (26.8) % EBIT-adjusted margin 9.5 % 11.2 % (1.7) ppts (15.2) % Automotive operating cash flow $ 2,232 $ 1,635 $ 597 36.5 % Adjusted automotive free cash flow $ (132) $ 6 $ (138) n.m. EPS-diluted(a) $ 1.69 $ 1.35 $ 0.34 25.2 % EPS-diluted-adjusted(a) $ 2.21 $ 2.09 $ 0.12 5.7 % GMNA EBIT-adjusted $ 3,576 $ 3,141 $ 435 13.8 % GMNA EBIT-adjusted margin 10.9 % 10.7 % 0.2 ppts 1.9 % GMI EBIT-adjusted $ 347 $ 328 $ 19 5.8 % China equity income $ 83 $ 234 $ (151) (64.5) % GM Financial EBT-adjusted $ 771 $ 1,284 $ (513) (40.0) % __________ (a) EPS-diluted and EPS-diluted-adjusted include a $0.03 and $(0.11) impact from revaluation on equity investments in the three months ended March 31, 2023 and March 31, 2022. (b) n.m. = not meaningful General Motors (NYSE:GM) is a global company focused on advancing an all-electric future that is inclusive and accessible to all. At the heart of this strategy is the Ultium battery platform, which powers everything from mass-market to high-performance vehicles. General Motors, its subsidiaries and its joint venture entities sell vehicles under the Chevrolet, Buick, GMC, Cadillac, Baojun and Wuling brands. More information on the company and its subsidiaries, including OnStar, a global leader in vehicle safety and security services, can be found at https://www.gm.com.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CONTACTS: Jim Cain GM Communications 313-407-2843 james.cain@chevrolet.com Ashish Kohli GM Investor Relations 847-964-3459 ashish.kohli@gm.com David Caldwell GM Communications 586-899-7861 david.caldwell@gm.com Cautionary Note on Forward-Looking Statements: This press release and related comments by management may include “forward-looking statements” 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Non-GAAP Reconciliations The following table reconciles Net income attributable to stockholders under U.S. GAAP to EBIT-adjusted (dollars in millions): Three Months Ended March 31, 2023 March 31, 2022 Net income attributable to stockholders(a) $ 2,395 $ 2,939 Income tax expense (benefit) 428 (28) Automotive interest expense 234 226 Automotive interest income (229) (50) Adjustments Voluntary separation program(b) 875 — Cruise compensation modifications(c) — 1,057 Buick dealer strategy(d) 99 — Patent royalty matters(e) — (100) Total adjustments 974 957 EBIT-adjusted $ 3,803 $ 4,044 __________ (a) Net of net loss attributable to noncontrolling interests. (b) This adjustment was excluded because it relates to the acceleration of attrition as part of the cost reduction program announced in January 2023, primarily in the United States. (c) This adjustment was excluded because it relates to the one-time modification of Cruise stock incentive awards. (d) This adjustment was excluded because it relates to strategic activities to transition certain Buick dealers out of our dealer network as part of Buick’s EV strategy. (e) This adjustment was excluded because it relates to the resolution of substantially all royalty matters accrued with respect to past-year vehicle sales in the three months ended March 31, 2022. The following table reconciles diluted earnings per common share under U.S. GAAP to EPS-diluted-adjusted (dollars in millions, except per share amounts): Three Months Ended March 31, 2023 March 31, 2022 Amount Per Share Amount Per Share Diluted earnings per common share $ 2,369 $ 1.69 $ 1,987 $ 1.35 Adjustments(a) 974 0.69 957 0.65 Tax effect on adjustments(b) (239) (0.17) (296) (0.20) Tax adjustments(c) — — (482) (0.33) Deemed dividend adjustment(d) — — 909 0.62 EPS-diluted-adjusted $ 3,104 $ 2.21 $ 3,075 $ 2.09 __________ (a) Refer to the reconciliation of Net income attributable to stockholders under U.S. GAAP to EBIT-adjusted for adjustment details. (b) The tax effect of each adjustment is determined based on the tax laws and valuation allowance status of the jurisdiction to which the adjustment relates. (c) This adjustment consists of tax benefit related to the release of a valuation allowance against deferred tax assets considered realizable as a result of Cruise tax reconsolidation in the three months ended March 31, 2022. This adjustment was excluded because significant impacts of valuation allowances are not considered part of our core operations. (d) This adjustment consists of a deemed dividend related to the redemption of Cruise preferred shares from SoftBank in the three months ended March 31, 2022.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following table reconciles net automotive cash provided by operating activities under U.S. GAAP to adjusted automotive free cash flow (dollars in millions): Three Months Ended March 31, 2023 March 31, 2022 Net automotive cash provided by operating activities $ 2,232 $ 1,635 Less: Capital expenditures (2,408) (1,645) Add: Buick dealer strategy 39 — Add: Employee separation costs 5 — Add: GM Korea wage litigation — 16 Adjusted automotive free cash flow $ (132) $ 6 Guidance Reconciliations The following table reconciles expected Net income attributable to stockholders under U.S. GAAP to expected EBIT-adjusted (dollars in billions): Year Ending December 31, 2023 Net income attributable to stockholders $ 8.4-9.9 Income tax expense 1.5-2.0 Automotive interest expense, net 0.1 Adjustments(a) 1.0 EBIT-adjusted $ 11.0-13.0 __________ (a) Refer to the reconciliation of Net income attributable to stockholders under U.S. GAAP to EBIT-adjusted for the details of each individual adjustment. We do not consider the potential future impact of adjustments on our expected financial results. The following table reconciles expected automotive net cash provided by operating activities under U.S. GAAP to expected adjusted automotive free cash flow (dollars in billions): Year Ending December 31, 2023 Net automotive cash provided by operating activities $ 16.5-20.5 Less: Capital expenditures 11.0-13.0 Adjusted automotive free cash flow(a) $ 5.5-7.5 __________ (a) We do not consider the potential future impact of adjustments on our expected financial results.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22"/>
        </w:rPr>
      </w:pPr>
      <w:r>
        <w:rPr>
          <w:rFonts w:ascii="Arial;sans-serif" w:hAnsi="Arial;sans-serif"/>
          <w:b/>
          <w:color w:val="000000"/>
          <w:sz w:val="22"/>
        </w:rPr>
        <w:t>Exhibit 99.2</w:t>
      </w:r>
    </w:p>
    <w:p>
      <w:pPr>
        <w:pStyle w:val="TextBody"/>
        <w:spacing w:before="0" w:after="0"/>
        <w:jc w:val="right"/>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pStyle w:val="TextBody"/>
        <w:spacing w:before="0" w:after="0"/>
        <w:ind w:left="0" w:right="0" w:firstLine="180"/>
        <w:jc w:val="both"/>
        <w:rPr/>
      </w:pPr>
      <w:r>
        <w:rPr/>
      </w:r>
    </w:p>
    <w:p>
      <w:pPr>
        <w:pStyle w:val="TextBody"/>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 xml:space="preserve">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 </w:t>
      </w:r>
    </w:p>
    <w:p>
      <w:pPr>
        <w:pStyle w:val="TextBody"/>
        <w:spacing w:before="0" w:after="0"/>
        <w:ind w:left="0" w:right="0" w:firstLine="180"/>
        <w:jc w:val="both"/>
        <w:rPr/>
      </w:pPr>
      <w:r>
        <w:rPr/>
      </w:r>
    </w:p>
    <w:p>
      <w:pPr>
        <w:pStyle w:val="TextBody"/>
        <w:spacing w:lineRule="auto" w:line="288" w:before="0" w:after="0"/>
        <w:ind w:left="0" w:right="0" w:firstLine="180"/>
        <w:jc w:val="both"/>
        <w:rPr/>
      </w:pPr>
      <w:r>
        <w:rPr>
          <w:rFonts w:ascii="Arial;sans-serif" w:hAnsi="Arial;sans-serif"/>
          <w:b/>
          <w:i/>
          <w:color w:val="000000"/>
          <w:sz w:val="18"/>
        </w:rPr>
        <w:t xml:space="preserve">EBIT-adjusted </w:t>
      </w:r>
      <w:r>
        <w:rPr>
          <w:rFonts w:ascii="Arial;sans-serif" w:hAnsi="Arial;sans-serif"/>
          <w:b w:val="false"/>
          <w:color w:val="000000"/>
          <w:sz w:val="18"/>
        </w:rPr>
        <w:t>EBIT-adjusted is presented net of noncontrolling interests and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r>
        <w:rPr>
          <w:color w:val="000000"/>
        </w:rPr>
        <w:t xml:space="preserve"> </w:t>
      </w:r>
    </w:p>
    <w:p>
      <w:pPr>
        <w:pStyle w:val="TextBody"/>
        <w:spacing w:before="0" w:after="0"/>
        <w:ind w:left="0" w:right="0" w:firstLine="180"/>
        <w:jc w:val="both"/>
        <w:rPr/>
      </w:pPr>
      <w:r>
        <w:rPr/>
      </w:r>
    </w:p>
    <w:p>
      <w:pPr>
        <w:pStyle w:val="TextBody"/>
        <w:spacing w:lineRule="auto" w:line="288" w:before="0" w:after="0"/>
        <w:ind w:left="0" w:right="0" w:firstLine="180"/>
        <w:jc w:val="both"/>
        <w:rPr/>
      </w:pPr>
      <w:r>
        <w:rPr>
          <w:rFonts w:ascii="Arial;sans-serif" w:hAnsi="Arial;sans-serif"/>
          <w:b/>
          <w:i/>
          <w:color w:val="000000"/>
          <w:sz w:val="18"/>
        </w:rPr>
        <w:t>EPS-diluted-adjusted</w:t>
      </w:r>
      <w:r>
        <w:rPr>
          <w:color w:val="000000"/>
        </w:rPr>
        <w:t xml:space="preserve"> </w:t>
      </w:r>
      <w:r>
        <w:rPr>
          <w:rFonts w:ascii="Arial;sans-serif" w:hAnsi="Arial;sans-serif"/>
          <w:b w:val="false"/>
          <w:color w:val="000000"/>
          <w:sz w:val="18"/>
        </w:rPr>
        <w:t>EPS-diluted-adjusted is used by management and can be 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pStyle w:val="TextBody"/>
        <w:spacing w:before="0" w:after="0"/>
        <w:ind w:left="0" w:right="0" w:firstLine="180"/>
        <w:jc w:val="both"/>
        <w:rPr/>
      </w:pPr>
      <w:r>
        <w:rPr/>
      </w:r>
    </w:p>
    <w:p>
      <w:pPr>
        <w:pStyle w:val="TextBody"/>
        <w:spacing w:lineRule="auto" w:line="288" w:before="0" w:after="0"/>
        <w:ind w:left="0" w:right="0" w:firstLine="180"/>
        <w:jc w:val="both"/>
        <w:rPr/>
      </w:pPr>
      <w:r>
        <w:rPr>
          <w:rFonts w:ascii="Arial;sans-serif" w:hAnsi="Arial;sans-serif"/>
          <w:b/>
          <w:i/>
          <w:color w:val="000000"/>
          <w:sz w:val="18"/>
        </w:rPr>
        <w:t>ETR-adjusted</w:t>
      </w:r>
      <w:r>
        <w:rPr>
          <w:color w:val="000000"/>
        </w:rPr>
        <w:t xml:space="preserve"> </w:t>
      </w:r>
      <w:r>
        <w:rPr>
          <w:rFonts w:ascii="Arial;sans-serif" w:hAnsi="Arial;sans-serif"/>
          <w:b w:val="false"/>
          <w:color w:val="000000"/>
          <w:sz w:val="18"/>
        </w:rPr>
        <w:t>ETR-adjusted is used by management and can be used by investors to review the 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r>
        <w:rPr>
          <w:color w:val="000000"/>
        </w:rPr>
        <w:t xml:space="preserve"> </w:t>
      </w:r>
    </w:p>
    <w:p>
      <w:pPr>
        <w:pStyle w:val="TextBody"/>
        <w:spacing w:before="0" w:after="0"/>
        <w:ind w:left="0" w:right="0" w:firstLine="180"/>
        <w:jc w:val="both"/>
        <w:rPr/>
      </w:pPr>
      <w:r>
        <w:rPr/>
      </w:r>
    </w:p>
    <w:p>
      <w:pPr>
        <w:pStyle w:val="TextBody"/>
        <w:spacing w:lineRule="auto" w:line="288" w:before="0" w:after="0"/>
        <w:ind w:left="0" w:right="0" w:firstLine="180"/>
        <w:jc w:val="both"/>
        <w:rPr/>
      </w:pPr>
      <w:r>
        <w:rPr>
          <w:rFonts w:ascii="Arial;sans-serif" w:hAnsi="Arial;sans-serif"/>
          <w:b/>
          <w:i/>
          <w:color w:val="000000"/>
          <w:sz w:val="18"/>
        </w:rPr>
        <w:t>ROIC-adjusted</w:t>
      </w:r>
      <w:r>
        <w:rPr>
          <w:color w:val="000000"/>
        </w:rPr>
        <w:t xml:space="preserve"> </w:t>
      </w:r>
      <w:r>
        <w:rPr>
          <w:rFonts w:ascii="Arial;sans-serif" w:hAnsi="Arial;sans-serif"/>
          <w:b w:val="false"/>
          <w:color w:val="000000"/>
          <w:sz w:val="18"/>
        </w:rPr>
        <w:t>ROIC-adjusted is used by management and can be used by investors to review our 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pStyle w:val="TextBody"/>
        <w:spacing w:before="0" w:after="0"/>
        <w:ind w:left="0" w:right="0" w:firstLine="180"/>
        <w:jc w:val="both"/>
        <w:rPr/>
      </w:pPr>
      <w:r>
        <w:rPr/>
      </w:r>
    </w:p>
    <w:p>
      <w:pPr>
        <w:pStyle w:val="TextBody"/>
        <w:spacing w:lineRule="auto" w:line="288" w:before="0" w:after="0"/>
        <w:ind w:left="0" w:right="0" w:firstLine="180"/>
        <w:jc w:val="both"/>
        <w:rPr/>
      </w:pPr>
      <w:r>
        <w:rPr>
          <w:rFonts w:ascii="Arial;sans-serif" w:hAnsi="Arial;sans-serif"/>
          <w:b/>
          <w:i/>
          <w:color w:val="000000"/>
          <w:sz w:val="18"/>
        </w:rPr>
        <w:t>Adjusted automotive free cash flow</w:t>
      </w:r>
      <w:r>
        <w:rPr>
          <w:color w:val="000000"/>
        </w:rPr>
        <w:t xml:space="preserve"> </w:t>
      </w:r>
      <w:r>
        <w:rPr>
          <w:rFonts w:ascii="Arial;sans-serif" w:hAnsi="Arial;sans-serif"/>
          <w:b w:val="false"/>
          <w:color w:val="000000"/>
          <w:sz w:val="18"/>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w:t>
      </w:r>
    </w:p>
    <w:p>
      <w:pPr>
        <w:pStyle w:val="TextBody"/>
        <w:spacing w:before="0" w:after="0"/>
        <w:jc w:val="both"/>
        <w:rPr/>
      </w:pPr>
      <w:r>
        <w:rPr/>
      </w:r>
    </w:p>
    <w:p>
      <w:pPr>
        <w:pStyle w:val="TextBody"/>
        <w:spacing w:lineRule="auto" w:line="288"/>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Certain columns and rows may not add due to rounding.</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6705"/>
                <wp:effectExtent l="0" t="0" r="0" b="0"/>
                <wp:wrapNone/>
                <wp:docPr id="9" name="Frame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Supplemental Material</w:t>
      </w:r>
    </w:p>
    <w:p>
      <w:pPr>
        <w:pStyle w:val="TextBody"/>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The following table reconciles Net income attributable to stockholders under U.S. GAAP to segment profit (loss) (dollars in millions):</w:t>
      </w:r>
    </w:p>
    <w:tbl>
      <w:tblPr>
        <w:tblW w:w="6700" w:type="dxa"/>
        <w:jc w:val="left"/>
        <w:tblInd w:w="0" w:type="dxa"/>
        <w:tblCellMar>
          <w:top w:w="28" w:type="dxa"/>
          <w:left w:w="28" w:type="dxa"/>
          <w:bottom w:w="28" w:type="dxa"/>
          <w:right w:w="28" w:type="dxa"/>
        </w:tblCellMar>
      </w:tblPr>
      <w:tblGrid>
        <w:gridCol w:w="1270"/>
        <w:gridCol w:w="1117"/>
        <w:gridCol w:w="1123"/>
        <w:gridCol w:w="109"/>
        <w:gridCol w:w="109"/>
        <w:gridCol w:w="110"/>
        <w:gridCol w:w="110"/>
        <w:gridCol w:w="110"/>
        <w:gridCol w:w="110"/>
        <w:gridCol w:w="243"/>
        <w:gridCol w:w="712"/>
        <w:gridCol w:w="125"/>
        <w:gridCol w:w="109"/>
        <w:gridCol w:w="109"/>
        <w:gridCol w:w="109"/>
        <w:gridCol w:w="242"/>
        <w:gridCol w:w="707"/>
        <w:gridCol w:w="176"/>
      </w:tblGrid>
      <w:tr>
        <w:trPr/>
        <w:tc>
          <w:tcPr>
            <w:tcW w:w="127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7"/>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1452" w:type="dxa"/>
            <w:gridSpan w:val="6"/>
            <w:tcBorders/>
            <w:shd w:fill="auto" w:val="clea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2022</w:t>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stockholders(a)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Automotive 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7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Automotive interest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Voluntary separation program(b)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Cruise compensation modifications(c)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Buick dealer strategy(d)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Patent royalty matters(e)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EBIT-adjusted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segments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 North America (GMNA)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 International (GMI)</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Cruise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 Financial(f)</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segments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eliminations(g)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EBIT-adjusted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(a)Net of net loss attributable to noncontrolling interests.</w:t>
      </w:r>
    </w:p>
    <w:p>
      <w:pPr>
        <w:pStyle w:val="TextBody"/>
        <w:spacing w:lineRule="auto" w:line="288" w:before="0" w:after="0"/>
        <w:ind w:left="0" w:right="0" w:hanging="360"/>
        <w:jc w:val="both"/>
        <w:rPr/>
      </w:pPr>
      <w:r>
        <w:rPr>
          <w:rFonts w:ascii="Arial;sans-serif" w:hAnsi="Arial;sans-serif"/>
          <w:b w:val="false"/>
          <w:color w:val="000000"/>
          <w:sz w:val="18"/>
        </w:rPr>
        <w:t>(b)</w:t>
      </w:r>
      <w:r>
        <w:rPr>
          <w:rFonts w:ascii="Arial;sans-serif" w:hAnsi="Arial;sans-serif"/>
          <w:b w:val="false"/>
          <w:color w:val="000000"/>
          <w:sz w:val="16"/>
        </w:rPr>
        <w:t>This adjustment was excluded because it relates to the acceleration of attrition as part of the cost reduction program announced in January 2023, primarily in the United States.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(c)This adjustment was excluded because it relates to the one-time modification of Cruise stock incentive awards.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(d)This adjustment was excluded because it relates to strategic activities to transition certain Buick dealers out of our dealer network as part of Buick’s EV strategy.</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(e)This adjustment was excluded because it relates to the resolution of substantially all royalty matters accrued with respect to past-year vehicle sales in the three months ended March 31, 2022.</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(f)GM Financial amounts represent EBT-adjusted.</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(g)GM's automotive interest income and interest expense, legacy costs from the Opel/Vauxhall Business (primarily pension costs), corporate expenditures and certain nonsegment specific revenues and expenses are recorded centrally in Corporate.</w:t>
      </w:r>
    </w:p>
    <w:p>
      <w:pPr>
        <w:pStyle w:val="TextBody"/>
        <w:spacing w:before="0" w:after="0"/>
        <w:jc w:val="both"/>
        <w:rPr/>
      </w:pPr>
      <w:r>
        <w:rPr/>
      </w:r>
    </w:p>
    <w:p>
      <w:pPr>
        <w:pStyle w:val="TextBody"/>
        <w:spacing w:before="0" w:after="0"/>
        <w:ind w:left="0" w:right="0" w:hanging="108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pStyle w:val="TextBody"/>
        <w:spacing w:before="0" w:after="0"/>
        <w:ind w:left="0" w:right="0" w:hanging="27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6705"/>
                <wp:effectExtent l="0" t="0" r="0" b="0"/>
                <wp:wrapNone/>
                <wp:docPr id="10" name="Frame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Supplemental Material</w:t>
      </w:r>
    </w:p>
    <w:p>
      <w:pPr>
        <w:pStyle w:val="TextBody"/>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spacing w:lineRule="auto" w:line="288" w:before="0" w:after="0"/>
        <w:ind w:left="0" w:right="0" w:firstLine="180"/>
        <w:jc w:val="both"/>
        <w:rPr/>
      </w:pPr>
      <w:r>
        <w:rPr>
          <w:rFonts w:ascii="Arial;sans-serif" w:hAnsi="Arial;sans-serif"/>
          <w:b w:val="false"/>
          <w:color w:val="000000"/>
          <w:sz w:val="18"/>
        </w:rPr>
        <w:t>The following table reconciles diluted earnin</w:t>
      </w:r>
      <w:r>
        <w:rPr>
          <w:rFonts w:ascii="Arial;sans-serif" w:hAnsi="Arial;sans-serif"/>
          <w:b w:val="false"/>
          <w:color w:val="000000"/>
          <w:sz w:val="18"/>
          <w:highlight w:val="white"/>
        </w:rPr>
        <w:t>gs pe</w:t>
      </w:r>
      <w:r>
        <w:rPr>
          <w:rFonts w:ascii="Arial;sans-serif" w:hAnsi="Arial;sans-serif"/>
          <w:b w:val="false"/>
          <w:color w:val="000000"/>
          <w:sz w:val="18"/>
        </w:rPr>
        <w:t>r common share under U.S. GAAP to EPS-diluted-adjusted (dollars in millions, except per share amounts):</w:t>
      </w:r>
    </w:p>
    <w:tbl>
      <w:tblPr>
        <w:tblW w:w="9447" w:type="dxa"/>
        <w:jc w:val="center"/>
        <w:tblInd w:w="0" w:type="dxa"/>
        <w:tblCellMar>
          <w:top w:w="28" w:type="dxa"/>
          <w:left w:w="28" w:type="dxa"/>
          <w:bottom w:w="28" w:type="dxa"/>
          <w:right w:w="28" w:type="dxa"/>
        </w:tblCellMar>
      </w:tblPr>
      <w:tblGrid>
        <w:gridCol w:w="1101"/>
        <w:gridCol w:w="970"/>
        <w:gridCol w:w="974"/>
        <w:gridCol w:w="109"/>
        <w:gridCol w:w="109"/>
        <w:gridCol w:w="109"/>
        <w:gridCol w:w="109"/>
        <w:gridCol w:w="359"/>
        <w:gridCol w:w="359"/>
        <w:gridCol w:w="361"/>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4"/>
      </w:tblGrid>
      <w:tr>
        <w:trPr/>
        <w:tc>
          <w:tcPr>
            <w:tcW w:w="1101"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624" w:type="dxa"/>
            <w:gridSpan w:val="18"/>
            <w:tcBorders/>
            <w:shd w:fill="auto" w:val="clea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2022</w:t>
            </w:r>
          </w:p>
        </w:tc>
        <w:tc>
          <w:tcPr>
            <w:tcW w:w="2466" w:type="dxa"/>
            <w:gridSpan w:val="12"/>
            <w:tcBorders/>
            <w:shd w:fill="auto" w:val="clea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Per Share</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 on adjustments(b)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adjustments(c)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Deemed dividend adjustment(d)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EPS-diluted-adjusted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(a)Refer to the reconciliation of Net income attributable to stockholders under U.S. GAAP to segment profit (loss) for adjustment details.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(b)The tax effect of each adjustment is determined based on the tax laws and valuation allowance status of the jurisdiction to which the adjustment relates.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(c)This adjustment consists of tax benefit related to the release of a valuation allowance against deferred tax assets that are considered realizable as a result of Cruise tax reconsolidation in the three months ended March 31, 2022. This adjustment was excluded because significant impacts of valuation allowances are not considered part of our core operations.</w:t>
      </w:r>
    </w:p>
    <w:p>
      <w:pPr>
        <w:pStyle w:val="TextBody"/>
        <w:spacing w:lineRule="auto" w:line="256" w:before="0" w:after="0"/>
        <w:ind w:left="0" w:right="0" w:hanging="360"/>
        <w:jc w:val="both"/>
        <w:rPr>
          <w:rFonts w:ascii="Arial;sans-serif" w:hAnsi="Arial;sans-serif"/>
          <w:b w:val="false"/>
          <w:color w:val="000000"/>
          <w:sz w:val="16"/>
        </w:rPr>
      </w:pPr>
      <w:r>
        <w:rPr>
          <w:rFonts w:ascii="Arial;sans-serif" w:hAnsi="Arial;sans-serif"/>
          <w:b w:val="false"/>
          <w:color w:val="000000"/>
          <w:sz w:val="16"/>
        </w:rPr>
        <w:t>(d)This adjustment consists of a deemed dividend related to the redemption of Cruise preferred shares from SoftBank Vision Fund (AIV M2) L.P. (SoftBank) in the three months ended March 31, 2022.</w:t>
      </w:r>
    </w:p>
    <w:p>
      <w:pPr>
        <w:pStyle w:val="TextBody"/>
        <w:spacing w:before="0" w:after="0"/>
        <w:jc w:val="both"/>
        <w:rPr/>
      </w:pPr>
      <w:r>
        <w:rPr/>
      </w:r>
    </w:p>
    <w:p>
      <w:pPr>
        <w:pStyle w:val="TextBody"/>
        <w:spacing w:lineRule="auto" w:line="288" w:before="0" w:after="0"/>
        <w:ind w:left="0" w:right="0" w:hanging="180"/>
        <w:jc w:val="both"/>
        <w:rPr>
          <w:rFonts w:ascii="Arial;sans-serif" w:hAnsi="Arial;sans-serif"/>
          <w:b w:val="false"/>
          <w:color w:val="000000"/>
          <w:sz w:val="18"/>
        </w:rPr>
      </w:pPr>
      <w:r>
        <w:rPr>
          <w:rFonts w:ascii="Arial;sans-serif" w:hAnsi="Arial;sans-serif"/>
          <w:b w:val="false"/>
          <w:color w:val="000000"/>
          <w:sz w:val="18"/>
        </w:rPr>
        <w:t>The following table reconciles our effective tax rate under U.S. GAAP to ETR-adjusted (dollars in millions):</w:t>
      </w:r>
    </w:p>
    <w:tbl>
      <w:tblPr>
        <w:tblW w:w="10205" w:type="dxa"/>
        <w:jc w:val="center"/>
        <w:tblInd w:w="0" w:type="dxa"/>
        <w:tblCellMar>
          <w:top w:w="28" w:type="dxa"/>
          <w:left w:w="28" w:type="dxa"/>
          <w:bottom w:w="28" w:type="dxa"/>
          <w:right w:w="28" w:type="dxa"/>
        </w:tblCellMar>
      </w:tblPr>
      <w:tblGrid>
        <w:gridCol w:w="589"/>
        <w:gridCol w:w="418"/>
        <w:gridCol w:w="296"/>
        <w:gridCol w:w="109"/>
        <w:gridCol w:w="109"/>
        <w:gridCol w:w="109"/>
        <w:gridCol w:w="109"/>
        <w:gridCol w:w="123"/>
        <w:gridCol w:w="123"/>
        <w:gridCol w:w="123"/>
        <w:gridCol w:w="123"/>
        <w:gridCol w:w="123"/>
        <w:gridCol w:w="109"/>
        <w:gridCol w:w="109"/>
        <w:gridCol w:w="109"/>
        <w:gridCol w:w="109"/>
        <w:gridCol w:w="109"/>
        <w:gridCol w:w="232"/>
        <w:gridCol w:w="678"/>
        <w:gridCol w:w="120"/>
        <w:gridCol w:w="109"/>
        <w:gridCol w:w="109"/>
        <w:gridCol w:w="109"/>
        <w:gridCol w:w="243"/>
        <w:gridCol w:w="538"/>
        <w:gridCol w:w="125"/>
        <w:gridCol w:w="109"/>
        <w:gridCol w:w="109"/>
        <w:gridCol w:w="109"/>
        <w:gridCol w:w="255"/>
        <w:gridCol w:w="256"/>
        <w:gridCol w:w="358"/>
        <w:gridCol w:w="109"/>
        <w:gridCol w:w="109"/>
        <w:gridCol w:w="109"/>
        <w:gridCol w:w="232"/>
        <w:gridCol w:w="678"/>
        <w:gridCol w:w="120"/>
        <w:gridCol w:w="109"/>
        <w:gridCol w:w="109"/>
        <w:gridCol w:w="109"/>
        <w:gridCol w:w="243"/>
        <w:gridCol w:w="538"/>
        <w:gridCol w:w="125"/>
        <w:gridCol w:w="109"/>
        <w:gridCol w:w="109"/>
        <w:gridCol w:w="109"/>
        <w:gridCol w:w="262"/>
        <w:gridCol w:w="249"/>
        <w:gridCol w:w="419"/>
      </w:tblGrid>
      <w:tr>
        <w:trPr/>
        <w:tc>
          <w:tcPr>
            <w:tcW w:w="58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r>
      <w:tr>
        <w:trPr/>
        <w:tc>
          <w:tcPr>
            <w:tcW w:w="1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8"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6276" w:type="dxa"/>
            <w:gridSpan w:val="30"/>
            <w:tcBorders/>
            <w:shd w:fill="auto" w:val="clear"/>
          </w:tcPr>
          <w:p>
            <w:pPr>
              <w:pStyle w:val="TableContents"/>
              <w:spacing w:before="0" w:after="283"/>
              <w:rPr>
                <w:sz w:val="4"/>
                <w:szCs w:val="4"/>
              </w:rPr>
            </w:pPr>
            <w:r>
              <w:rPr>
                <w:sz w:val="4"/>
                <w:szCs w:val="4"/>
              </w:rPr>
            </w:r>
          </w:p>
        </w:tc>
      </w:tr>
      <w:tr>
        <w:trPr/>
        <w:tc>
          <w:tcPr>
            <w:tcW w:w="1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1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2022</w:t>
            </w:r>
          </w:p>
        </w:tc>
        <w:tc>
          <w:tcPr>
            <w:tcW w:w="5043" w:type="dxa"/>
            <w:gridSpan w:val="24"/>
            <w:tcBorders/>
            <w:shd w:fill="auto" w:val="clear"/>
          </w:tcPr>
          <w:p>
            <w:pPr>
              <w:pStyle w:val="TableContents"/>
              <w:spacing w:before="0" w:after="283"/>
              <w:rPr>
                <w:sz w:val="4"/>
                <w:szCs w:val="4"/>
              </w:rPr>
            </w:pPr>
            <w:r>
              <w:rPr>
                <w:sz w:val="4"/>
                <w:szCs w:val="4"/>
              </w:rPr>
            </w:r>
          </w:p>
        </w:tc>
      </w:tr>
      <w:tr>
        <w:trPr/>
        <w:tc>
          <w:tcPr>
            <w:tcW w:w="1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Income before income 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Income tax expense (benefit)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Income before income 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Income tax expense (benefit)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r>
      <w:tr>
        <w:trPr/>
        <w:tc>
          <w:tcPr>
            <w:tcW w:w="1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adjustments(b)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ETR-adjusted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4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(a)Refer to the reconciliation of Net income attributable to stockholders under U.S. GAAP to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(b)Refer to the reconciliation of diluted earnings per common share under U.S. GAAP to EPS-diluted-adjusted for adjustment details.</w:t>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spacing w:before="0" w:after="0"/>
        <w:ind w:left="0" w:right="0" w:firstLine="18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6705"/>
                <wp:effectExtent l="0" t="0" r="0" b="0"/>
                <wp:wrapNone/>
                <wp:docPr id="11" name="Frame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Supplemental Material</w:t>
      </w:r>
    </w:p>
    <w:p>
      <w:pPr>
        <w:pStyle w:val="TextBody"/>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tbl>
      <w:tblPr>
        <w:tblW w:w="5816" w:type="dxa"/>
        <w:jc w:val="center"/>
        <w:tblInd w:w="0" w:type="dxa"/>
        <w:tblCellMar>
          <w:top w:w="28" w:type="dxa"/>
          <w:left w:w="28" w:type="dxa"/>
          <w:bottom w:w="28" w:type="dxa"/>
          <w:right w:w="28" w:type="dxa"/>
        </w:tblCellMar>
      </w:tblPr>
      <w:tblGrid>
        <w:gridCol w:w="1191"/>
        <w:gridCol w:w="1046"/>
        <w:gridCol w:w="1048"/>
        <w:gridCol w:w="229"/>
        <w:gridCol w:w="556"/>
        <w:gridCol w:w="295"/>
        <w:gridCol w:w="109"/>
        <w:gridCol w:w="109"/>
        <w:gridCol w:w="109"/>
        <w:gridCol w:w="228"/>
        <w:gridCol w:w="554"/>
        <w:gridCol w:w="342"/>
      </w:tblGrid>
      <w:tr>
        <w:trPr/>
        <w:tc>
          <w:tcPr>
            <w:tcW w:w="1191"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1"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Four Quarters Ended</w:t>
            </w:r>
          </w:p>
        </w:tc>
      </w:tr>
      <w:tr>
        <w:trPr/>
        <w:tc>
          <w:tcPr>
            <w:tcW w:w="3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2022</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stockholders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equity(a)</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59.6 </w:t>
            </w:r>
          </w:p>
        </w:tc>
        <w:tc>
          <w:tcPr>
            <w:tcW w:w="3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ROE</w:t>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equity of noncontrolling interests where the corresponding earnings (loss) are included in Net income attributable to stockholders.</w:t>
      </w:r>
    </w:p>
    <w:p>
      <w:pPr>
        <w:pStyle w:val="TextBody"/>
        <w:spacing w:before="0" w:after="0"/>
        <w:jc w:val="center"/>
        <w:rPr/>
      </w:pPr>
      <w:r>
        <w:rPr/>
      </w:r>
    </w:p>
    <w:p>
      <w:pPr>
        <w:pStyle w:val="TextBody"/>
        <w:spacing w:lineRule="auto" w:line="288" w:before="0" w:after="0"/>
        <w:ind w:left="0" w:right="0" w:firstLine="180"/>
        <w:rPr>
          <w:rFonts w:ascii="Arial;sans-serif" w:hAnsi="Arial;sans-serif"/>
          <w:b w:val="false"/>
          <w:color w:val="000000"/>
          <w:sz w:val="18"/>
        </w:rPr>
      </w:pPr>
      <w:r>
        <w:rPr>
          <w:rFonts w:ascii="Arial;sans-serif" w:hAnsi="Arial;sans-serif"/>
          <w:b w:val="false"/>
          <w:color w:val="000000"/>
          <w:sz w:val="18"/>
        </w:rPr>
        <w:t xml:space="preserve">The following table summarizes the calculation of ROIC-adjusted (dollars in billions): </w:t>
      </w:r>
    </w:p>
    <w:tbl>
      <w:tblPr>
        <w:tblW w:w="9070" w:type="dxa"/>
        <w:jc w:val="center"/>
        <w:tblInd w:w="0" w:type="dxa"/>
        <w:tblCellMar>
          <w:top w:w="28" w:type="dxa"/>
          <w:left w:w="28" w:type="dxa"/>
          <w:bottom w:w="28" w:type="dxa"/>
          <w:right w:w="28" w:type="dxa"/>
        </w:tblCellMar>
      </w:tblPr>
      <w:tblGrid>
        <w:gridCol w:w="2368"/>
        <w:gridCol w:w="2081"/>
        <w:gridCol w:w="2090"/>
        <w:gridCol w:w="229"/>
        <w:gridCol w:w="556"/>
        <w:gridCol w:w="295"/>
        <w:gridCol w:w="109"/>
        <w:gridCol w:w="109"/>
        <w:gridCol w:w="109"/>
        <w:gridCol w:w="228"/>
        <w:gridCol w:w="554"/>
        <w:gridCol w:w="342"/>
      </w:tblGrid>
      <w:tr>
        <w:trPr/>
        <w:tc>
          <w:tcPr>
            <w:tcW w:w="2368"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1"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Four Quarters Ended</w:t>
            </w:r>
          </w:p>
        </w:tc>
      </w:tr>
      <w:tr>
        <w:trPr/>
        <w:tc>
          <w:tcPr>
            <w:tcW w:w="65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2022</w:t>
            </w:r>
          </w:p>
        </w:tc>
      </w:tr>
      <w:tr>
        <w:trPr/>
        <w:tc>
          <w:tcPr>
            <w:tcW w:w="6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EBIT-adjusted(a)</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equity(b)</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59.6 </w:t>
            </w:r>
          </w:p>
        </w:tc>
        <w:tc>
          <w:tcPr>
            <w:tcW w:w="3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Average automotive debt and interest liabilities (excluding finance leases)</w:t>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3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Average automotive net pension &amp; OPEB liability</w:t>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3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Average automotive and other net income tax asset</w:t>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3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ROIC-adjusted average net assets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ROIC-adjusted</w:t>
            </w:r>
          </w:p>
        </w:tc>
        <w:tc>
          <w:tcPr>
            <w:tcW w:w="785"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29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34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w:t>
      </w:r>
    </w:p>
    <w:p>
      <w:pPr>
        <w:pStyle w:val="TextBody"/>
        <w:spacing w:lineRule="auto" w:line="288" w:before="0" w:after="0"/>
        <w:ind w:left="0" w:right="0" w:hanging="360"/>
        <w:jc w:val="both"/>
        <w:rPr/>
      </w:pPr>
      <w:r>
        <w:rPr>
          <w:rFonts w:ascii="Arial;sans-serif" w:hAnsi="Arial;sans-serif"/>
          <w:b w:val="false"/>
          <w:color w:val="000000"/>
          <w:sz w:val="16"/>
        </w:rPr>
        <w:t>(a)Refer to the reconciliation of Net income</w:t>
      </w:r>
      <w:r>
        <w:rPr>
          <w:color w:val="000000"/>
          <w:highlight w:val="white"/>
        </w:rPr>
        <w:t xml:space="preserve"> </w:t>
      </w:r>
      <w:r>
        <w:rPr>
          <w:rFonts w:ascii="Arial;sans-serif" w:hAnsi="Arial;sans-serif"/>
          <w:b w:val="false"/>
          <w:color w:val="000000"/>
          <w:sz w:val="16"/>
        </w:rPr>
        <w:t>attributable to stockholders under U.S. GAAP to segment profit (loss) for adjustment details.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(b)Includes equity of noncontrolling interests where the corresponding earnings (loss) are included in EBIT-adjusted.</w:t>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hanging="270"/>
        <w:jc w:val="center"/>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spacing w:before="0" w:after="0"/>
        <w:ind w:left="0" w:right="0" w:firstLine="180"/>
        <w:rPr/>
      </w:pPr>
      <w:r>
        <w:rPr/>
      </w:r>
    </w:p>
    <w:p>
      <w:pPr>
        <w:pStyle w:val="TextBody"/>
        <w:ind w:left="0" w:right="0" w:firstLine="180"/>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6705"/>
                <wp:effectExtent l="0" t="0" r="0" b="0"/>
                <wp:wrapNone/>
                <wp:docPr id="12" name="Frame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Supplemental Material</w:t>
      </w:r>
    </w:p>
    <w:p>
      <w:pPr>
        <w:pStyle w:val="TextBody"/>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spacing w:lineRule="auto" w:line="288" w:before="0" w:after="0"/>
        <w:ind w:left="0" w:right="0" w:firstLine="180"/>
        <w:rPr>
          <w:rFonts w:ascii="Arial;sans-serif" w:hAnsi="Arial;sans-serif"/>
          <w:b w:val="false"/>
          <w:color w:val="000000"/>
          <w:sz w:val="18"/>
        </w:rPr>
      </w:pPr>
      <w:r>
        <w:rPr>
          <w:rFonts w:ascii="Arial;sans-serif" w:hAnsi="Arial;sans-serif"/>
          <w:b w:val="false"/>
          <w:color w:val="000000"/>
          <w:sz w:val="18"/>
        </w:rPr>
        <w:t>The following table reconciles Net automotive cash provided by operating activities under U.S. GAAP to adjusted automotive free cash flow (dollars in millions):</w:t>
      </w:r>
    </w:p>
    <w:tbl>
      <w:tblPr>
        <w:tblW w:w="7664" w:type="dxa"/>
        <w:jc w:val="left"/>
        <w:tblInd w:w="0" w:type="dxa"/>
        <w:tblCellMar>
          <w:top w:w="28" w:type="dxa"/>
          <w:left w:w="28" w:type="dxa"/>
          <w:bottom w:w="28" w:type="dxa"/>
          <w:right w:w="28" w:type="dxa"/>
        </w:tblCellMar>
      </w:tblPr>
      <w:tblGrid>
        <w:gridCol w:w="1582"/>
        <w:gridCol w:w="1389"/>
        <w:gridCol w:w="1394"/>
        <w:gridCol w:w="109"/>
        <w:gridCol w:w="109"/>
        <w:gridCol w:w="109"/>
        <w:gridCol w:w="110"/>
        <w:gridCol w:w="110"/>
        <w:gridCol w:w="110"/>
        <w:gridCol w:w="110"/>
        <w:gridCol w:w="243"/>
        <w:gridCol w:w="712"/>
        <w:gridCol w:w="125"/>
        <w:gridCol w:w="109"/>
        <w:gridCol w:w="109"/>
        <w:gridCol w:w="109"/>
        <w:gridCol w:w="242"/>
        <w:gridCol w:w="707"/>
        <w:gridCol w:w="176"/>
      </w:tblGrid>
      <w:tr>
        <w:trPr/>
        <w:tc>
          <w:tcPr>
            <w:tcW w:w="1582"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7"/>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1452" w:type="dxa"/>
            <w:gridSpan w:val="6"/>
            <w:tcBorders/>
            <w:shd w:fill="auto" w:val="clea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color w:val="000000"/>
                <w:sz w:val="14"/>
              </w:rPr>
            </w:pPr>
            <w:r>
              <w:rPr>
                <w:rFonts w:ascii="Arial;sans-serif" w:hAnsi="Arial;sans-serif"/>
                <w:b/>
                <w:color w:val="000000"/>
                <w:sz w:val="14"/>
              </w:rPr>
              <w:t>March 31, 2022</w:t>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automotive cash provided by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Buick dealer strategy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Employee separation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GM Korea wage litigation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automotive free cash flow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80"/>
        <w:rPr/>
      </w:pPr>
      <w:r>
        <w:rPr/>
      </w:r>
    </w:p>
    <w:p>
      <w:pPr>
        <w:pStyle w:val="TextBody"/>
        <w:spacing w:lineRule="auto" w:line="288" w:before="0" w:after="0"/>
        <w:ind w:left="0" w:right="0" w:firstLine="180"/>
        <w:rPr>
          <w:rFonts w:ascii="Arial;sans-serif" w:hAnsi="Arial;sans-serif"/>
          <w:b w:val="false"/>
          <w:color w:val="000000"/>
          <w:sz w:val="18"/>
        </w:rPr>
      </w:pPr>
      <w:r>
        <w:rPr>
          <w:rFonts w:ascii="Arial;sans-serif" w:hAnsi="Arial;sans-serif"/>
          <w:b w:val="false"/>
          <w:color w:val="000000"/>
          <w:sz w:val="18"/>
        </w:rPr>
        <w:t xml:space="preserve">The following tables summarize key financial information by segment (dollars in millions): </w:t>
      </w:r>
    </w:p>
    <w:tbl>
      <w:tblPr>
        <w:tblW w:w="11001" w:type="dxa"/>
        <w:jc w:val="center"/>
        <w:tblInd w:w="0" w:type="dxa"/>
        <w:tblCellMar>
          <w:top w:w="28" w:type="dxa"/>
          <w:left w:w="28" w:type="dxa"/>
          <w:bottom w:w="28" w:type="dxa"/>
          <w:right w:w="28" w:type="dxa"/>
        </w:tblCellMar>
      </w:tblPr>
      <w:tblGrid>
        <w:gridCol w:w="576"/>
        <w:gridCol w:w="177"/>
        <w:gridCol w:w="178"/>
        <w:gridCol w:w="181"/>
        <w:gridCol w:w="571"/>
        <w:gridCol w:w="109"/>
        <w:gridCol w:w="109"/>
        <w:gridCol w:w="109"/>
        <w:gridCol w:w="109"/>
        <w:gridCol w:w="181"/>
        <w:gridCol w:w="496"/>
        <w:gridCol w:w="109"/>
        <w:gridCol w:w="109"/>
        <w:gridCol w:w="109"/>
        <w:gridCol w:w="109"/>
        <w:gridCol w:w="181"/>
        <w:gridCol w:w="406"/>
        <w:gridCol w:w="109"/>
        <w:gridCol w:w="109"/>
        <w:gridCol w:w="109"/>
        <w:gridCol w:w="109"/>
        <w:gridCol w:w="207"/>
        <w:gridCol w:w="464"/>
        <w:gridCol w:w="125"/>
        <w:gridCol w:w="109"/>
        <w:gridCol w:w="109"/>
        <w:gridCol w:w="109"/>
        <w:gridCol w:w="181"/>
        <w:gridCol w:w="571"/>
        <w:gridCol w:w="109"/>
        <w:gridCol w:w="109"/>
        <w:gridCol w:w="109"/>
        <w:gridCol w:w="109"/>
        <w:gridCol w:w="181"/>
        <w:gridCol w:w="406"/>
        <w:gridCol w:w="109"/>
        <w:gridCol w:w="109"/>
        <w:gridCol w:w="109"/>
        <w:gridCol w:w="109"/>
        <w:gridCol w:w="181"/>
        <w:gridCol w:w="496"/>
        <w:gridCol w:w="109"/>
        <w:gridCol w:w="109"/>
        <w:gridCol w:w="109"/>
        <w:gridCol w:w="109"/>
        <w:gridCol w:w="277"/>
        <w:gridCol w:w="621"/>
        <w:gridCol w:w="168"/>
        <w:gridCol w:w="109"/>
        <w:gridCol w:w="109"/>
        <w:gridCol w:w="109"/>
        <w:gridCol w:w="181"/>
        <w:gridCol w:w="571"/>
        <w:gridCol w:w="154"/>
      </w:tblGrid>
      <w:tr>
        <w:trPr/>
        <w:tc>
          <w:tcPr>
            <w:tcW w:w="57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GMNA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GMI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Eliminations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Total</w:t>
              <w:br/>
              <w:t>Automotive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GM</w:t>
              <w:br/>
              <w:t>Financial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Three Months Ended March 31, 2023</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sales and revenue</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39,985 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income(a)(b)</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GMNA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GMI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Eliminations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Total</w:t>
              <w:br/>
              <w:t>Automotive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GM</w:t>
              <w:br/>
              <w:t>Financial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Three Months Ended March 31, 2022</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sales and revenue</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35,979 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income(a)</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w:t>
      </w:r>
    </w:p>
    <w:p>
      <w:pPr>
        <w:pStyle w:val="TextBody"/>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(a)Includes Automotive China equity income of $83 million and $234 million in the three months ended March 31, 2023 and 2022.</w:t>
      </w:r>
    </w:p>
    <w:p>
      <w:pPr>
        <w:pStyle w:val="TextBody"/>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(b)Equity earnings related to Ultium Cells Holdings LLC are presented in Automotive and other cost of sales as this entity is integral to the operations of our business by providing battery cells for our electric vehicles. In the three months ended March 31, 2023, equity earnings related to Ultium Cells Holdings LLC were insignificant.</w:t>
      </w:r>
    </w:p>
    <w:p>
      <w:pPr>
        <w:pStyle w:val="TextBody"/>
        <w:spacing w:before="0" w:after="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6705"/>
                <wp:effectExtent l="0" t="0" r="0" b="0"/>
                <wp:wrapNone/>
                <wp:docPr id="13" name="Frame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Supplemental Material</w:t>
      </w:r>
    </w:p>
    <w:p>
      <w:pPr>
        <w:pStyle w:val="TextBody"/>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spacing w:lineRule="auto" w:line="288" w:before="0" w:after="0"/>
        <w:ind w:left="0" w:right="0" w:hanging="360"/>
        <w:jc w:val="both"/>
        <w:rPr>
          <w:rFonts w:ascii="Arial;sans-serif" w:hAnsi="Arial;sans-serif"/>
          <w:b/>
          <w:color w:val="000000"/>
          <w:sz w:val="18"/>
        </w:rPr>
      </w:pPr>
      <w:r>
        <w:rPr>
          <w:rFonts w:ascii="Arial;sans-serif" w:hAnsi="Arial;sans-serif"/>
          <w:b/>
          <w:color w:val="000000"/>
          <w:sz w:val="18"/>
        </w:rPr>
        <w:t>Vehicle Sales</w:t>
      </w:r>
    </w:p>
    <w:p>
      <w:pPr>
        <w:pStyle w:val="TextBody"/>
        <w:spacing w:before="0" w:after="0"/>
        <w:ind w:left="0" w:right="0" w:firstLine="180"/>
        <w:jc w:val="both"/>
        <w:rPr/>
      </w:pPr>
      <w:r>
        <w:rPr/>
      </w:r>
    </w:p>
    <w:p>
      <w:pPr>
        <w:pStyle w:val="TextBody"/>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 xml:space="preserve">GM presents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three months ended March 31, 2023, 28.4% of GM's wholesale vehicle sales volume was generated outside the U.S. The following table summarizes wholesale vehicle sales by automotive segment (vehicles in thousands): </w:t>
      </w:r>
    </w:p>
    <w:p>
      <w:pPr>
        <w:pStyle w:val="TextBody"/>
        <w:spacing w:before="0" w:after="0"/>
        <w:ind w:left="0" w:right="0" w:firstLine="180"/>
        <w:jc w:val="both"/>
        <w:rPr/>
      </w:pPr>
      <w:r>
        <w:rPr/>
      </w:r>
    </w:p>
    <w:tbl>
      <w:tblPr>
        <w:tblW w:w="6991" w:type="dxa"/>
        <w:jc w:val="left"/>
        <w:tblInd w:w="0" w:type="dxa"/>
        <w:tblCellMar>
          <w:top w:w="28" w:type="dxa"/>
          <w:left w:w="28" w:type="dxa"/>
          <w:bottom w:w="28" w:type="dxa"/>
          <w:right w:w="28" w:type="dxa"/>
        </w:tblCellMar>
      </w:tblPr>
      <w:tblGrid>
        <w:gridCol w:w="239"/>
        <w:gridCol w:w="210"/>
        <w:gridCol w:w="212"/>
        <w:gridCol w:w="109"/>
        <w:gridCol w:w="109"/>
        <w:gridCol w:w="109"/>
        <w:gridCol w:w="109"/>
        <w:gridCol w:w="109"/>
        <w:gridCol w:w="109"/>
        <w:gridCol w:w="126"/>
        <w:gridCol w:w="126"/>
        <w:gridCol w:w="126"/>
        <w:gridCol w:w="126"/>
        <w:gridCol w:w="359"/>
        <w:gridCol w:w="359"/>
        <w:gridCol w:w="361"/>
        <w:gridCol w:w="126"/>
        <w:gridCol w:w="233"/>
        <w:gridCol w:w="233"/>
        <w:gridCol w:w="126"/>
        <w:gridCol w:w="109"/>
        <w:gridCol w:w="109"/>
        <w:gridCol w:w="109"/>
        <w:gridCol w:w="307"/>
        <w:gridCol w:w="309"/>
        <w:gridCol w:w="271"/>
        <w:gridCol w:w="109"/>
        <w:gridCol w:w="109"/>
        <w:gridCol w:w="109"/>
        <w:gridCol w:w="233"/>
        <w:gridCol w:w="233"/>
        <w:gridCol w:w="109"/>
        <w:gridCol w:w="109"/>
        <w:gridCol w:w="109"/>
        <w:gridCol w:w="109"/>
        <w:gridCol w:w="307"/>
        <w:gridCol w:w="309"/>
        <w:gridCol w:w="316"/>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1" w:type="dxa"/>
            <w:gridSpan w:val="11"/>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375" w:type="dxa"/>
            <w:gridSpan w:val="18"/>
            <w:tcBorders/>
            <w:shd w:fill="auto" w:val="clear"/>
          </w:tcPr>
          <w:p>
            <w:pPr>
              <w:pStyle w:val="TableContents"/>
              <w:spacing w:before="0" w:after="283"/>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126"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06"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2022</w:t>
            </w:r>
          </w:p>
        </w:tc>
        <w:tc>
          <w:tcPr>
            <w:tcW w:w="2161" w:type="dxa"/>
            <w:gridSpan w:val="12"/>
            <w:tcBorders/>
            <w:shd w:fill="auto" w:val="clear"/>
          </w:tcPr>
          <w:p>
            <w:pPr>
              <w:pStyle w:val="TableContents"/>
              <w:spacing w:before="0" w:after="283"/>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GMI</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before="0" w:after="0"/>
        <w:jc w:val="both"/>
        <w:rPr/>
      </w:pPr>
      <w:r>
        <w:rPr/>
      </w:r>
    </w:p>
    <w:p>
      <w:pPr>
        <w:pStyle w:val="TextBody"/>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6705"/>
                <wp:effectExtent l="0" t="0" r="0" b="0"/>
                <wp:wrapNone/>
                <wp:docPr id="14" name="Frame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Supplemental Material</w:t>
      </w:r>
    </w:p>
    <w:p>
      <w:pPr>
        <w:pStyle w:val="TextBody"/>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The following table summarizes industry and GM total vehicle sales and GM's related competitive position by geographic region (vehicles in thousands):</w:t>
      </w:r>
    </w:p>
    <w:tbl>
      <w:tblPr>
        <w:tblW w:w="10205" w:type="dxa"/>
        <w:jc w:val="left"/>
        <w:tblInd w:w="0" w:type="dxa"/>
        <w:tblCellMar>
          <w:top w:w="28" w:type="dxa"/>
          <w:left w:w="28" w:type="dxa"/>
          <w:bottom w:w="28" w:type="dxa"/>
          <w:right w:w="28" w:type="dxa"/>
        </w:tblCellMar>
      </w:tblPr>
      <w:tblGrid>
        <w:gridCol w:w="805"/>
        <w:gridCol w:w="589"/>
        <w:gridCol w:w="592"/>
        <w:gridCol w:w="109"/>
        <w:gridCol w:w="109"/>
        <w:gridCol w:w="109"/>
        <w:gridCol w:w="159"/>
        <w:gridCol w:w="159"/>
        <w:gridCol w:w="159"/>
        <w:gridCol w:w="159"/>
        <w:gridCol w:w="159"/>
        <w:gridCol w:w="109"/>
        <w:gridCol w:w="109"/>
        <w:gridCol w:w="109"/>
        <w:gridCol w:w="323"/>
        <w:gridCol w:w="323"/>
        <w:gridCol w:w="256"/>
        <w:gridCol w:w="109"/>
        <w:gridCol w:w="109"/>
        <w:gridCol w:w="109"/>
        <w:gridCol w:w="277"/>
        <w:gridCol w:w="279"/>
        <w:gridCol w:w="126"/>
        <w:gridCol w:w="109"/>
        <w:gridCol w:w="109"/>
        <w:gridCol w:w="109"/>
        <w:gridCol w:w="258"/>
        <w:gridCol w:w="231"/>
        <w:gridCol w:w="466"/>
        <w:gridCol w:w="109"/>
        <w:gridCol w:w="109"/>
        <w:gridCol w:w="109"/>
        <w:gridCol w:w="323"/>
        <w:gridCol w:w="323"/>
        <w:gridCol w:w="256"/>
        <w:gridCol w:w="109"/>
        <w:gridCol w:w="109"/>
        <w:gridCol w:w="109"/>
        <w:gridCol w:w="277"/>
        <w:gridCol w:w="279"/>
        <w:gridCol w:w="126"/>
        <w:gridCol w:w="109"/>
        <w:gridCol w:w="109"/>
        <w:gridCol w:w="109"/>
        <w:gridCol w:w="244"/>
        <w:gridCol w:w="232"/>
        <w:gridCol w:w="536"/>
      </w:tblGrid>
      <w:tr>
        <w:trPr/>
        <w:tc>
          <w:tcPr>
            <w:tcW w:w="805"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2242" w:type="dxa"/>
            <w:gridSpan w:val="1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5868" w:type="dxa"/>
            <w:gridSpan w:val="30"/>
            <w:tcBorders/>
            <w:shd w:fill="auto" w:val="clear"/>
          </w:tcPr>
          <w:p>
            <w:pPr>
              <w:pStyle w:val="TableContents"/>
              <w:spacing w:before="0" w:after="283"/>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1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2022</w:t>
            </w:r>
          </w:p>
        </w:tc>
        <w:tc>
          <w:tcPr>
            <w:tcW w:w="4859" w:type="dxa"/>
            <w:gridSpan w:val="24"/>
            <w:tcBorders/>
            <w:shd w:fill="auto" w:val="clear"/>
          </w:tcPr>
          <w:p>
            <w:pPr>
              <w:pStyle w:val="TableContents"/>
              <w:spacing w:before="0" w:after="283"/>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Industry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Market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Industry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Market Share</w:t>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North America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5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North America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Asia/Pacific, Middle East and Africa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China(a)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536"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Asia/Pacific, Middle East and Africa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South America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Brazil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5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South America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in GM markets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5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Europe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Worldwide(b)(c)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5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5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Trucks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Crossovers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5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China(a)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SGMS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SGMW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China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__________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sales by the Automotive China JVs: SAIC General Motors Sales Co., Ltd. (SGMS) and SAIC GM Wuling Automobile Co., Ltd. (SGMW).</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(b)Cuba, Iran, North Korea, Sudan and Syria are subject to broad economic sanctions. Accordingly, these countries are excluded from industry sales data and corresponding calculation of market share.</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(c)As of March 2022, GM is no longer importing vehicles or parts to Russia, Belarus and other sanctioned provinces in Ukraine.</w:t>
      </w:r>
    </w:p>
    <w:p>
      <w:pPr>
        <w:pStyle w:val="TextBody"/>
        <w:spacing w:before="0" w:after="0"/>
        <w:jc w:val="both"/>
        <w:rPr/>
      </w:pPr>
      <w:r>
        <w:rPr/>
      </w:r>
    </w:p>
    <w:p>
      <w:pPr>
        <w:pStyle w:val="TextBody"/>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tbl>
      <w:tblPr>
        <w:tblW w:w="7150" w:type="dxa"/>
        <w:jc w:val="left"/>
        <w:tblInd w:w="0" w:type="dxa"/>
        <w:tblCellMar>
          <w:top w:w="28" w:type="dxa"/>
          <w:left w:w="28" w:type="dxa"/>
          <w:bottom w:w="28" w:type="dxa"/>
          <w:right w:w="28" w:type="dxa"/>
        </w:tblCellMar>
      </w:tblPr>
      <w:tblGrid>
        <w:gridCol w:w="1326"/>
        <w:gridCol w:w="1164"/>
        <w:gridCol w:w="1170"/>
        <w:gridCol w:w="109"/>
        <w:gridCol w:w="109"/>
        <w:gridCol w:w="164"/>
        <w:gridCol w:w="164"/>
        <w:gridCol w:w="164"/>
        <w:gridCol w:w="164"/>
        <w:gridCol w:w="263"/>
        <w:gridCol w:w="248"/>
        <w:gridCol w:w="599"/>
        <w:gridCol w:w="109"/>
        <w:gridCol w:w="109"/>
        <w:gridCol w:w="109"/>
        <w:gridCol w:w="255"/>
        <w:gridCol w:w="256"/>
        <w:gridCol w:w="668"/>
      </w:tblGrid>
      <w:tr>
        <w:trPr/>
        <w:tc>
          <w:tcPr>
            <w:tcW w:w="132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6" w:type="dxa"/>
            <w:gridSpan w:val="7"/>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1506" w:type="dxa"/>
            <w:gridSpan w:val="6"/>
            <w:tcBorders/>
            <w:shd w:fill="auto" w:val="clea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2022</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GMNA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GMI</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5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6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Total</w:t>
            </w:r>
            <w:r>
              <w:rPr>
                <w:color w:val="000000"/>
              </w:rPr>
              <w:t xml:space="preserve"> </w:t>
            </w:r>
            <w:r>
              <w:rPr>
                <w:rFonts w:ascii="Arial;sans-serif" w:hAnsi="Arial;sans-serif"/>
                <w:b w:val="false"/>
                <w:color w:val="000000"/>
                <w:sz w:val="16"/>
              </w:rPr>
              <w:t>fleet</w:t>
            </w:r>
            <w:r>
              <w:rPr>
                <w:color w:val="000000"/>
              </w:rPr>
              <w:t xml:space="preserve"> </w:t>
            </w:r>
            <w:r>
              <w:rPr>
                <w:rFonts w:ascii="Arial;sans-serif" w:hAnsi="Arial;sans-serif"/>
                <w:b w:val="false"/>
                <w:color w:val="000000"/>
                <w:sz w:val="16"/>
              </w:rPr>
              <w:t>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Fleet sales as a percentage of total vehicle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5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5785" w:type="dxa"/>
        <w:jc w:val="left"/>
        <w:tblInd w:w="0" w:type="dxa"/>
        <w:tblCellMar>
          <w:top w:w="28" w:type="dxa"/>
          <w:left w:w="28" w:type="dxa"/>
          <w:bottom w:w="28" w:type="dxa"/>
          <w:right w:w="28" w:type="dxa"/>
        </w:tblCellMar>
      </w:tblPr>
      <w:tblGrid>
        <w:gridCol w:w="1158"/>
        <w:gridCol w:w="1014"/>
        <w:gridCol w:w="1023"/>
        <w:gridCol w:w="109"/>
        <w:gridCol w:w="109"/>
        <w:gridCol w:w="109"/>
        <w:gridCol w:w="109"/>
        <w:gridCol w:w="109"/>
        <w:gridCol w:w="109"/>
        <w:gridCol w:w="255"/>
        <w:gridCol w:w="256"/>
        <w:gridCol w:w="271"/>
        <w:gridCol w:w="109"/>
        <w:gridCol w:w="109"/>
        <w:gridCol w:w="109"/>
        <w:gridCol w:w="255"/>
        <w:gridCol w:w="256"/>
        <w:gridCol w:w="316"/>
      </w:tblGrid>
      <w:tr>
        <w:trPr/>
        <w:tc>
          <w:tcPr>
            <w:tcW w:w="1158"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3" w:type="dxa"/>
            <w:gridSpan w:val="12"/>
            <w:tcBorders/>
            <w:shd w:fill="auto" w:val="clea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 capacity two-shift utilization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6705"/>
                <wp:effectExtent l="0" t="0" r="0" b="0"/>
                <wp:wrapNone/>
                <wp:docPr id="15" name="Frame1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7</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Combining Income Statement Information</w:t>
      </w:r>
    </w:p>
    <w:p>
      <w:pPr>
        <w:pStyle w:val="TextBody"/>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(In millions) (Unaudited)</w:t>
      </w:r>
    </w:p>
    <w:tbl>
      <w:tblPr>
        <w:tblW w:w="6600"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77" w:type="dxa"/>
            <w:gridSpan w:val="4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13104" w:type="dxa"/>
        <w:jc w:val="center"/>
        <w:tblInd w:w="0" w:type="dxa"/>
        <w:tblCellMar>
          <w:top w:w="28" w:type="dxa"/>
          <w:left w:w="28" w:type="dxa"/>
          <w:bottom w:w="28" w:type="dxa"/>
          <w:right w:w="28" w:type="dxa"/>
        </w:tblCellMar>
      </w:tblPr>
      <w:tblGrid>
        <w:gridCol w:w="573"/>
        <w:gridCol w:w="201"/>
        <w:gridCol w:w="202"/>
        <w:gridCol w:w="196"/>
        <w:gridCol w:w="646"/>
        <w:gridCol w:w="109"/>
        <w:gridCol w:w="109"/>
        <w:gridCol w:w="109"/>
        <w:gridCol w:w="109"/>
        <w:gridCol w:w="196"/>
        <w:gridCol w:w="436"/>
        <w:gridCol w:w="109"/>
        <w:gridCol w:w="109"/>
        <w:gridCol w:w="109"/>
        <w:gridCol w:w="109"/>
        <w:gridCol w:w="196"/>
        <w:gridCol w:w="421"/>
        <w:gridCol w:w="109"/>
        <w:gridCol w:w="109"/>
        <w:gridCol w:w="109"/>
        <w:gridCol w:w="109"/>
        <w:gridCol w:w="293"/>
        <w:gridCol w:w="608"/>
        <w:gridCol w:w="165"/>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196"/>
        <w:gridCol w:w="556"/>
        <w:gridCol w:w="109"/>
        <w:gridCol w:w="109"/>
        <w:gridCol w:w="109"/>
        <w:gridCol w:w="109"/>
        <w:gridCol w:w="320"/>
        <w:gridCol w:w="566"/>
        <w:gridCol w:w="180"/>
        <w:gridCol w:w="109"/>
        <w:gridCol w:w="109"/>
        <w:gridCol w:w="109"/>
        <w:gridCol w:w="196"/>
        <w:gridCol w:w="646"/>
        <w:gridCol w:w="154"/>
      </w:tblGrid>
      <w:tr>
        <w:trPr/>
        <w:tc>
          <w:tcPr>
            <w:tcW w:w="57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3" w:type="dxa"/>
            <w:gridSpan w:val="27"/>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8" w:type="dxa"/>
            <w:gridSpan w:val="27"/>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March 31, 2022</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Net sales and revenue</w:t>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net sales and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Costs and expenses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Automotive and other cost of sales </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0"/>
              <w:ind w:left="0" w:right="0" w:hanging="180"/>
              <w:jc w:val="right"/>
              <w:rPr/>
            </w:pPr>
            <w:r>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0"/>
              <w:ind w:left="0" w:right="0" w:hanging="180"/>
              <w:jc w:val="right"/>
              <w:rPr/>
            </w:pPr>
            <w:r>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0"/>
              <w:ind w:left="0" w:right="0" w:hanging="18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0"/>
              <w:ind w:left="0" w:right="0" w:hanging="18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29,353 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 interest, operating and other expenses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and other selling, general and administrative expense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costs and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income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interest expense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 and other non-operating income (loss),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 (benefit)</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Net income</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attributable to noncontrolling interests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Net income attributable to stockholders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Net income attributable to common stockholders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180"/>
        <w:jc w:val="center"/>
        <w:rPr/>
      </w:pPr>
      <w:r>
        <w:br w:type="page"/>
      </w: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6705"/>
                <wp:effectExtent l="0" t="0" r="0" b="0"/>
                <wp:wrapNone/>
                <wp:docPr id="16" name="Frame1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2.35pt;mso-position-horizontal:left;mso-position-horizontal-relative:text">
                <v:textbo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8</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Basic and Diluted Earnings per Share</w:t>
      </w:r>
    </w:p>
    <w:p>
      <w:pPr>
        <w:pStyle w:val="TextBody"/>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spacing w:before="0" w:after="0"/>
        <w:jc w:val="right"/>
        <w:rPr/>
      </w:pPr>
      <w:r>
        <w:rPr/>
      </w:r>
    </w:p>
    <w:p>
      <w:pPr>
        <w:pStyle w:val="TextBody"/>
        <w:spacing w:lineRule="auto" w:line="288" w:before="0" w:after="0"/>
        <w:ind w:left="0" w:right="0" w:firstLine="180"/>
        <w:rPr/>
      </w:pPr>
      <w:r>
        <w:rPr>
          <w:rFonts w:ascii="Arial;sans-serif" w:hAnsi="Arial;sans-serif"/>
          <w:b w:val="false"/>
          <w:color w:val="000000"/>
          <w:sz w:val="18"/>
        </w:rPr>
        <w:t>The following table summarizes basic and diluted ea</w:t>
      </w:r>
      <w:r>
        <w:rPr>
          <w:rFonts w:ascii="Arial;sans-serif" w:hAnsi="Arial;sans-serif"/>
          <w:b w:val="false"/>
          <w:color w:val="000000"/>
          <w:sz w:val="18"/>
          <w:highlight w:val="white"/>
        </w:rPr>
        <w:t>rnings pe</w:t>
      </w:r>
      <w:r>
        <w:rPr>
          <w:rFonts w:ascii="Arial;sans-serif" w:hAnsi="Arial;sans-serif"/>
          <w:b w:val="false"/>
          <w:color w:val="000000"/>
          <w:sz w:val="18"/>
        </w:rPr>
        <w:t xml:space="preserve">r share (in millions, except per share amounts): </w:t>
      </w:r>
    </w:p>
    <w:tbl>
      <w:tblPr>
        <w:tblW w:w="7675" w:type="dxa"/>
        <w:jc w:val="center"/>
        <w:tblInd w:w="0" w:type="dxa"/>
        <w:tblCellMar>
          <w:top w:w="28" w:type="dxa"/>
          <w:left w:w="28" w:type="dxa"/>
          <w:bottom w:w="28" w:type="dxa"/>
          <w:right w:w="28" w:type="dxa"/>
        </w:tblCellMar>
      </w:tblPr>
      <w:tblGrid>
        <w:gridCol w:w="1625"/>
        <w:gridCol w:w="1427"/>
        <w:gridCol w:w="1433"/>
        <w:gridCol w:w="109"/>
        <w:gridCol w:w="109"/>
        <w:gridCol w:w="110"/>
        <w:gridCol w:w="110"/>
        <w:gridCol w:w="110"/>
        <w:gridCol w:w="110"/>
        <w:gridCol w:w="243"/>
        <w:gridCol w:w="712"/>
        <w:gridCol w:w="125"/>
        <w:gridCol w:w="109"/>
        <w:gridCol w:w="109"/>
        <w:gridCol w:w="109"/>
        <w:gridCol w:w="242"/>
        <w:gridCol w:w="707"/>
        <w:gridCol w:w="176"/>
      </w:tblGrid>
      <w:tr>
        <w:trPr/>
        <w:tc>
          <w:tcPr>
            <w:tcW w:w="1625"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7"/>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1452" w:type="dxa"/>
            <w:gridSpan w:val="6"/>
            <w:tcBorders/>
            <w:shd w:fill="auto" w:val="clea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color w:val="000000"/>
                <w:sz w:val="14"/>
              </w:rPr>
            </w:pPr>
            <w:r>
              <w:rPr>
                <w:rFonts w:ascii="Arial;sans-serif" w:hAnsi="Arial;sans-serif"/>
                <w:b/>
                <w:color w:val="000000"/>
                <w:sz w:val="14"/>
              </w:rPr>
              <w:t>March 31, 2022</w:t>
            </w:r>
          </w:p>
        </w:tc>
      </w:tr>
      <w:tr>
        <w:trPr/>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Basic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2,939 </w:t>
            </w:r>
          </w:p>
        </w:tc>
        <w:tc>
          <w:tcPr>
            <w:tcW w:w="17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cumulative dividends on subsidiary preferred stock(a)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w:t>
            </w:r>
          </w:p>
        </w:tc>
        <w:tc>
          <w:tcPr>
            <w:tcW w:w="17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7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Diluted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common stockholders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Potentially dilutive securities(b)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35"/>
        <w:jc w:val="both"/>
        <w:rPr>
          <w:rFonts w:ascii="Arial;sans-serif" w:hAnsi="Arial;sans-serif"/>
          <w:b w:val="false"/>
          <w:color w:val="000000"/>
          <w:sz w:val="16"/>
        </w:rPr>
      </w:pPr>
      <w:r>
        <w:rPr>
          <w:rFonts w:ascii="Arial;sans-serif" w:hAnsi="Arial;sans-serif"/>
          <w:b w:val="false"/>
          <w:color w:val="000000"/>
          <w:sz w:val="16"/>
        </w:rPr>
        <w:t>__________</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a $909 million deemed dividend related to the redemption of Cruise preferred shares from SoftBank in the three months ended March 31, 2022.</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(b)Potentially dilutive securities attributable to outstanding stock options, Restricted Stock Units (RSUs) and Performance Stock Units (PSUs) at March 31, 2023 and outstanding RSUs at March 31, 2022 were excluded from the computation of diluted earnings per share (EPS) because the securities would have had an antidilutive effect.</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6705"/>
                <wp:effectExtent l="0" t="0" r="0" b="0"/>
                <wp:wrapNone/>
                <wp:docPr id="17" name="Frame1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9</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Combining Balance Sheet Information</w:t>
      </w:r>
    </w:p>
    <w:p>
      <w:pPr>
        <w:pStyle w:val="TextBody"/>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(In millions, except per share amounts) (Unaudited)</w:t>
      </w:r>
    </w:p>
    <w:tbl>
      <w:tblPr>
        <w:tblW w:w="13591" w:type="dxa"/>
        <w:jc w:val="left"/>
        <w:tblInd w:w="0" w:type="dxa"/>
        <w:tblCellMar>
          <w:top w:w="28" w:type="dxa"/>
          <w:left w:w="28" w:type="dxa"/>
          <w:bottom w:w="28" w:type="dxa"/>
          <w:right w:w="28" w:type="dxa"/>
        </w:tblCellMar>
      </w:tblPr>
      <w:tblGrid>
        <w:gridCol w:w="691"/>
        <w:gridCol w:w="228"/>
        <w:gridCol w:w="207"/>
        <w:gridCol w:w="181"/>
        <w:gridCol w:w="646"/>
        <w:gridCol w:w="109"/>
        <w:gridCol w:w="109"/>
        <w:gridCol w:w="109"/>
        <w:gridCol w:w="109"/>
        <w:gridCol w:w="181"/>
        <w:gridCol w:w="496"/>
        <w:gridCol w:w="109"/>
        <w:gridCol w:w="109"/>
        <w:gridCol w:w="109"/>
        <w:gridCol w:w="109"/>
        <w:gridCol w:w="181"/>
        <w:gridCol w:w="646"/>
        <w:gridCol w:w="109"/>
        <w:gridCol w:w="109"/>
        <w:gridCol w:w="109"/>
        <w:gridCol w:w="109"/>
        <w:gridCol w:w="245"/>
        <w:gridCol w:w="672"/>
        <w:gridCol w:w="149"/>
        <w:gridCol w:w="109"/>
        <w:gridCol w:w="109"/>
        <w:gridCol w:w="109"/>
        <w:gridCol w:w="181"/>
        <w:gridCol w:w="646"/>
        <w:gridCol w:w="109"/>
        <w:gridCol w:w="109"/>
        <w:gridCol w:w="109"/>
        <w:gridCol w:w="109"/>
        <w:gridCol w:w="181"/>
        <w:gridCol w:w="646"/>
        <w:gridCol w:w="109"/>
        <w:gridCol w:w="109"/>
        <w:gridCol w:w="109"/>
        <w:gridCol w:w="109"/>
        <w:gridCol w:w="181"/>
        <w:gridCol w:w="496"/>
        <w:gridCol w:w="109"/>
        <w:gridCol w:w="109"/>
        <w:gridCol w:w="109"/>
        <w:gridCol w:w="109"/>
        <w:gridCol w:w="181"/>
        <w:gridCol w:w="646"/>
        <w:gridCol w:w="109"/>
        <w:gridCol w:w="109"/>
        <w:gridCol w:w="109"/>
        <w:gridCol w:w="109"/>
        <w:gridCol w:w="245"/>
        <w:gridCol w:w="672"/>
        <w:gridCol w:w="149"/>
        <w:gridCol w:w="109"/>
        <w:gridCol w:w="109"/>
        <w:gridCol w:w="109"/>
        <w:gridCol w:w="181"/>
        <w:gridCol w:w="646"/>
        <w:gridCol w:w="311"/>
      </w:tblGrid>
      <w:tr>
        <w:trPr/>
        <w:tc>
          <w:tcPr>
            <w:tcW w:w="691"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27"/>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0" w:type="dxa"/>
            <w:gridSpan w:val="27"/>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December 31, 2022</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ASSETS</w:t>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Current Assets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19,153 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Marketable debt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12,150 </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and notes receivable, net(a)</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(1,232)</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(691)</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13,333 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 receivables,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33,623 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15,366 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current assets(b)</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(553)</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6,825 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100,451 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Non-current Assets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 receivables,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40,591 </w:t>
            </w:r>
          </w:p>
        </w:tc>
        <w:tc>
          <w:tcPr>
            <w:tcW w:w="31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 net assets of nonconsolidated affiliates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10,176 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Property, net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45,248 </w:t>
            </w:r>
          </w:p>
        </w:tc>
        <w:tc>
          <w:tcPr>
            <w:tcW w:w="31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Goodwill and intangible assets, net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4,945 </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Equipment on operating leases,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32,701 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20,539 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9,386 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163,586 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264,037 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LIABILITIES AND EQUITY</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Current Liabilities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 (principally trade)(a)</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(1,224)</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(679)</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27,486 </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Short-term debt and current portion of long-term debt </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1,959 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ind w:left="0" w:right="0" w:firstLine="18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36,819 </w:t>
            </w:r>
          </w:p>
        </w:tc>
        <w:tc>
          <w:tcPr>
            <w:tcW w:w="311"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Cruise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liabilities(b)</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(555)</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24,910 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(1,950)</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91,173 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Non-current Liabilities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debt</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15,885 </w:t>
            </w:r>
          </w:p>
        </w:tc>
        <w:tc>
          <w:tcPr>
            <w:tcW w:w="311"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GM Financial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61,482 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61,482 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60,036 </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Cruise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Postretirement benefits other than pensions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4,193 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Pensions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5,698 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14,767 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100,579 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Total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191,752 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 - Cruise Stock Incentive Awards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 xml:space="preserve">Equity </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$0.01 par value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capital(c)</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(1,409)</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(1,409)</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26,428 </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49,251 </w:t>
            </w:r>
          </w:p>
        </w:tc>
        <w:tc>
          <w:tcPr>
            <w:tcW w:w="31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(7,901)</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67,792 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interests(c)</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4,135 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Total Equity</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71,927 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(2,099)</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(1,436)</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264,037 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2"/>
        </w:rPr>
      </w:pPr>
      <w:r>
        <w:rPr>
          <w:rFonts w:ascii="Arial;sans-serif" w:hAnsi="Arial;sans-serif"/>
          <w:b w:val="false"/>
          <w:color w:val="000000"/>
          <w:sz w:val="12"/>
        </w:rPr>
        <w:t>_________</w:t>
      </w:r>
    </w:p>
    <w:p>
      <w:pPr>
        <w:pStyle w:val="TextBody"/>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(a)Eliminations primarily include: GM Financial accounts and notes receivable from Automotive of $639 million offset by Automotive accounts payable and Automotive accounts receivable from GM Financial of $457 million offset by GM Financial accounts payable at March 31, 2023; and GM Financial accounts and notes receivable of $495 million offset by Automotive accounts payable and Automotive accounts receivable of $115 million offset by GM Financial accounts payable at December 31, 2022.</w:t>
      </w:r>
    </w:p>
    <w:p>
      <w:pPr>
        <w:pStyle w:val="TextBody"/>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(b)Eliminations primarily related to intercompany capital expenditures between Automotive and Cruise for the Cruise Origin.</w:t>
      </w:r>
    </w:p>
    <w:p>
      <w:pPr>
        <w:pStyle w:val="TextBody"/>
        <w:spacing w:lineRule="auto" w:line="288"/>
        <w:ind w:left="0" w:right="0" w:hanging="360"/>
        <w:rPr>
          <w:rFonts w:ascii="Arial;sans-serif" w:hAnsi="Arial;sans-serif"/>
          <w:b w:val="false"/>
          <w:color w:val="000000"/>
          <w:sz w:val="12"/>
        </w:rPr>
      </w:pPr>
      <w:r>
        <w:rPr>
          <w:rFonts w:ascii="Arial;sans-serif" w:hAnsi="Arial;sans-serif"/>
          <w:b w:val="false"/>
          <w:color w:val="000000"/>
          <w:sz w:val="12"/>
        </w:rPr>
        <w:t>(c)Primarily reclassification of GM Financial Cumulative Perpetual Preferred Stock, Series A, B and C. The preferred stock is classified as noncontrolling interests in our condensed consolidated balance sheets.</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6705"/>
                <wp:effectExtent l="0" t="0" r="0" b="0"/>
                <wp:wrapNone/>
                <wp:docPr id="18" name="Frame1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10</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Combining Cash Flow Information</w:t>
      </w:r>
    </w:p>
    <w:p>
      <w:pPr>
        <w:pStyle w:val="TextBody"/>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(In millions) (Unaudited)</w:t>
      </w:r>
    </w:p>
    <w:tbl>
      <w:tblPr>
        <w:tblW w:w="12819" w:type="dxa"/>
        <w:jc w:val="left"/>
        <w:tblInd w:w="0" w:type="dxa"/>
        <w:tblCellMar>
          <w:top w:w="28" w:type="dxa"/>
          <w:left w:w="28" w:type="dxa"/>
          <w:bottom w:w="28" w:type="dxa"/>
          <w:right w:w="28" w:type="dxa"/>
        </w:tblCellMar>
      </w:tblPr>
      <w:tblGrid>
        <w:gridCol w:w="726"/>
        <w:gridCol w:w="229"/>
        <w:gridCol w:w="231"/>
        <w:gridCol w:w="181"/>
        <w:gridCol w:w="571"/>
        <w:gridCol w:w="109"/>
        <w:gridCol w:w="109"/>
        <w:gridCol w:w="109"/>
        <w:gridCol w:w="109"/>
        <w:gridCol w:w="181"/>
        <w:gridCol w:w="496"/>
        <w:gridCol w:w="109"/>
        <w:gridCol w:w="109"/>
        <w:gridCol w:w="109"/>
        <w:gridCol w:w="109"/>
        <w:gridCol w:w="181"/>
        <w:gridCol w:w="496"/>
        <w:gridCol w:w="109"/>
        <w:gridCol w:w="109"/>
        <w:gridCol w:w="109"/>
        <w:gridCol w:w="109"/>
        <w:gridCol w:w="277"/>
        <w:gridCol w:w="621"/>
        <w:gridCol w:w="168"/>
        <w:gridCol w:w="109"/>
        <w:gridCol w:w="109"/>
        <w:gridCol w:w="109"/>
        <w:gridCol w:w="181"/>
        <w:gridCol w:w="571"/>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277"/>
        <w:gridCol w:w="621"/>
        <w:gridCol w:w="168"/>
        <w:gridCol w:w="109"/>
        <w:gridCol w:w="109"/>
        <w:gridCol w:w="109"/>
        <w:gridCol w:w="181"/>
        <w:gridCol w:w="571"/>
        <w:gridCol w:w="154"/>
      </w:tblGrid>
      <w:tr>
        <w:trPr/>
        <w:tc>
          <w:tcPr>
            <w:tcW w:w="72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8" w:type="dxa"/>
            <w:gridSpan w:val="27"/>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8" w:type="dxa"/>
            <w:gridSpan w:val="27"/>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 2022</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color w:val="000000"/>
                <w:sz w:val="12"/>
              </w:rPr>
            </w:pPr>
            <w:r>
              <w:rPr>
                <w:rFonts w:ascii="Arial;sans-serif" w:hAnsi="Arial;sans-serif"/>
                <w:b/>
                <w:color w:val="000000"/>
                <w:sz w:val="12"/>
              </w:rPr>
              <w:t>Combined</w:t>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impairment of Equipment on operating leases, net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amortization and impairment charges on Property, net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Foreign currency remeasurement and transaction (gains) losses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Undistributed earnings of nonconsolidated affiliates, net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Pension contributions and OPEB payments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Pension and OPEB income, net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Provision (benefit) for deferred taxes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 in other operating assets and liabilities(a)(c)</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(479)</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(used in)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Available-for-sale marketable securities, acquisitions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Available-for-sale marketable securities, liquidations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finance receivables, net(a)</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(8,189)</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Principal collections and recoveries on finance receivables(a)</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6,845 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leased vehicles, net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termination of leased vehicles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investing activities(b)</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increase (decrease) in short-term debt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issuance of debt (original maturities greater than three months)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10,685 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Payments on debt (original maturities greater than three months)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(10,827)</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to purchase common stock</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(redemptions) of subsidiary preferred stock(b)</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(3,474)</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(2,124)</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Dividends paid(c)</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financing activities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(3,483)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 cash equivalents and restricted cash</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increase (decrease)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 at beginning of period</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23,542 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 at end of period</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2"/>
        </w:rPr>
      </w:pPr>
      <w:r>
        <w:rPr>
          <w:rFonts w:ascii="Arial;sans-serif" w:hAnsi="Arial;sans-serif"/>
          <w:b w:val="false"/>
          <w:color w:val="000000"/>
          <w:sz w:val="12"/>
        </w:rPr>
        <w:t>_________</w:t>
      </w:r>
    </w:p>
    <w:p>
      <w:pPr>
        <w:pStyle w:val="TextBody"/>
        <w:spacing w:lineRule="auto" w:line="288" w:before="0" w:after="0"/>
        <w:ind w:left="0" w:right="0" w:hanging="360"/>
        <w:jc w:val="both"/>
        <w:rPr/>
      </w:pPr>
      <w:r>
        <w:rPr>
          <w:rFonts w:ascii="Arial;sans-serif" w:hAnsi="Arial;sans-serif"/>
          <w:b w:val="false"/>
          <w:color w:val="000000"/>
          <w:sz w:val="12"/>
        </w:rPr>
        <w:t>(a)Includes reclassifications of</w:t>
      </w:r>
      <w:r>
        <w:rPr>
          <w:color w:val="000000"/>
          <w:highlight w:val="white"/>
        </w:rPr>
        <w:t xml:space="preserve"> </w:t>
      </w:r>
      <w:r>
        <w:rPr>
          <w:rFonts w:ascii="Arial;sans-serif" w:hAnsi="Arial;sans-serif"/>
          <w:b w:val="false"/>
          <w:color w:val="000000"/>
          <w:sz w:val="12"/>
          <w:highlight w:val="white"/>
        </w:rPr>
        <w:t xml:space="preserve">$0.2 billion </w:t>
      </w:r>
      <w:r>
        <w:rPr>
          <w:rFonts w:ascii="Arial;sans-serif" w:hAnsi="Arial;sans-serif"/>
          <w:b w:val="false"/>
          <w:color w:val="000000"/>
          <w:sz w:val="12"/>
        </w:rPr>
        <w:t>and $0.5 billion in the three months ended March 31, 2023 and 2022 for purchases/collections of wholesale finance receivables resulting from vehicles sold by GM to dealers that have arranged their inventory floor plan financing through GM Financial.</w:t>
      </w:r>
    </w:p>
    <w:p>
      <w:pPr>
        <w:pStyle w:val="TextBody"/>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 xml:space="preserve">(b)Includes reclassifications of $3.5 billion in the three months ended March 31, 2022 for redemption of Cruise preferred shares from SoftBank and Automotive investment in Cruise. </w:t>
      </w:r>
    </w:p>
    <w:p>
      <w:pPr>
        <w:pStyle w:val="TextBody"/>
        <w:spacing w:lineRule="auto" w:line="288"/>
        <w:ind w:left="0" w:right="0" w:hanging="360"/>
        <w:jc w:val="both"/>
        <w:rPr>
          <w:rFonts w:ascii="Arial;sans-serif" w:hAnsi="Arial;sans-serif"/>
          <w:b w:val="false"/>
          <w:color w:val="000000"/>
          <w:sz w:val="12"/>
        </w:rPr>
      </w:pPr>
      <w:r>
        <w:rPr>
          <w:rFonts w:ascii="Arial;sans-serif" w:hAnsi="Arial;sans-serif"/>
          <w:b w:val="false"/>
          <w:color w:val="000000"/>
          <w:sz w:val="12"/>
        </w:rPr>
        <w:t>(c)Eliminations include dividends of $0.5 billion issued by GM Financial to Automotive in the three months ended March 31, 2023.</w:t>
      </w:r>
      <w:r>
        <w:br w:type="page"/>
      </w:r>
    </w:p>
    <w:p>
      <w:pPr>
        <w:pStyle w:val="TextBody"/>
        <w:spacing w:before="0" w:after="283"/>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6705"/>
                <wp:effectExtent l="0" t="0" r="0" b="0"/>
                <wp:wrapNone/>
                <wp:docPr id="19" name="Frame1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11</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6250</Words>
  <CharactersWithSpaces>40563</CharactersWithSpaces>
  <Paragraphs>1951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q12023earnings04252023</dc:title>
</cp:coreProperties>
</file>