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573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735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2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251"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4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6"/>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20" w:type="dxa"/>
            <w:vAlign w:val="bottom"/>
            <w:gridSpan w:val="3"/>
          </w:tcPr>
          <w:p>
            <w:pPr>
              <w:jc w:val="center"/>
              <w:ind w:left="58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3"/>
              </w:rPr>
              <w:t>02/10/2018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2"/>
              </w:rPr>
              <w:t>11,729</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114,781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20" w:type="dxa"/>
            <w:vAlign w:val="bottom"/>
            <w:gridSpan w:val="3"/>
          </w:tcPr>
          <w:p>
            <w:pPr>
              <w:jc w:val="center"/>
              <w:ind w:left="605"/>
              <w:spacing w:after="0"/>
              <w:rPr>
                <w:sz w:val="20"/>
                <w:szCs w:val="20"/>
                <w:color w:val="auto"/>
              </w:rPr>
            </w:pPr>
            <w:r>
              <w:rPr>
                <w:rFonts w:ascii="Arial" w:cs="Arial" w:eastAsia="Arial" w:hAnsi="Arial"/>
                <w:sz w:val="17"/>
                <w:szCs w:val="17"/>
                <w:color w:val="0000FF"/>
                <w:w w:val="93"/>
              </w:rPr>
              <w:t>02/10/2018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3"/>
              </w:rPr>
              <w:t>3,373</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20"/>
              <w:spacing w:after="0"/>
              <w:rPr>
                <w:sz w:val="20"/>
                <w:szCs w:val="20"/>
                <w:color w:val="auto"/>
              </w:rPr>
            </w:pPr>
            <w:r>
              <w:rPr>
                <w:rFonts w:ascii="Arial" w:cs="Arial" w:eastAsia="Arial" w:hAnsi="Arial"/>
                <w:sz w:val="17"/>
                <w:szCs w:val="17"/>
                <w:color w:val="0000FF"/>
              </w:rPr>
              <w:t>111,408</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3"/>
              </w:rPr>
              <w:t>8,461</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119,869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20" w:type="dxa"/>
            <w:vAlign w:val="bottom"/>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3"/>
              </w:rPr>
              <w:t>2,420</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20"/>
              <w:spacing w:after="0"/>
              <w:rPr>
                <w:sz w:val="20"/>
                <w:szCs w:val="20"/>
                <w:color w:val="auto"/>
              </w:rPr>
            </w:pPr>
            <w:r>
              <w:rPr>
                <w:rFonts w:ascii="Arial" w:cs="Arial" w:eastAsia="Arial" w:hAnsi="Arial"/>
                <w:sz w:val="17"/>
                <w:szCs w:val="17"/>
                <w:color w:val="0000FF"/>
              </w:rPr>
              <w:t>117,449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0000FF"/>
                <w:w w:val="91"/>
              </w:rPr>
              <w:t>152,310</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269,759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20" w:type="dxa"/>
            <w:vAlign w:val="bottom"/>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2"/>
              </w:rPr>
              <w:t>65,825</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203,934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20" w:type="dxa"/>
            <w:vAlign w:val="bottom"/>
            <w:gridSpan w:val="10"/>
          </w:tcPr>
          <w:p>
            <w:pPr>
              <w:jc w:val="center"/>
              <w:ind w:left="60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17"/>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17"/>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8"/>
              <w:spacing w:after="0" w:line="134"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88"/>
              </w:rPr>
              <w:t>11,729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02/10/2018</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1000" w:type="dxa"/>
            <w:vAlign w:val="bottom"/>
          </w:tcPr>
          <w:p>
            <w:pPr>
              <w:jc w:val="right"/>
              <w:ind w:right="79"/>
              <w:spacing w:after="0" w:line="145" w:lineRule="exact"/>
              <w:rPr>
                <w:sz w:val="20"/>
                <w:szCs w:val="20"/>
                <w:color w:val="auto"/>
              </w:rPr>
            </w:pPr>
            <w:r>
              <w:rPr>
                <w:rFonts w:ascii="Arial" w:cs="Arial" w:eastAsia="Arial" w:hAnsi="Arial"/>
                <w:sz w:val="13"/>
                <w:szCs w:val="13"/>
                <w:color w:val="0000FF"/>
              </w:rPr>
              <w:t>11,729</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20" w:type="dxa"/>
            <w:vAlign w:val="bottom"/>
          </w:tcPr>
          <w:p>
            <w:pPr>
              <w:jc w:val="center"/>
              <w:ind w:right="48"/>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0000FF"/>
              </w:rPr>
              <w:t>11,728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62"/>
              <w:spacing w:after="0"/>
              <w:rPr>
                <w:sz w:val="20"/>
                <w:szCs w:val="20"/>
                <w:color w:val="auto"/>
              </w:rPr>
            </w:pPr>
            <w:r>
              <w:rPr>
                <w:rFonts w:ascii="Arial" w:cs="Arial" w:eastAsia="Arial" w:hAnsi="Arial"/>
                <w:sz w:val="13"/>
                <w:szCs w:val="13"/>
                <w:color w:val="0000FF"/>
                <w:w w:val="98"/>
              </w:rPr>
              <w:t>Stock</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98"/>
              </w:rPr>
              <w:t>8,461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02/11/2018</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1000" w:type="dxa"/>
            <w:vAlign w:val="bottom"/>
            <w:vMerge w:val="restart"/>
          </w:tcPr>
          <w:p>
            <w:pPr>
              <w:jc w:val="right"/>
              <w:ind w:right="119"/>
              <w:spacing w:after="0" w:line="145" w:lineRule="exact"/>
              <w:rPr>
                <w:sz w:val="20"/>
                <w:szCs w:val="20"/>
                <w:color w:val="auto"/>
              </w:rPr>
            </w:pPr>
            <w:r>
              <w:rPr>
                <w:rFonts w:ascii="Arial" w:cs="Arial" w:eastAsia="Arial" w:hAnsi="Arial"/>
                <w:sz w:val="13"/>
                <w:szCs w:val="13"/>
                <w:color w:val="0000FF"/>
              </w:rPr>
              <w:t>8,461</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ind w:right="48"/>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ind w:right="9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right"/>
              <w:ind w:right="162"/>
              <w:spacing w:after="0"/>
              <w:rPr>
                <w:sz w:val="20"/>
                <w:szCs w:val="20"/>
                <w:color w:val="auto"/>
              </w:rPr>
            </w:pPr>
            <w:r>
              <w:rPr>
                <w:rFonts w:ascii="Arial" w:cs="Arial" w:eastAsia="Arial" w:hAnsi="Arial"/>
                <w:sz w:val="13"/>
                <w:szCs w:val="13"/>
                <w:color w:val="0000FF"/>
                <w:w w:val="98"/>
              </w:rPr>
              <w:t>Stock</w:t>
            </w: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Restricted Stock Units ("RSUs") awarded on February 10,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RSUs awarded on February 11, 2015.</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11, 2015, the Reporting Person received a grant of Performance Stock Units ("PSUs"). Under the grant, PSUs could be earned based on the achievement of certain financial targets. PSUs vested and settled in shares of common stock on February 11, 2018.</w:t>
      </w:r>
    </w:p>
    <w:p>
      <w:pPr>
        <w:spacing w:after="0" w:line="10"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are exercisable or expire.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in this item were granted on February 11, 2015 and were settled on February 11,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02/13/2018</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Reuss</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2019-12-07T16:33:43Z</dcterms:created>
  <dcterms:modified xsi:type="dcterms:W3CDTF">2019-12-07T16:33:43Z</dcterms:modified>
</cp:coreProperties>
</file>