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May 1,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May 1, 2013, General Motors Company issued a news release announcing April 2013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May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620"/>
          </w:cols>
          <w:pgMar w:left="240" w:top="796" w:right="10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May 3, 2013</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May 1, 2013, 10 a.m. EDT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up 11 percent for Best April in Five Years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Cadillac and Buick sales continue to surge on new models</w:t>
      </w:r>
    </w:p>
    <w:p>
      <w:pPr>
        <w:spacing w:after="0" w:line="216" w:lineRule="exact"/>
        <w:rPr>
          <w:sz w:val="20"/>
          <w:szCs w:val="20"/>
          <w:color w:val="auto"/>
        </w:rPr>
      </w:pPr>
    </w:p>
    <w:p>
      <w:pPr>
        <w:ind w:right="520"/>
        <w:spacing w:after="0" w:line="258"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 General Motors Co. (NYSE: GM) sold 237,646 vehicles in the United States in April, up 11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with a year ago. Retail sales increased 10 percent, fleet sales were up 16 percent and the fleet mix was 28 percent of total sales.</w:t>
      </w:r>
    </w:p>
    <w:p>
      <w:pPr>
        <w:spacing w:after="0" w:line="196"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“Car-buying conditions are strong and will continue to release pent-up demand,” said Kurt McNeil, vice president of U.S. sales operations. “We're very optimistic because GM's market share is growing, the economy continues to move forward and important car and truck launches are just getting underway.”</w:t>
      </w:r>
    </w:p>
    <w:p>
      <w:pPr>
        <w:spacing w:after="0" w:line="208"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Chevrolet dealers began receiving their first shipments of the all-new 2014 Impala in mid-April, and the all-new 2014 Chevrolet Silverado 1500 and GMC Sierra 1500 crew cabs will begin arriving in dealerships in the next several weeks. Buick is launching redesigns of the Regal and LaCrosse in late summer and Cadillac will launch an all-new CTS luxury sedan in the fall.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April Highlights (vs. 2012)</w:t>
      </w:r>
    </w:p>
    <w:p>
      <w:pPr>
        <w:spacing w:after="0" w:line="3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All four GM brands posted higher total and retail sales.</w:t>
      </w:r>
    </w:p>
    <w:p>
      <w:pPr>
        <w:spacing w:after="0" w:line="3" w:lineRule="exact"/>
        <w:rPr>
          <w:rFonts w:ascii="Arial" w:cs="Arial" w:eastAsia="Arial" w:hAnsi="Arial"/>
          <w:sz w:val="18"/>
          <w:szCs w:val="18"/>
          <w:color w:val="auto"/>
        </w:rPr>
      </w:pPr>
    </w:p>
    <w:p>
      <w:pPr>
        <w:ind w:left="340" w:right="20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Crossovers were up 13 percent; trucks, which include pickups, vans and SUVs, were up 17 percent; and car sales were up 6 percent.</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Large pickups were up 23 percent.</w:t>
      </w:r>
    </w:p>
    <w:p>
      <w:pPr>
        <w:spacing w:after="0" w:line="3" w:lineRule="exact"/>
        <w:rPr>
          <w:rFonts w:ascii="Arial" w:cs="Arial" w:eastAsia="Arial" w:hAnsi="Arial"/>
          <w:sz w:val="18"/>
          <w:szCs w:val="18"/>
          <w:color w:val="auto"/>
        </w:rPr>
      </w:pPr>
    </w:p>
    <w:p>
      <w:pPr>
        <w:ind w:left="340" w:right="380" w:hanging="332"/>
        <w:spacing w:after="0" w:line="25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21"/>
          <w:szCs w:val="21"/>
          <w:color w:val="auto"/>
        </w:rPr>
        <w:t>Strong sales of the all-new Chevrolet Spark and double-digit sales increases for the Buick Verano, the Chevrolet Sonic and the Chevrolet Cruze drove a 31 percent increase in sales of GM mini, small and compact cars.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new Chevrolet Malibu achieved its best sales and retail segment share since launch.</w:t>
      </w:r>
    </w:p>
    <w:p>
      <w:pPr>
        <w:spacing w:after="0" w:line="328" w:lineRule="exact"/>
        <w:rPr>
          <w:sz w:val="20"/>
          <w:szCs w:val="20"/>
          <w:color w:val="auto"/>
        </w:rPr>
      </w:pPr>
    </w:p>
    <w:tbl>
      <w:tblPr>
        <w:tblLayout w:type="fixed"/>
        <w:tblInd w:w="1430" w:type="dxa"/>
        <w:tblCellMar>
          <w:top w:w="0" w:type="dxa"/>
          <w:left w:w="0" w:type="dxa"/>
          <w:bottom w:w="0" w:type="dxa"/>
          <w:right w:w="0" w:type="dxa"/>
        </w:tblCellMar>
      </w:tblPr>
      <w:tr>
        <w:trPr>
          <w:trHeight w:val="237"/>
        </w:trPr>
        <w:tc>
          <w:tcPr>
            <w:tcW w:w="2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April Highlights</w:t>
            </w:r>
          </w:p>
        </w:tc>
        <w:tc>
          <w:tcPr>
            <w:tcW w:w="16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Total Sales</w:t>
            </w:r>
          </w:p>
        </w:tc>
        <w:tc>
          <w:tcPr>
            <w:tcW w:w="14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YOY Change</w:t>
            </w:r>
          </w:p>
        </w:tc>
        <w:tc>
          <w:tcPr>
            <w:tcW w:w="17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Retail Sales</w:t>
            </w:r>
          </w:p>
        </w:tc>
        <w:tc>
          <w:tcPr>
            <w:tcW w:w="16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Chevrolet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172,460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10.9%</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115,173</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9.0%</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GMC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34,799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6.7%</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29,720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8.0%</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Buick</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17,157</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11.1%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14,928</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10.3%</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Cadillac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13,230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34.3%</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11,863</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24.5%</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237,646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11.4%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171,684</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Calendar Year to Date Highlights (vs. 2012)</w:t>
      </w:r>
    </w:p>
    <w:p>
      <w:pPr>
        <w:spacing w:after="0" w:line="30" w:lineRule="exact"/>
        <w:rPr>
          <w:sz w:val="20"/>
          <w:szCs w:val="20"/>
          <w:color w:val="auto"/>
        </w:rPr>
      </w:pPr>
    </w:p>
    <w:p>
      <w:pPr>
        <w:ind w:left="340" w:right="440" w:hanging="332"/>
        <w:spacing w:after="0" w:line="24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Cadillac was the industry's fastest-growing volume brand in the first quarter, and April's results bring the brand's year-to-date sales increase to 37 percent.</w:t>
      </w:r>
    </w:p>
    <w:p>
      <w:pPr>
        <w:sectPr>
          <w:pgSz w:w="11900" w:h="16838" w:orient="portrait"/>
          <w:cols w:equalWidth="0" w:num="1">
            <w:col w:w="11420"/>
          </w:cols>
          <w:pgMar w:left="240" w:top="811" w:right="239" w:bottom="1440" w:gutter="0" w:footer="0" w:header="0"/>
        </w:sectPr>
      </w:pPr>
    </w:p>
    <w:bookmarkStart w:id="5" w:name="page6"/>
    <w:bookmarkEnd w:id="5"/>
    <w:p>
      <w:pPr>
        <w:ind w:left="340" w:right="104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Through April, Buick total sales are up 23 percent. Retail sales are up 19 percent and have increased for 12 consecutive months year over 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Sales to small business customers totaled 57,030 units, which is up 32 percent.</w:t>
      </w:r>
    </w:p>
    <w:p>
      <w:pPr>
        <w:spacing w:after="0" w:line="3" w:lineRule="exact"/>
        <w:rPr>
          <w:rFonts w:ascii="Arial" w:cs="Arial" w:eastAsia="Arial" w:hAnsi="Arial"/>
          <w:sz w:val="18"/>
          <w:szCs w:val="18"/>
          <w:color w:val="auto"/>
        </w:rPr>
      </w:pPr>
    </w:p>
    <w:p>
      <w:pPr>
        <w:ind w:left="340" w:right="36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Chevrolet had its best-ever year-to-date crossover sales, driven by a 14 percent increase for Equinox and an 18 percent increase for the redesigned Traverse.</w:t>
      </w:r>
    </w:p>
    <w:p>
      <w:pPr>
        <w:ind w:left="340" w:right="12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GM's large pickup sales are up 21 percent and GM's estimated retail segment share is up more than 1 percentage point and its total share is up almost a point.</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GM's fleet mix is 26 percent.</w:t>
      </w:r>
    </w:p>
    <w:p>
      <w:pPr>
        <w:spacing w:after="0" w:line="328" w:lineRule="exact"/>
        <w:rPr>
          <w:sz w:val="20"/>
          <w:szCs w:val="20"/>
          <w:color w:val="auto"/>
        </w:rPr>
      </w:pPr>
    </w:p>
    <w:tbl>
      <w:tblPr>
        <w:tblLayout w:type="fixed"/>
        <w:tblInd w:w="1290" w:type="dxa"/>
        <w:tblCellMar>
          <w:top w:w="0" w:type="dxa"/>
          <w:left w:w="0" w:type="dxa"/>
          <w:bottom w:w="0" w:type="dxa"/>
          <w:right w:w="0" w:type="dxa"/>
        </w:tblCellMar>
      </w:tblP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CYTD Highlights</w:t>
            </w:r>
          </w:p>
        </w:tc>
        <w:tc>
          <w:tcPr>
            <w:tcW w:w="16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Total Sales</w:t>
            </w:r>
          </w:p>
        </w:tc>
        <w:tc>
          <w:tcPr>
            <w:tcW w:w="15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6"/>
                <w:szCs w:val="16"/>
                <w:b w:val="1"/>
                <w:bCs w:val="1"/>
                <w:color w:val="auto"/>
              </w:rPr>
              <w:t>YOY Change</w:t>
            </w:r>
          </w:p>
        </w:tc>
        <w:tc>
          <w:tcPr>
            <w:tcW w:w="17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Retail Sales</w:t>
            </w:r>
          </w:p>
        </w:tc>
        <w:tc>
          <w:tcPr>
            <w:tcW w:w="23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Chevrolet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642,164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6.4%</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435,094</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6.9%</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GMC</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139,726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121,060</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13.1%</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Buick</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64,777</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22.7%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58,216</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19.0%</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Cadillac</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55,942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37.1%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49,887</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26.7%</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1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Total GM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902,609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664,257</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10.3%</w:t>
            </w:r>
          </w:p>
        </w:tc>
      </w:tr>
      <w:tr>
        <w:trPr>
          <w:trHeight w:val="3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331" w:lineRule="exact"/>
        <w:rPr>
          <w:sz w:val="20"/>
          <w:szCs w:val="20"/>
          <w:color w:val="auto"/>
        </w:rPr>
      </w:pPr>
    </w:p>
    <w:tbl>
      <w:tblPr>
        <w:tblLayout w:type="fixed"/>
        <w:tblInd w:w="930" w:type="dxa"/>
        <w:tblCellMar>
          <w:top w:w="0" w:type="dxa"/>
          <w:left w:w="0" w:type="dxa"/>
          <w:bottom w:w="0" w:type="dxa"/>
          <w:right w:w="0" w:type="dxa"/>
        </w:tblCellMar>
      </w:tblPr>
      <w:tr>
        <w:trPr>
          <w:trHeight w:val="229"/>
        </w:trPr>
        <w:tc>
          <w:tcPr>
            <w:tcW w:w="380" w:type="dxa"/>
            <w:vAlign w:val="bottom"/>
            <w:tcBorders>
              <w:right w:val="single" w:sz="8" w:color="auto"/>
            </w:tcBorders>
          </w:tcPr>
          <w:p>
            <w:pPr>
              <w:spacing w:after="0"/>
              <w:rPr>
                <w:sz w:val="19"/>
                <w:szCs w:val="19"/>
                <w:color w:val="auto"/>
              </w:rPr>
            </w:pP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Inventory</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Units @</w:t>
            </w: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Days Supply (selling</w:t>
            </w:r>
          </w:p>
        </w:tc>
        <w:tc>
          <w:tcPr>
            <w:tcW w:w="6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Units @</w:t>
            </w:r>
          </w:p>
        </w:tc>
        <w:tc>
          <w:tcPr>
            <w:tcW w:w="180" w:type="dxa"/>
            <w:vAlign w:val="bottom"/>
            <w:tcBorders>
              <w:top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Days Supply</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Borders>
              <w:right w:val="single" w:sz="8" w:color="auto"/>
            </w:tcBorders>
            <w:vMerge w:val="restart"/>
          </w:tcPr>
          <w:p>
            <w:pPr>
              <w:jc w:val="center"/>
              <w:ind w:right="119"/>
              <w:spacing w:after="0"/>
              <w:rPr>
                <w:sz w:val="20"/>
                <w:szCs w:val="20"/>
                <w:color w:val="auto"/>
              </w:rPr>
            </w:pPr>
            <w:r>
              <w:rPr>
                <w:rFonts w:ascii="Arial" w:cs="Arial" w:eastAsia="Arial" w:hAnsi="Arial"/>
                <w:sz w:val="16"/>
                <w:szCs w:val="16"/>
                <w:b w:val="1"/>
                <w:bCs w:val="1"/>
                <w:color w:val="auto"/>
              </w:rPr>
              <w:t>April 30</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day adjusted)</w:t>
            </w:r>
          </w:p>
        </w:tc>
        <w:tc>
          <w:tcPr>
            <w:tcW w:w="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8"/>
                <w:szCs w:val="8"/>
                <w:color w:val="auto"/>
              </w:rPr>
            </w:pPr>
          </w:p>
        </w:tc>
        <w:tc>
          <w:tcPr>
            <w:tcW w:w="2120" w:type="dxa"/>
            <w:vAlign w:val="bottom"/>
            <w:tcBorders>
              <w:right w:val="single" w:sz="8" w:color="auto"/>
            </w:tcBorders>
            <w:vMerge w:val="restart"/>
          </w:tcPr>
          <w:p>
            <w:pPr>
              <w:jc w:val="center"/>
              <w:ind w:right="139"/>
              <w:spacing w:after="0"/>
              <w:rPr>
                <w:sz w:val="20"/>
                <w:szCs w:val="20"/>
                <w:color w:val="auto"/>
              </w:rPr>
            </w:pPr>
            <w:r>
              <w:rPr>
                <w:rFonts w:ascii="Arial" w:cs="Arial" w:eastAsia="Arial" w:hAnsi="Arial"/>
                <w:sz w:val="16"/>
                <w:szCs w:val="16"/>
                <w:b w:val="1"/>
                <w:bCs w:val="1"/>
                <w:color w:val="auto"/>
              </w:rPr>
              <w:t>(selling day adjusted)</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80" w:type="dxa"/>
            <w:vAlign w:val="bottom"/>
            <w:tcBorders>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vMerge w:val="continue"/>
          </w:tcPr>
          <w:p>
            <w:pPr>
              <w:spacing w:after="0"/>
              <w:rPr>
                <w:sz w:val="11"/>
                <w:szCs w:val="11"/>
                <w:color w:val="auto"/>
              </w:rPr>
            </w:pPr>
          </w:p>
        </w:tc>
        <w:tc>
          <w:tcPr>
            <w:tcW w:w="144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All Vehicles</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720,699</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4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743,786</w:t>
            </w:r>
          </w:p>
        </w:tc>
        <w:tc>
          <w:tcPr>
            <w:tcW w:w="2300" w:type="dxa"/>
            <w:vAlign w:val="bottom"/>
            <w:tcBorders>
              <w:right w:val="single" w:sz="8" w:color="auto"/>
            </w:tcBorders>
            <w:gridSpan w:val="2"/>
          </w:tcPr>
          <w:p>
            <w:pPr>
              <w:jc w:val="right"/>
              <w:ind w:right="999"/>
              <w:spacing w:after="0"/>
              <w:rPr>
                <w:sz w:val="20"/>
                <w:szCs w:val="20"/>
                <w:color w:val="auto"/>
              </w:rPr>
            </w:pPr>
            <w:r>
              <w:rPr>
                <w:rFonts w:ascii="Arial" w:cs="Arial" w:eastAsia="Arial" w:hAnsi="Arial"/>
                <w:sz w:val="16"/>
                <w:szCs w:val="16"/>
                <w:color w:val="auto"/>
              </w:rPr>
              <w:t>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 w:type="dxa"/>
            <w:vAlign w:val="bottom"/>
            <w:tcBorders>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Full-size Pickups</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228,524</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239,718</w:t>
            </w:r>
          </w:p>
        </w:tc>
        <w:tc>
          <w:tcPr>
            <w:tcW w:w="2300" w:type="dxa"/>
            <w:vAlign w:val="bottom"/>
            <w:tcBorders>
              <w:right w:val="single" w:sz="8" w:color="auto"/>
            </w:tcBorders>
            <w:gridSpan w:val="2"/>
          </w:tcPr>
          <w:p>
            <w:pPr>
              <w:jc w:val="right"/>
              <w:ind w:right="979"/>
              <w:spacing w:after="0"/>
              <w:rPr>
                <w:sz w:val="20"/>
                <w:szCs w:val="20"/>
                <w:color w:val="auto"/>
              </w:rPr>
            </w:pPr>
            <w:r>
              <w:rPr>
                <w:rFonts w:ascii="Arial" w:cs="Arial" w:eastAsia="Arial" w:hAnsi="Arial"/>
                <w:sz w:val="16"/>
                <w:szCs w:val="16"/>
                <w:color w:val="auto"/>
              </w:rPr>
              <w:t>117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Industry Sales</w:t>
            </w:r>
          </w:p>
        </w:tc>
        <w:tc>
          <w:tcPr>
            <w:tcW w:w="1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April SAAR (est.)</w:t>
            </w:r>
          </w:p>
        </w:tc>
        <w:tc>
          <w:tcPr>
            <w:tcW w:w="480" w:type="dxa"/>
            <w:vAlign w:val="bottom"/>
          </w:tcPr>
          <w:p>
            <w:pPr>
              <w:spacing w:after="0"/>
              <w:rPr>
                <w:sz w:val="18"/>
                <w:szCs w:val="18"/>
                <w:color w:val="auto"/>
              </w:rPr>
            </w:pPr>
          </w:p>
        </w:tc>
        <w:tc>
          <w:tcPr>
            <w:tcW w:w="17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Calendar Year (est.)</w:t>
            </w:r>
          </w:p>
        </w:tc>
        <w:tc>
          <w:tcPr>
            <w:tcW w:w="18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6"/>
                <w:szCs w:val="16"/>
                <w:b w:val="1"/>
                <w:bCs w:val="1"/>
                <w:color w:val="auto"/>
                <w:w w:val="98"/>
              </w:rPr>
              <w:t>GM Full Year Forecast</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left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780" w:type="dxa"/>
            <w:vAlign w:val="bottom"/>
          </w:tcPr>
          <w:p>
            <w:pPr>
              <w:jc w:val="center"/>
              <w:ind w:right="159"/>
              <w:spacing w:after="0"/>
              <w:rPr>
                <w:sz w:val="20"/>
                <w:szCs w:val="20"/>
                <w:color w:val="auto"/>
              </w:rPr>
            </w:pPr>
            <w:r>
              <w:rPr>
                <w:rFonts w:ascii="Arial" w:cs="Arial" w:eastAsia="Arial" w:hAnsi="Arial"/>
                <w:sz w:val="16"/>
                <w:szCs w:val="16"/>
                <w:color w:val="auto"/>
                <w:w w:val="94"/>
              </w:rPr>
              <w:t>Light Vehicles</w:t>
            </w:r>
          </w:p>
        </w:tc>
        <w:tc>
          <w:tcPr>
            <w:tcW w:w="1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15.0 million range</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jc w:val="center"/>
              <w:ind w:right="299"/>
              <w:spacing w:after="0"/>
              <w:rPr>
                <w:sz w:val="20"/>
                <w:szCs w:val="20"/>
                <w:color w:val="auto"/>
              </w:rPr>
            </w:pPr>
            <w:r>
              <w:rPr>
                <w:rFonts w:ascii="Arial" w:cs="Arial" w:eastAsia="Arial" w:hAnsi="Arial"/>
                <w:sz w:val="16"/>
                <w:szCs w:val="16"/>
                <w:color w:val="auto"/>
                <w:w w:val="98"/>
              </w:rPr>
              <w:t>15.2 million</w:t>
            </w:r>
          </w:p>
        </w:tc>
        <w:tc>
          <w:tcPr>
            <w:tcW w:w="18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6"/>
                <w:szCs w:val="16"/>
                <w:color w:val="auto"/>
                <w:w w:val="96"/>
              </w:rPr>
              <w:t>15.0 - 15.5 million range</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Borders>
              <w:left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606"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April</w:t>
            </w:r>
          </w:p>
        </w:tc>
        <w:tc>
          <w:tcPr>
            <w:tcW w:w="10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April - April</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4,797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5,000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20,609</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15,950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2,916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7,869</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4,307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4,545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15,679</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18,023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888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1,746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2,852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5,830</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9,952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(41.4)</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3,391</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2,989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13.4</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14,786</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7,969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85.5</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17,157</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15,446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11.1</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64,777</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52,782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2,725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12,475</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2,398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4,202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(42.9)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10,260</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16,276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(37.0)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275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919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3,609</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3,914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619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543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2,465</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2,420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199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41.1</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773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535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3,478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3,998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16,334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17,290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107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(98.1)</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2,891</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10,021</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13,230</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9,851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34.3</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55,942</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40,817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37.1</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1,927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1,676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8,186</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7,170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(83.3)</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(97.9)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7,949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9,627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27,147</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31,551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233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33.9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912</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542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68.3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4,315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3,493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16,694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10,713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55.8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425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3,499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2,635</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13,555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(80.6)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974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1,396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3,915</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4,328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22,032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18,205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77,763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75,288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20,965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18,282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14.7</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79,834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69,859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7,850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6,599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23,381</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22,266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10,943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14,965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55,286</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65,342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21,734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21,906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70,913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80,456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39,395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30,749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28.1</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156,044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126,387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8,151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6,387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27.6</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28,260</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28,250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3,121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11,903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3,682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3,463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6.3</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13,097</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13,355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9,052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5,845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25,824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19,678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8,405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7,752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34,817</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29,443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18.3</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1,306</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1,462</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(10.7)</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5,550</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5,377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172,460</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155,487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10.9</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642,164</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603,621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6.4</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6,681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6,087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28,503</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23,236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(88.8)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3,851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1,529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2,342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(34.7)</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4,414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7,380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(40.2)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14,208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12,598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55,004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47,270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7,964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7,839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34,770</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30,035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1,577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1,762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8,494</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7,879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7.8</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2,752</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1,188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131.6</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7,817</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4,836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61.6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34,799</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32,603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6.7</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139,726</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124,487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237,646</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213,387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11.4</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902,609</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821,707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9.8</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20"/>
        <w:spacing w:after="0"/>
        <w:rPr>
          <w:sz w:val="20"/>
          <w:szCs w:val="20"/>
          <w:color w:val="auto"/>
        </w:rPr>
      </w:pPr>
      <w:r>
        <w:rPr>
          <w:rFonts w:ascii="Arial" w:cs="Arial" w:eastAsia="Arial" w:hAnsi="Arial"/>
          <w:sz w:val="13"/>
          <w:szCs w:val="13"/>
          <w:color w:val="auto"/>
        </w:rPr>
        <w:t>25 selling days for the April period this year and 24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2019-12-07T20:24:21Z</dcterms:created>
  <dcterms:modified xsi:type="dcterms:W3CDTF">2019-12-07T20:24:21Z</dcterms:modified>
</cp:coreProperties>
</file>