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940"/>
        <w:spacing w:after="0"/>
        <w:rPr>
          <w:sz w:val="20"/>
          <w:szCs w:val="20"/>
          <w:color w:val="auto"/>
        </w:rPr>
      </w:pPr>
      <w:r>
        <w:rPr>
          <w:rFonts w:ascii="Arial" w:cs="Arial" w:eastAsia="Arial" w:hAnsi="Arial"/>
          <w:sz w:val="22"/>
          <w:szCs w:val="22"/>
          <w:b w:val="1"/>
          <w:bCs w:val="1"/>
          <w:color w:val="auto"/>
        </w:rPr>
        <w:t>Date of Report (Date of earliest event reported) June 6,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001-34960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3">
            <w:col w:w="4740" w:space="720"/>
            <w:col w:w="3000" w:space="720"/>
            <w:col w:w="1840"/>
          </w:cols>
          <w:pgMar w:left="240" w:top="230" w:right="639" w:bottom="1440" w:gutter="0" w:footer="0" w:header="0"/>
          <w:type w:val="continuous"/>
        </w:sectPr>
      </w:pPr>
    </w:p>
    <w:p>
      <w:pPr>
        <w:jc w:val="center"/>
        <w:ind w:right="84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960"/>
          </w:cols>
          <w:pgMar w:left="240" w:top="230" w:right="639" w:bottom="1440" w:gutter="0" w:footer="0" w:header="0"/>
          <w:type w:val="continuous"/>
        </w:sectPr>
      </w:pPr>
    </w:p>
    <w:p>
      <w:pPr>
        <w:ind w:left="130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48265-3000</w:t>
      </w:r>
    </w:p>
    <w:p>
      <w:pPr>
        <w:spacing w:after="0" w:line="44" w:lineRule="exact"/>
        <w:rPr>
          <w:sz w:val="24"/>
          <w:szCs w:val="24"/>
          <w:color w:val="auto"/>
        </w:rPr>
      </w:pPr>
    </w:p>
    <w:p>
      <w:pPr>
        <w:sectPr>
          <w:pgSz w:w="11900" w:h="16838" w:orient="portrait"/>
          <w:cols w:equalWidth="0" w:num="2">
            <w:col w:w="7500" w:space="720"/>
            <w:col w:w="2800"/>
          </w:cols>
          <w:pgMar w:left="240" w:top="230" w:right="639" w:bottom="1440" w:gutter="0" w:footer="0" w:header="0"/>
          <w:type w:val="continuous"/>
        </w:sectPr>
      </w:pPr>
    </w:p>
    <w:p>
      <w:pPr>
        <w:ind w:left="17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20" w:space="720"/>
            <w:col w:w="2680"/>
          </w:cols>
          <w:pgMar w:left="240" w:top="230"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230" w:right="6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TABLE OF CONTENTS</w:t>
            </w:r>
          </w:p>
        </w:tc>
        <w:tc>
          <w:tcPr>
            <w:tcW w:w="23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399"/>
        </w:trPr>
        <w:tc>
          <w:tcPr>
            <w:tcW w:w="54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1.01 ENTRY INTO A MATERIAL DEFINITIVE AGREEMENT</w:t>
              </w:r>
            </w:hyperlink>
          </w:p>
        </w:tc>
        <w:tc>
          <w:tcPr>
            <w:tcW w:w="3560" w:type="dxa"/>
            <w:vAlign w:val="bottom"/>
            <w:gridSpan w:val="2"/>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196"/>
        </w:trPr>
        <w:tc>
          <w:tcPr>
            <w:tcW w:w="8980" w:type="dxa"/>
            <w:vAlign w:val="bottom"/>
            <w:gridSpan w:val="6"/>
          </w:tcPr>
          <w:p>
            <w:pPr>
              <w:spacing w:after="0" w:line="19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9.01 FINANCIAL STATEMENTS AND EXHIBITS</w:t>
              </w:r>
            </w:hyperlink>
          </w:p>
        </w:tc>
        <w:tc>
          <w:tcPr>
            <w:tcW w:w="24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w:t>
            </w:r>
          </w:p>
        </w:tc>
      </w:tr>
      <w:tr>
        <w:trPr>
          <w:trHeight w:val="222"/>
        </w:trPr>
        <w:tc>
          <w:tcPr>
            <w:tcW w:w="4400" w:type="dxa"/>
            <w:vAlign w:val="bottom"/>
            <w:tcBorders>
              <w:top w:val="single" w:sz="8" w:color="0000EE"/>
            </w:tcBorders>
            <w:gridSpan w:val="2"/>
          </w:tcPr>
          <w:p>
            <w:pPr>
              <w:ind w:left="440"/>
              <w:spacing w:after="0"/>
              <w:rPr>
                <w:sz w:val="20"/>
                <w:szCs w:val="20"/>
                <w:color w:val="auto"/>
              </w:rPr>
            </w:pPr>
            <w:r>
              <w:rPr>
                <w:rFonts w:ascii="Arial" w:cs="Arial" w:eastAsia="Arial" w:hAnsi="Arial"/>
                <w:sz w:val="18"/>
                <w:szCs w:val="18"/>
                <w:color w:val="auto"/>
              </w:rPr>
              <w:t>Underwriting Agreement, dated June 6, 2013.</w:t>
            </w:r>
          </w:p>
        </w:tc>
        <w:tc>
          <w:tcPr>
            <w:tcW w:w="4580" w:type="dxa"/>
            <w:vAlign w:val="bottom"/>
            <w:gridSpan w:val="4"/>
          </w:tcPr>
          <w:p>
            <w:pPr>
              <w:spacing w:after="0"/>
              <w:rPr>
                <w:sz w:val="19"/>
                <w:szCs w:val="19"/>
                <w:color w:val="auto"/>
              </w:rPr>
            </w:pPr>
          </w:p>
        </w:tc>
        <w:tc>
          <w:tcPr>
            <w:tcW w:w="2440" w:type="dxa"/>
            <w:vAlign w:val="bottom"/>
          </w:tcPr>
          <w:p>
            <w:pPr>
              <w:spacing w:after="0"/>
              <w:rPr>
                <w:sz w:val="19"/>
                <w:szCs w:val="19"/>
                <w:color w:val="auto"/>
              </w:rPr>
            </w:pPr>
          </w:p>
        </w:tc>
      </w:tr>
      <w:tr>
        <w:trPr>
          <w:trHeight w:val="190"/>
        </w:trPr>
        <w:tc>
          <w:tcPr>
            <w:tcW w:w="1040" w:type="dxa"/>
            <w:vAlign w:val="bottom"/>
            <w:tcBorders>
              <w:bottom w:val="single" w:sz="8" w:color="0000EE"/>
            </w:tcBorders>
          </w:tcPr>
          <w:p>
            <w:pPr>
              <w:spacing w:after="0" w:line="190" w:lineRule="exact"/>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SIGNATURE</w:t>
              </w:r>
            </w:hyperlink>
          </w:p>
        </w:tc>
        <w:tc>
          <w:tcPr>
            <w:tcW w:w="7940" w:type="dxa"/>
            <w:vAlign w:val="bottom"/>
            <w:gridSpan w:val="5"/>
          </w:tcPr>
          <w:p>
            <w:pPr>
              <w:spacing w:after="0"/>
              <w:rPr>
                <w:sz w:val="16"/>
                <w:szCs w:val="16"/>
                <w:color w:val="auto"/>
              </w:rPr>
            </w:pPr>
          </w:p>
        </w:tc>
        <w:tc>
          <w:tcPr>
            <w:tcW w:w="2440" w:type="dxa"/>
            <w:vAlign w:val="bottom"/>
          </w:tcPr>
          <w:p>
            <w:pPr>
              <w:jc w:val="right"/>
              <w:spacing w:after="0" w:line="190" w:lineRule="exact"/>
              <w:rPr>
                <w:sz w:val="20"/>
                <w:szCs w:val="20"/>
                <w:color w:val="auto"/>
              </w:rPr>
            </w:pPr>
            <w:r>
              <w:rPr>
                <w:rFonts w:ascii="Arial" w:cs="Arial" w:eastAsia="Arial" w:hAnsi="Arial"/>
                <w:sz w:val="18"/>
                <w:szCs w:val="18"/>
                <w:b w:val="1"/>
                <w:bCs w:val="1"/>
                <w:color w:val="auto"/>
              </w:rPr>
              <w:t>4</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1.01</w:t>
        <w:tab/>
        <w:t>ENTRY INTO A MATERIAL DEFINITIVE AGREEMENT</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June 6, 2013, General Motors Company (the “Company”), the U.S. Department of the Treasury and the UAW Retiree Medical Benefits Trust (collectively, the “Selling Stockholders”) and Citigroup Global Markets Inc., J.P. Morgan Securities LLC and Morgan Stanley &amp; Co. LLC as managers for the several underwriters named therein (collectively, the “Underwriters”) entered into an underwriting agreement (the “Underwriting Agreement”), pursuant to which the Selling Stockholders agreed to sell to the Underwriters, and the Underwriters agreed to purchase from the Selling Stockholders, subject to and upon the terms and conditions set forth therein, an aggregate of 50,000,000 shares of the Company’s common stock (the “Offering”).</w:t>
      </w:r>
    </w:p>
    <w:p>
      <w:pPr>
        <w:spacing w:after="0" w:line="11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This Current Report on Form 8-K is being filed to incorporate the Underwriting Agreement by reference into this registration statement for the Offering. A copy of the Underwriting Agreement has been attached as Exhibit 1.1 to this Current Report on Form 8-K and is incorporated by reference herein. The foregoing description of the Underwriting Agreement does not purport to be complete and is qualified in its entirety by reference to such Exhibit.</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860" w:type="dxa"/>
            <w:vAlign w:val="bottom"/>
          </w:tcPr>
          <w:p>
            <w:pPr>
              <w:spacing w:after="0"/>
              <w:rPr>
                <w:sz w:val="14"/>
                <w:szCs w:val="14"/>
                <w:color w:val="auto"/>
              </w:rPr>
            </w:pPr>
          </w:p>
        </w:tc>
        <w:tc>
          <w:tcPr>
            <w:tcW w:w="9840" w:type="dxa"/>
            <w:vAlign w:val="bottom"/>
            <w:tcBorders>
              <w:bottom w:val="single" w:sz="8" w:color="auto"/>
            </w:tcBorders>
          </w:tcPr>
          <w:p>
            <w:pPr>
              <w:jc w:val="right"/>
              <w:ind w:right="4512"/>
              <w:spacing w:after="0"/>
              <w:rPr>
                <w:sz w:val="20"/>
                <w:szCs w:val="20"/>
                <w:color w:val="auto"/>
              </w:rPr>
            </w:pPr>
            <w:r>
              <w:rPr>
                <w:rFonts w:ascii="Arial" w:cs="Arial" w:eastAsia="Arial" w:hAnsi="Arial"/>
                <w:sz w:val="14"/>
                <w:szCs w:val="14"/>
                <w:b w:val="1"/>
                <w:bCs w:val="1"/>
                <w:color w:val="auto"/>
              </w:rPr>
              <w:t>Description</w:t>
            </w:r>
          </w:p>
        </w:tc>
      </w:tr>
      <w:tr>
        <w:trPr>
          <w:trHeight w:val="302"/>
        </w:trPr>
        <w:tc>
          <w:tcPr>
            <w:tcW w:w="720" w:type="dxa"/>
            <w:vAlign w:val="bottom"/>
          </w:tcPr>
          <w:p>
            <w:pPr>
              <w:spacing w:after="0"/>
              <w:rPr>
                <w:sz w:val="20"/>
                <w:szCs w:val="20"/>
                <w:color w:val="auto"/>
              </w:rPr>
            </w:pPr>
            <w:r>
              <w:rPr>
                <w:rFonts w:ascii="Arial" w:cs="Arial" w:eastAsia="Arial" w:hAnsi="Arial"/>
                <w:sz w:val="18"/>
                <w:szCs w:val="18"/>
                <w:color w:val="auto"/>
              </w:rPr>
              <w:t>1.1</w:t>
            </w: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92"/>
              </w:rPr>
              <w:t>Underwriting Agreement, dated June 6, 2013, among General Motors Company, the United States Department of the Treasury, UAW</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w w:val="94"/>
              </w:rPr>
              <w:t>Retiree Medical Benefits Trust, and Citigroup Global Markets, Inc., J.P. Morgan Securities LLC and Morgan Stanley &amp; Co. LLC, as</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860"/>
              <w:spacing w:after="0"/>
              <w:rPr>
                <w:sz w:val="20"/>
                <w:szCs w:val="20"/>
                <w:color w:val="auto"/>
              </w:rPr>
            </w:pPr>
            <w:r>
              <w:rPr>
                <w:rFonts w:ascii="Arial" w:cs="Arial" w:eastAsia="Arial" w:hAnsi="Arial"/>
                <w:sz w:val="18"/>
                <w:szCs w:val="18"/>
                <w:color w:val="auto"/>
              </w:rPr>
              <w:t>managers for the several underwriters named therein.</w:t>
            </w:r>
          </w:p>
        </w:tc>
      </w:tr>
      <w:tr>
        <w:trPr>
          <w:trHeight w:val="365"/>
        </w:trPr>
        <w:tc>
          <w:tcPr>
            <w:tcW w:w="720" w:type="dxa"/>
            <w:vAlign w:val="bottom"/>
          </w:tcPr>
          <w:p>
            <w:pPr>
              <w:spacing w:after="0"/>
              <w:rPr>
                <w:sz w:val="24"/>
                <w:szCs w:val="24"/>
                <w:color w:val="auto"/>
              </w:rPr>
            </w:pPr>
          </w:p>
        </w:tc>
        <w:tc>
          <w:tcPr>
            <w:tcW w:w="10700" w:type="dxa"/>
            <w:vAlign w:val="bottom"/>
            <w:gridSpan w:val="2"/>
          </w:tcPr>
          <w:p>
            <w:pPr>
              <w:jc w:val="right"/>
              <w:ind w:right="5592"/>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ind w:left="566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S. TIMKO</w:t>
      </w:r>
    </w:p>
    <w:p>
      <w:pPr>
        <w:spacing w:after="0" w:line="1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June 11, 2013</w:t>
      </w:r>
      <w:r>
        <w:rPr>
          <w:sz w:val="20"/>
          <w:szCs w:val="20"/>
          <w:color w:val="auto"/>
        </w:rPr>
        <w:tab/>
      </w:r>
      <w:r>
        <w:rPr>
          <w:rFonts w:ascii="Arial" w:cs="Arial" w:eastAsia="Arial" w:hAnsi="Arial"/>
          <w:sz w:val="16"/>
          <w:szCs w:val="16"/>
          <w:color w:val="auto"/>
        </w:rPr>
        <w:t>Thomas S. Timko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-129540</wp:posOffset>
            </wp:positionV>
            <wp:extent cx="3395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Controller and Chief Accounting Officer</w:t>
      </w:r>
    </w:p>
    <w:p>
      <w:pPr>
        <w:spacing w:after="0" w:line="16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240" w:top="459" w:right="6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50,000,000 Shares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MOTORS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 Par Value $0.01 per Share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171" w:lineRule="exact"/>
        <w:rPr>
          <w:sz w:val="20"/>
          <w:szCs w:val="20"/>
          <w:color w:val="auto"/>
        </w:rPr>
      </w:pPr>
    </w:p>
    <w:p>
      <w:pPr>
        <w:ind w:left="10520"/>
        <w:spacing w:after="0"/>
        <w:rPr>
          <w:sz w:val="20"/>
          <w:szCs w:val="20"/>
          <w:color w:val="auto"/>
        </w:rPr>
      </w:pPr>
      <w:r>
        <w:rPr>
          <w:rFonts w:ascii="Arial" w:cs="Arial" w:eastAsia="Arial" w:hAnsi="Arial"/>
          <w:sz w:val="15"/>
          <w:szCs w:val="15"/>
          <w:color w:val="auto"/>
        </w:rPr>
        <w:t>June 6, 2013</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Managers for the several underwriters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named in Schedule III hereto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10179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shareholders of General Motors Company,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named in Schedule IV hereto (the “</w:t>
      </w:r>
      <w:r>
        <w:rPr>
          <w:rFonts w:ascii="Arial" w:cs="Arial" w:eastAsia="Arial" w:hAnsi="Arial"/>
          <w:sz w:val="16"/>
          <w:szCs w:val="16"/>
          <w:b w:val="1"/>
          <w:bCs w:val="1"/>
          <w:color w:val="auto"/>
        </w:rPr>
        <w:t>Selling Shareholders</w:t>
      </w:r>
      <w:r>
        <w:rPr>
          <w:rFonts w:ascii="Arial" w:cs="Arial" w:eastAsia="Arial" w:hAnsi="Arial"/>
          <w:sz w:val="16"/>
          <w:szCs w:val="16"/>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severally propose to sell to the several underwriters named in Schedule III hereto (collectively, the “</w:t>
      </w:r>
      <w:r>
        <w:rPr>
          <w:rFonts w:ascii="Arial" w:cs="Arial" w:eastAsia="Arial" w:hAnsi="Arial"/>
          <w:sz w:val="16"/>
          <w:szCs w:val="16"/>
          <w:b w:val="1"/>
          <w:bCs w:val="1"/>
          <w:color w:val="auto"/>
        </w:rPr>
        <w:t>Underwriters</w:t>
      </w:r>
      <w:r>
        <w:rPr>
          <w:rFonts w:ascii="Arial" w:cs="Arial" w:eastAsia="Arial" w:hAnsi="Arial"/>
          <w:sz w:val="16"/>
          <w:szCs w:val="16"/>
          <w:color w:val="auto"/>
        </w:rPr>
        <w:t>”), for whom Citigroup Global Markets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J.P. Morgan Securities LLC and Morgan Stanley &amp; Co. LLC are acting as managers (collectively, the “</w:t>
      </w:r>
      <w:r>
        <w:rPr>
          <w:rFonts w:ascii="Arial" w:cs="Arial" w:eastAsia="Arial" w:hAnsi="Arial"/>
          <w:sz w:val="16"/>
          <w:szCs w:val="16"/>
          <w:b w:val="1"/>
          <w:bCs w:val="1"/>
          <w:color w:val="auto"/>
        </w:rPr>
        <w:t>Managers</w:t>
      </w:r>
      <w:r>
        <w:rPr>
          <w:rFonts w:ascii="Arial" w:cs="Arial" w:eastAsia="Arial" w:hAnsi="Arial"/>
          <w:sz w:val="16"/>
          <w:szCs w:val="16"/>
          <w:color w:val="auto"/>
        </w:rPr>
        <w:t>”), an aggregate of 50,000,000 shares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Shares</w:t>
      </w:r>
      <w:r>
        <w:rPr>
          <w:rFonts w:ascii="Arial" w:cs="Arial" w:eastAsia="Arial" w:hAnsi="Arial"/>
          <w:sz w:val="16"/>
          <w:szCs w:val="16"/>
          <w:color w:val="auto"/>
        </w:rPr>
        <w:t>”) of common stock, par value $0.01 per share, of the Company (the “</w:t>
      </w:r>
      <w:r>
        <w:rPr>
          <w:rFonts w:ascii="Arial" w:cs="Arial" w:eastAsia="Arial" w:hAnsi="Arial"/>
          <w:sz w:val="16"/>
          <w:szCs w:val="16"/>
          <w:b w:val="1"/>
          <w:bCs w:val="1"/>
          <w:color w:val="auto"/>
        </w:rPr>
        <w:t>Common Stock</w:t>
      </w:r>
      <w:r>
        <w:rPr>
          <w:rFonts w:ascii="Arial" w:cs="Arial" w:eastAsia="Arial" w:hAnsi="Arial"/>
          <w:sz w:val="16"/>
          <w:szCs w:val="16"/>
          <w:color w:val="auto"/>
        </w:rPr>
        <w:t>”), each Selling Shareholder selling the amount set forth opposite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name in Schedule IV hereto.</w:t>
      </w:r>
    </w:p>
    <w:p>
      <w:pPr>
        <w:sectPr>
          <w:pgSz w:w="11900" w:h="16838" w:orient="portrait"/>
          <w:cols w:equalWidth="0" w:num="1">
            <w:col w:w="11420"/>
          </w:cols>
          <w:pgMar w:left="240" w:top="125" w:right="239" w:bottom="1440" w:gutter="0" w:footer="0" w:header="0"/>
        </w:sectPr>
      </w:pPr>
    </w:p>
    <w:bookmarkStart w:id="5" w:name="page6"/>
    <w:bookmarkEnd w:id="5"/>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including a prospectus, (File No. 333-188153) on Form S-3, relating to certain securities of the Company (the “</w:t>
      </w:r>
      <w:r>
        <w:rPr>
          <w:rFonts w:ascii="Arial" w:cs="Arial" w:eastAsia="Arial" w:hAnsi="Arial"/>
          <w:sz w:val="16"/>
          <w:szCs w:val="16"/>
          <w:b w:val="1"/>
          <w:bCs w:val="1"/>
          <w:color w:val="auto"/>
        </w:rPr>
        <w:t>Shelf Securities</w:t>
      </w:r>
      <w:r>
        <w:rPr>
          <w:rFonts w:ascii="Arial" w:cs="Arial" w:eastAsia="Arial" w:hAnsi="Arial"/>
          <w:sz w:val="16"/>
          <w:szCs w:val="16"/>
          <w:color w:val="auto"/>
        </w:rPr>
        <w:t>”), including the Shares, to be sold from time to time by the Selling Shareholders. The registration statement as amended to the date of this Agreement, including the information (if any) deemed to be part of the registration statement at the time of effectiveness pursuant to Rule 430A or Rule 430B under the Securities Act of 1933, as amended (together with the rules and regulations of the Commission promulgated thereunder, the “</w:t>
      </w:r>
      <w:r>
        <w:rPr>
          <w:rFonts w:ascii="Arial" w:cs="Arial" w:eastAsia="Arial" w:hAnsi="Arial"/>
          <w:sz w:val="16"/>
          <w:szCs w:val="16"/>
          <w:b w:val="1"/>
          <w:bCs w:val="1"/>
          <w:color w:val="auto"/>
        </w:rPr>
        <w:t>Securities Act</w:t>
      </w:r>
      <w:r>
        <w:rPr>
          <w:rFonts w:ascii="Arial" w:cs="Arial" w:eastAsia="Arial" w:hAnsi="Arial"/>
          <w:sz w:val="16"/>
          <w:szCs w:val="16"/>
          <w:color w:val="auto"/>
        </w:rPr>
        <w:t>”), is hereinafter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related prospectus covering the Shelf Securities dated April 26, 2013 in the form first used to confirm sales of the Shares (or in the form first made available to the Underwriters by the Company to meet requests of purchasers pursuant to Rule 173 under the Securities Act) is hereinafter referred to as the “</w:t>
      </w:r>
      <w:r>
        <w:rPr>
          <w:rFonts w:ascii="Arial" w:cs="Arial" w:eastAsia="Arial" w:hAnsi="Arial"/>
          <w:sz w:val="16"/>
          <w:szCs w:val="16"/>
          <w:b w:val="1"/>
          <w:bCs w:val="1"/>
          <w:color w:val="auto"/>
        </w:rPr>
        <w:t>Basic Prospectus</w:t>
      </w:r>
      <w:r>
        <w:rPr>
          <w:rFonts w:ascii="Arial" w:cs="Arial" w:eastAsia="Arial" w:hAnsi="Arial"/>
          <w:sz w:val="16"/>
          <w:szCs w:val="16"/>
          <w:color w:val="auto"/>
        </w:rPr>
        <w:t>.” The Basic Prospectus, as supplemented by the prospectus supplement specifically relating to the Shares in the form first used to confirm sales of the Shares (or in the form first made available to the Underwriters by the Company to meet requests of purchasers pursuant to Rule 173 under the Securities Act) is hereinafter referred to as the “</w:t>
      </w:r>
      <w:r>
        <w:rPr>
          <w:rFonts w:ascii="Arial" w:cs="Arial" w:eastAsia="Arial" w:hAnsi="Arial"/>
          <w:sz w:val="16"/>
          <w:szCs w:val="16"/>
          <w:b w:val="1"/>
          <w:bCs w:val="1"/>
          <w:color w:val="auto"/>
        </w:rPr>
        <w:t>Prospectus</w:t>
      </w:r>
      <w:r>
        <w:rPr>
          <w:rFonts w:ascii="Arial" w:cs="Arial" w:eastAsia="Arial" w:hAnsi="Arial"/>
          <w:sz w:val="16"/>
          <w:szCs w:val="16"/>
          <w:color w:val="auto"/>
        </w:rPr>
        <w:t>,” and the term “</w:t>
      </w:r>
      <w:r>
        <w:rPr>
          <w:rFonts w:ascii="Arial" w:cs="Arial" w:eastAsia="Arial" w:hAnsi="Arial"/>
          <w:sz w:val="16"/>
          <w:szCs w:val="16"/>
          <w:b w:val="1"/>
          <w:bCs w:val="1"/>
          <w:color w:val="auto"/>
        </w:rPr>
        <w:t>Preliminary Prospectus</w:t>
      </w:r>
      <w:r>
        <w:rPr>
          <w:rFonts w:ascii="Arial" w:cs="Arial" w:eastAsia="Arial" w:hAnsi="Arial"/>
          <w:sz w:val="16"/>
          <w:szCs w:val="16"/>
          <w:color w:val="auto"/>
        </w:rPr>
        <w:t>” means any preliminary form of the Prospectus.</w:t>
      </w:r>
    </w:p>
    <w:p>
      <w:pPr>
        <w:spacing w:after="0" w:line="11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Permitted Free Writing Prospectus</w:t>
      </w:r>
      <w:r>
        <w:rPr>
          <w:rFonts w:ascii="Arial" w:cs="Arial" w:eastAsia="Arial" w:hAnsi="Arial"/>
          <w:sz w:val="16"/>
          <w:szCs w:val="16"/>
          <w:color w:val="auto"/>
        </w:rPr>
        <w:t>” as used herein means the documents identified as such in Schedule II hereto and any other “</w:t>
      </w:r>
      <w:r>
        <w:rPr>
          <w:rFonts w:ascii="Arial" w:cs="Arial" w:eastAsia="Arial" w:hAnsi="Arial"/>
          <w:sz w:val="16"/>
          <w:szCs w:val="16"/>
          <w:b w:val="1"/>
          <w:bCs w:val="1"/>
          <w:color w:val="auto"/>
        </w:rPr>
        <w:t>free writing</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(as defined in Rule 405 under the Securities Act) that the Managers and the Company shall hereafter agree in writing to treat as part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Disclosure Package. The term “</w:t>
      </w:r>
      <w:r>
        <w:rPr>
          <w:rFonts w:ascii="Arial" w:cs="Arial" w:eastAsia="Arial" w:hAnsi="Arial"/>
          <w:sz w:val="16"/>
          <w:szCs w:val="16"/>
          <w:b w:val="1"/>
          <w:bCs w:val="1"/>
          <w:color w:val="auto"/>
        </w:rPr>
        <w:t>broadly available road show</w:t>
      </w:r>
      <w:r>
        <w:rPr>
          <w:rFonts w:ascii="Arial" w:cs="Arial" w:eastAsia="Arial" w:hAnsi="Arial"/>
          <w:sz w:val="16"/>
          <w:szCs w:val="16"/>
          <w:color w:val="auto"/>
        </w:rPr>
        <w:t>” means a “bona fide electronic road show” as defined in Rule 433(h)(5) under the Securities Act that has been made available without restriction to any person. The term “</w:t>
      </w:r>
      <w:r>
        <w:rPr>
          <w:rFonts w:ascii="Arial" w:cs="Arial" w:eastAsia="Arial" w:hAnsi="Arial"/>
          <w:sz w:val="16"/>
          <w:szCs w:val="16"/>
          <w:b w:val="1"/>
          <w:bCs w:val="1"/>
          <w:color w:val="auto"/>
        </w:rPr>
        <w:t>Disclosure Package</w:t>
      </w:r>
      <w:r>
        <w:rPr>
          <w:rFonts w:ascii="Arial" w:cs="Arial" w:eastAsia="Arial" w:hAnsi="Arial"/>
          <w:sz w:val="16"/>
          <w:szCs w:val="16"/>
          <w:color w:val="auto"/>
        </w:rPr>
        <w:t>” as used herein means the Preliminary Prospectus dated June 6, 2013 together with the Permitted Free Writing Prospectuses and the term sheet set forth in Schedule I hereto. “</w:t>
      </w:r>
      <w:r>
        <w:rPr>
          <w:rFonts w:ascii="Arial" w:cs="Arial" w:eastAsia="Arial" w:hAnsi="Arial"/>
          <w:sz w:val="16"/>
          <w:szCs w:val="16"/>
          <w:b w:val="1"/>
          <w:bCs w:val="1"/>
          <w:color w:val="auto"/>
        </w:rPr>
        <w:t>Initial Sale Time</w:t>
      </w:r>
      <w:r>
        <w:rPr>
          <w:rFonts w:ascii="Arial" w:cs="Arial" w:eastAsia="Arial" w:hAnsi="Arial"/>
          <w:sz w:val="16"/>
          <w:szCs w:val="16"/>
          <w:color w:val="auto"/>
        </w:rPr>
        <w:t>” shall mean 4:30 p.m. Eastern Time on the date of this Agreement. As used herein, the terms “Registration Statement,” “Basic Prospectus,” “Preliminary Prospectus,” “Disclosure Package” and “Prospectus” shall include the documents, if any, incorporated by reference therein as of the date hereof. The terms “</w:t>
      </w:r>
      <w:r>
        <w:rPr>
          <w:rFonts w:ascii="Arial" w:cs="Arial" w:eastAsia="Arial" w:hAnsi="Arial"/>
          <w:sz w:val="16"/>
          <w:szCs w:val="16"/>
          <w:b w:val="1"/>
          <w:bCs w:val="1"/>
          <w:color w:val="auto"/>
        </w:rPr>
        <w:t>supplement</w:t>
      </w:r>
      <w:r>
        <w:rPr>
          <w:rFonts w:ascii="Arial" w:cs="Arial" w:eastAsia="Arial" w:hAnsi="Arial"/>
          <w:sz w:val="16"/>
          <w:szCs w:val="16"/>
          <w:color w:val="auto"/>
        </w:rPr>
        <w:t>,” “</w:t>
      </w:r>
      <w:r>
        <w:rPr>
          <w:rFonts w:ascii="Arial" w:cs="Arial" w:eastAsia="Arial" w:hAnsi="Arial"/>
          <w:sz w:val="16"/>
          <w:szCs w:val="16"/>
          <w:b w:val="1"/>
          <w:bCs w:val="1"/>
          <w:color w:val="auto"/>
        </w:rPr>
        <w:t>amendment</w:t>
      </w:r>
      <w:r>
        <w:rPr>
          <w:rFonts w:ascii="Arial" w:cs="Arial" w:eastAsia="Arial" w:hAnsi="Arial"/>
          <w:sz w:val="16"/>
          <w:szCs w:val="16"/>
          <w:color w:val="auto"/>
        </w:rPr>
        <w:t>” and “</w:t>
      </w:r>
      <w:r>
        <w:rPr>
          <w:rFonts w:ascii="Arial" w:cs="Arial" w:eastAsia="Arial" w:hAnsi="Arial"/>
          <w:sz w:val="16"/>
          <w:szCs w:val="16"/>
          <w:b w:val="1"/>
          <w:bCs w:val="1"/>
          <w:color w:val="auto"/>
        </w:rPr>
        <w:t>amend</w:t>
      </w:r>
      <w:r>
        <w:rPr>
          <w:rFonts w:ascii="Arial" w:cs="Arial" w:eastAsia="Arial" w:hAnsi="Arial"/>
          <w:sz w:val="16"/>
          <w:szCs w:val="16"/>
          <w:color w:val="auto"/>
        </w:rPr>
        <w:t>” as used herein with respect to the Registration Statement, the Preliminary Prospectus, the Disclosure Package or the Prospectus shall include all documents subsequently filed by the Company with the Commission pursuant to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that are deemed to be incorporated by reference therein.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Selling Shareholders, severally and not jointly, hereby agree to sell to the several Underwriters, and each Underwriter, upon the basis of the representations and warranties herein contained, but subject to the conditions hereinafter stated, agrees, severally and not jointly, to purchase from each Selling Shareholder at $34.39 per share (the “</w:t>
      </w:r>
      <w:r>
        <w:rPr>
          <w:rFonts w:ascii="Arial" w:cs="Arial" w:eastAsia="Arial" w:hAnsi="Arial"/>
          <w:sz w:val="16"/>
          <w:szCs w:val="16"/>
          <w:b w:val="1"/>
          <w:bCs w:val="1"/>
          <w:color w:val="auto"/>
        </w:rPr>
        <w:t>Purchase Price</w:t>
      </w:r>
      <w:r>
        <w:rPr>
          <w:rFonts w:ascii="Arial" w:cs="Arial" w:eastAsia="Arial" w:hAnsi="Arial"/>
          <w:sz w:val="16"/>
          <w:szCs w:val="16"/>
          <w:color w:val="auto"/>
        </w:rPr>
        <w:t>”) the number of Shares (subject to such adjustments to eliminate fractional shares as the Managers may determine) that bears the same proportion to the number of Shares to be sold by such Selling Shareholder as the number of Shares set forth in Schedule III hereto opposite the name of such Underwriter bears to the total number of Shares.</w:t>
      </w:r>
    </w:p>
    <w:p>
      <w:pPr>
        <w:sectPr>
          <w:pgSz w:w="11900" w:h="16838" w:orient="portrait"/>
          <w:cols w:equalWidth="0" w:num="1">
            <w:col w:w="11420"/>
          </w:cols>
          <w:pgMar w:left="240" w:top="274"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III.</w:t>
      </w:r>
    </w:p>
    <w:p>
      <w:pPr>
        <w:spacing w:after="0" w:line="17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Company and the Selling Shareholders are advised by the Managers that the Underwriters propose to make a public offering of their respective portions of the Shares as soon after this Agreement is entered into as in the Managers’ judgment is advisable. The terms of the public offering of the Shares to purchasers are set forth in the Prospectus.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Payment for the Shares shall be made by wire transfer of immediately available funds to the account specified by each Selling Shareholder to the Managers on the Closing Date (as defined below), in each case, against delivery of the Shares for the respective accounts of the several Underwriters at 10:00 A.M. (New York time) on June 12, 2013, or such later time not later than June 21, 2013, as shall be designated by the Managers (the “</w:t>
      </w:r>
      <w:r>
        <w:rPr>
          <w:rFonts w:ascii="Arial" w:cs="Arial" w:eastAsia="Arial" w:hAnsi="Arial"/>
          <w:sz w:val="16"/>
          <w:szCs w:val="16"/>
          <w:b w:val="1"/>
          <w:bCs w:val="1"/>
          <w:color w:val="auto"/>
        </w:rPr>
        <w:t>Closing Date</w:t>
      </w:r>
      <w:r>
        <w:rPr>
          <w:rFonts w:ascii="Arial" w:cs="Arial" w:eastAsia="Arial" w:hAnsi="Arial"/>
          <w:sz w:val="16"/>
          <w:szCs w:val="16"/>
          <w:color w:val="auto"/>
        </w:rPr>
        <w:t>”).</w:t>
      </w:r>
    </w:p>
    <w:p>
      <w:pPr>
        <w:spacing w:after="0" w:line="10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Shares shall be registered in such names and in such amounts as the Managers shall request in writing not less than two (2) full business days prior to the Closing Date. The Shares shall be delivered to the Managers on the Closing Date for the respective accounts of the several Underwriters, with any transfer taxes payable in connection with the transfer of the Shares to the Underwriters duly paid, against payment of the purchase price therefor.</w:t>
      </w:r>
    </w:p>
    <w:p>
      <w:pPr>
        <w:spacing w:after="0" w:line="10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several obligations of the Underwriters hereunder are subject to the following conditions:</w:t>
      </w:r>
    </w:p>
    <w:p>
      <w:pPr>
        <w:spacing w:after="0" w:line="90" w:lineRule="exact"/>
        <w:rPr>
          <w:sz w:val="20"/>
          <w:szCs w:val="20"/>
          <w:color w:val="auto"/>
        </w:rPr>
      </w:pPr>
    </w:p>
    <w:p>
      <w:pPr>
        <w:ind w:right="20" w:firstLine="464"/>
        <w:spacing w:after="0" w:line="286" w:lineRule="auto"/>
        <w:tabs>
          <w:tab w:leader="none" w:pos="695" w:val="left"/>
        </w:tabs>
        <w:numPr>
          <w:ilvl w:val="0"/>
          <w:numId w:val="3"/>
        </w:numPr>
        <w:rPr>
          <w:rFonts w:ascii="Arial" w:cs="Arial" w:eastAsia="Arial" w:hAnsi="Arial"/>
          <w:sz w:val="16"/>
          <w:szCs w:val="16"/>
          <w:color w:val="auto"/>
        </w:rPr>
      </w:pPr>
      <w:r>
        <w:rPr>
          <w:rFonts w:ascii="Arial" w:cs="Arial" w:eastAsia="Arial" w:hAnsi="Arial"/>
          <w:sz w:val="16"/>
          <w:szCs w:val="16"/>
          <w:color w:val="auto"/>
        </w:rPr>
        <w:t>(i) No stop order suspending the effectiveness of the Registration Statement in the United States shall be in effect and no proceedings for such purpose shall be pending before or threatened by the Commission; (ii) there shall have been no material adverse change (not in the ordinary course of business) or any material development involving a prospective material adverse change (not in the ordinary course of business) in the financial condition of the Company and its subsidiaries, taken as a whole, in each case, from that set forth in the Registration Statement, the Disclosure Package and the Prospectus; (iii) the representations and warranties of the Company and the Selling Shareholders in this Agreement that are subject to any limitation as to “materiality” or “material adverse effect” shall be true and correct in all respects on and as of the Closing Date with the same effect as if made on the Closing Date, and the representations and warranties of the Company and the Selling Shareholders in this Agreement that are not subject to any limitation as to “materiality” or “material adverse effect” shall be true and correct in all material respects on and as of the Closing Date with the same effect as if made on the Closing Date; and (iv) the Managers shall have received on the Closing Date a certificate, dated the Closing Date and signed by an executive officer, including without limitation the Treasurer or Assistant Treasurer of the Company (acting on behalf of the Company and without personal liability), to the foregoing effect. The officer making such certificate may rely upon the best of his knowledge as to proceedings threatened or prospective changes.</w:t>
      </w:r>
    </w:p>
    <w:p>
      <w:pPr>
        <w:sectPr>
          <w:pgSz w:w="11900" w:h="16838" w:orient="portrait"/>
          <w:cols w:equalWidth="0" w:num="1">
            <w:col w:w="11380"/>
          </w:cols>
          <w:pgMar w:left="240" w:top="280" w:right="279" w:bottom="1440" w:gutter="0" w:footer="0" w:header="0"/>
        </w:sectPr>
      </w:pPr>
    </w:p>
    <w:bookmarkStart w:id="7" w:name="page8"/>
    <w:bookmarkEnd w:id="7"/>
    <w:p>
      <w:pPr>
        <w:ind w:left="-464" w:firstLine="464"/>
        <w:spacing w:after="0" w:line="287" w:lineRule="auto"/>
        <w:tabs>
          <w:tab w:leader="none" w:pos="241"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Company has rated debt outstanding, subsequent to the execution and delivery of this Agreement and prior to the Closing Date, 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or any of its subsidiaries by any “nationally recognized statistical rating organization,” as such term is defined for purposes of Rule 436(g)(2) under the Securities Act. For the avoidance of doubt, any undrawn balance under the 3-Year Revolving Credit Agreement, dated as of November 5, 2012, among General Motors Holdings, LLC, General Motors Financial Company, Inc., GM Europe Treasury Company AB, General Motors do Brasil Ltda., the subsidiary borrowers from time to time party thereto, the several lenders from time to time party thereto, JPMorgan Chase Bank, N.A. as administrative agent, Banco Do Brasil, as administrative agent for the Brazilian lenders, Citibank, N.A. as syndication agent, and Bank of America, N.A. as co-syndication agent and the 5-year Revolving Credit Agreement, dated as of November 5, 2012 among General Motors Holdings, LLC, the subsidiary borrowers from time to time parties thereto, the several lenders from time to time party thereto, JPMorgan Chase Bank, N.A. as syndication agent, and Bank of America, N.A., as co-syndication agent , shall not be considered outstanding debt for purposes of this clause (b).</w:t>
      </w:r>
    </w:p>
    <w:p>
      <w:pPr>
        <w:spacing w:after="0" w:line="41" w:lineRule="exact"/>
        <w:rPr>
          <w:rFonts w:ascii="Arial" w:cs="Arial" w:eastAsia="Arial" w:hAnsi="Arial"/>
          <w:sz w:val="16"/>
          <w:szCs w:val="16"/>
          <w:color w:val="auto"/>
        </w:rPr>
      </w:pPr>
    </w:p>
    <w:p>
      <w:pPr>
        <w:ind w:left="-464" w:right="60" w:firstLine="464"/>
        <w:spacing w:after="0" w:line="256" w:lineRule="auto"/>
        <w:tabs>
          <w:tab w:leader="none" w:pos="231"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action shall have been taken and no statute, rule, regulation or order shall have been enacted, adopted or issued by any federal or state governmental or regulatory authority that would, as of the Closing Date, prevent the sale of the Shares by the Selling Shareholders in the United States; and no injunction or order of any federal or state court shall have been issued that would, as of the Closing Date, prevent the sale of the Shares by the Selling Shareholders in the United States.</w:t>
      </w:r>
    </w:p>
    <w:p>
      <w:pPr>
        <w:spacing w:after="0" w:line="62" w:lineRule="exact"/>
        <w:rPr>
          <w:rFonts w:ascii="Arial" w:cs="Arial" w:eastAsia="Arial" w:hAnsi="Arial"/>
          <w:sz w:val="18"/>
          <w:szCs w:val="18"/>
          <w:color w:val="auto"/>
        </w:rPr>
      </w:pPr>
    </w:p>
    <w:p>
      <w:pPr>
        <w:ind w:left="-464" w:right="60" w:firstLine="464"/>
        <w:spacing w:after="0" w:line="268" w:lineRule="auto"/>
        <w:tabs>
          <w:tab w:leader="none" w:pos="24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Managers and the Selling Shareholders shall have received on the Closing Date an opinion of an attorney on the Legal Staff of the Company, dated the Closing Date, to the effect set forth in Exhibit A-1.</w:t>
      </w:r>
    </w:p>
    <w:p>
      <w:pPr>
        <w:spacing w:after="0" w:line="50" w:lineRule="exact"/>
        <w:rPr>
          <w:rFonts w:ascii="Arial" w:cs="Arial" w:eastAsia="Arial" w:hAnsi="Arial"/>
          <w:sz w:val="18"/>
          <w:szCs w:val="18"/>
          <w:color w:val="auto"/>
        </w:rPr>
      </w:pPr>
    </w:p>
    <w:p>
      <w:pPr>
        <w:ind w:left="-464" w:right="140" w:firstLine="464"/>
        <w:spacing w:after="0" w:line="268" w:lineRule="auto"/>
        <w:tabs>
          <w:tab w:leader="none" w:pos="23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Managers and the Selling Shareholders shall have received on the Closing Date an opinion of Counsel to the Company, dated the Closing Date, to the effect set forth in Exhibit A-2.</w:t>
      </w:r>
    </w:p>
    <w:p>
      <w:pPr>
        <w:spacing w:after="0" w:line="50" w:lineRule="exact"/>
        <w:rPr>
          <w:rFonts w:ascii="Arial" w:cs="Arial" w:eastAsia="Arial" w:hAnsi="Arial"/>
          <w:sz w:val="18"/>
          <w:szCs w:val="18"/>
          <w:color w:val="auto"/>
        </w:rPr>
      </w:pPr>
    </w:p>
    <w:p>
      <w:pPr>
        <w:jc w:val="both"/>
        <w:ind w:left="-464" w:right="60" w:firstLine="464"/>
        <w:spacing w:after="0" w:line="259" w:lineRule="auto"/>
        <w:tabs>
          <w:tab w:leader="none" w:pos="21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Managers shall have received on the Closing Date (i) an opinion of the General Counsel of UAW Retiree Medical Benefits Trust dated the Closing Date, to the effect set forth in Exhibit A-3, and (ii) an opinion of Counsel to UAW Retiree Medical Benefits Trust dated the Closing Date, to the effect set forth in Exhibit A-4.</w:t>
      </w:r>
    </w:p>
    <w:p>
      <w:pPr>
        <w:spacing w:after="0" w:line="59" w:lineRule="exact"/>
        <w:rPr>
          <w:rFonts w:ascii="Arial" w:cs="Arial" w:eastAsia="Arial" w:hAnsi="Arial"/>
          <w:sz w:val="18"/>
          <w:szCs w:val="18"/>
          <w:color w:val="auto"/>
        </w:rPr>
      </w:pPr>
    </w:p>
    <w:p>
      <w:pPr>
        <w:ind w:left="-464" w:right="20" w:firstLine="464"/>
        <w:spacing w:after="0" w:line="332" w:lineRule="auto"/>
        <w:tabs>
          <w:tab w:leader="none" w:pos="241"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Managers shall have received on the Closing Date (i) an opinion of U.S. counsel for the Underwriters, dated the Closing Date, to the effect set forth in Exhibit B-1, and (ii) a Rule 10b-5 statement of U.S. counsel for the Underwriters, dated the Closing Date, to the effect set forth in Exhibit B-2.</w:t>
      </w:r>
    </w:p>
    <w:p>
      <w:pPr>
        <w:spacing w:after="0" w:line="4" w:lineRule="exact"/>
        <w:rPr>
          <w:rFonts w:ascii="Arial" w:cs="Arial" w:eastAsia="Arial" w:hAnsi="Arial"/>
          <w:sz w:val="16"/>
          <w:szCs w:val="16"/>
          <w:color w:val="auto"/>
        </w:rPr>
      </w:pPr>
    </w:p>
    <w:p>
      <w:pPr>
        <w:ind w:left="-464" w:right="80" w:firstLine="464"/>
        <w:spacing w:after="0" w:line="259" w:lineRule="auto"/>
        <w:tabs>
          <w:tab w:leader="none" w:pos="24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Managers and the Selling Shareholders shall have received on each of the date hereof and the Closing Date customary “comfort letters,” dated the date hereof or the Closing Date, as the case may be, in form and substance reasonably satisfactory to the Managers and the Selling Shareholders, from Deloitte &amp; Touche LLP.</w:t>
      </w:r>
    </w:p>
    <w:p>
      <w:pPr>
        <w:sectPr>
          <w:pgSz w:w="11900" w:h="16838" w:orient="portrait"/>
          <w:cols w:equalWidth="0" w:num="1">
            <w:col w:w="10956"/>
          </w:cols>
          <w:pgMar w:left="704" w:top="280" w:right="239" w:bottom="1440" w:gutter="0" w:footer="0" w:header="0"/>
        </w:sectPr>
      </w:pPr>
    </w:p>
    <w:bookmarkStart w:id="8" w:name="page9"/>
    <w:bookmarkEnd w:id="8"/>
    <w:p>
      <w:pPr>
        <w:ind w:left="-460" w:right="100" w:firstLine="464"/>
        <w:spacing w:after="0" w:line="259" w:lineRule="auto"/>
        <w:tabs>
          <w:tab w:leader="none" w:pos="206"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Managers shall have received a “lock-up” agreement, substantially in the form of Exhibit C-1, executed by each of the Selling Shareholders, relating to sales and certain other dispositions of shares of Common Stock or certain other securities of the Company, which agreements shall be in full force and effect on the Closing Date.</w:t>
      </w:r>
    </w:p>
    <w:p>
      <w:pPr>
        <w:spacing w:after="0" w:line="53" w:lineRule="exact"/>
        <w:rPr>
          <w:rFonts w:ascii="Arial" w:cs="Arial" w:eastAsia="Arial" w:hAnsi="Arial"/>
          <w:sz w:val="18"/>
          <w:szCs w:val="18"/>
          <w:color w:val="auto"/>
        </w:rPr>
      </w:pPr>
    </w:p>
    <w:p>
      <w:pPr>
        <w:ind w:left="-460" w:right="180" w:firstLine="464"/>
        <w:spacing w:after="0" w:line="275" w:lineRule="auto"/>
        <w:tabs>
          <w:tab w:leader="none" w:pos="20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Shares shall have been duly listed, subject to notice of issuance, on the New York Stock Exchange (the “</w:t>
      </w:r>
      <w:r>
        <w:rPr>
          <w:rFonts w:ascii="Arial" w:cs="Arial" w:eastAsia="Arial" w:hAnsi="Arial"/>
          <w:sz w:val="18"/>
          <w:szCs w:val="18"/>
          <w:b w:val="1"/>
          <w:bCs w:val="1"/>
          <w:color w:val="auto"/>
        </w:rPr>
        <w:t>NYSE</w:t>
      </w:r>
      <w:r>
        <w:rPr>
          <w:rFonts w:ascii="Arial" w:cs="Arial" w:eastAsia="Arial" w:hAnsi="Arial"/>
          <w:sz w:val="18"/>
          <w:szCs w:val="18"/>
          <w:color w:val="auto"/>
        </w:rPr>
        <w:t>”), and evidence thereof shall have been provided to the Managers.</w:t>
      </w:r>
    </w:p>
    <w:p>
      <w:pPr>
        <w:spacing w:after="0" w:line="12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VI.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further consideration of the agreements of the Underwriters contained in this Agreement, the Company covenants as follows:</w:t>
      </w:r>
    </w:p>
    <w:p>
      <w:pPr>
        <w:spacing w:after="0" w:line="90" w:lineRule="exact"/>
        <w:rPr>
          <w:sz w:val="20"/>
          <w:szCs w:val="20"/>
          <w:color w:val="auto"/>
        </w:rPr>
      </w:pPr>
    </w:p>
    <w:p>
      <w:pPr>
        <w:ind w:left="-460" w:firstLine="464"/>
        <w:spacing w:after="0" w:line="254" w:lineRule="auto"/>
        <w:tabs>
          <w:tab w:leader="none" w:pos="2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furnish the Managers and the Selling Shareholders, upon written request, without charge, a copy of the Disclosure Package and the Registration Statement including exhibits and materials, if any, incorporated by reference therein and, during the period beginning with the Initial Sale Time and ending on the later of the Closing Date or such date as the Prospectus is no longer required by law to be delivered in connection with the initial offering or sale of the Shares (including in circumstances where such requirement may be satisfied pursuant to Rule 172) (the “</w:t>
      </w:r>
      <w:r>
        <w:rPr>
          <w:rFonts w:ascii="Arial" w:cs="Arial" w:eastAsia="Arial" w:hAnsi="Arial"/>
          <w:sz w:val="18"/>
          <w:szCs w:val="18"/>
          <w:b w:val="1"/>
          <w:bCs w:val="1"/>
          <w:color w:val="auto"/>
        </w:rPr>
        <w:t>Prospectus Delivery Period</w:t>
      </w:r>
      <w:r>
        <w:rPr>
          <w:rFonts w:ascii="Arial" w:cs="Arial" w:eastAsia="Arial" w:hAnsi="Arial"/>
          <w:sz w:val="18"/>
          <w:szCs w:val="18"/>
          <w:color w:val="auto"/>
        </w:rPr>
        <w:t>”), as many copies of any Permitted Free Writing Prospectus and the Prospectus and any supplements and amendments thereto, in all cases as the Managers and the Selling Shareholders may reasonably request.</w:t>
      </w:r>
    </w:p>
    <w:p>
      <w:pPr>
        <w:spacing w:after="0" w:line="63" w:lineRule="exact"/>
        <w:rPr>
          <w:rFonts w:ascii="Arial" w:cs="Arial" w:eastAsia="Arial" w:hAnsi="Arial"/>
          <w:sz w:val="18"/>
          <w:szCs w:val="18"/>
          <w:color w:val="auto"/>
        </w:rPr>
      </w:pPr>
    </w:p>
    <w:p>
      <w:pPr>
        <w:ind w:left="-460" w:right="220" w:firstLine="464"/>
        <w:spacing w:after="0" w:line="268"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Prospectus Delivery Period, before amending or supplementing the Registration Statement or the Prospectus with respect to the Shares, to furnish the Managers and the Selling Shareholders a copy of each such proposed amendment or supplement.</w:t>
      </w:r>
    </w:p>
    <w:p>
      <w:pPr>
        <w:spacing w:after="0" w:line="50" w:lineRule="exact"/>
        <w:rPr>
          <w:rFonts w:ascii="Arial" w:cs="Arial" w:eastAsia="Arial" w:hAnsi="Arial"/>
          <w:sz w:val="18"/>
          <w:szCs w:val="18"/>
          <w:color w:val="auto"/>
        </w:rPr>
      </w:pPr>
    </w:p>
    <w:p>
      <w:pPr>
        <w:ind w:left="-460" w:firstLine="464"/>
        <w:spacing w:after="0" w:line="288" w:lineRule="auto"/>
        <w:tabs>
          <w:tab w:leader="none" w:pos="235"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furnish to the Underwriters and the Selling Shareholders, upon written request, copies of each amendment to the Registration Statement, and of each amendment and supplement to the Prospectus, in such quantities as the Underwriters and the Selling Shareholders may from time to time reasonably request; and if during the Prospectus Delivery Period, either (i) any event shall have occurred as a result of which the Prospectus or the Disclosure Package as then amended or supplemented would, as determined by the Company, include any untrue statement of a material fact, or omit to state any material fact required to be stated therein or necessary in order to make the statements therein, in light of the circumstances under which they were made, not misleading, and in order that timely information is provided pursuant to Rule 159 under the Securities Act, or (ii) for any other reason, as determined by the Company, it shall be necessary to amend or supplement the Registration Statement or the Prospectus as then so amended or supplemented, or to file under the Exchange Act any document incorporated by reference in the Prospectus, in order to comply with the Securities Act or the Exchange Act, the Company will (A) notify the Underwriters to suspend offers and sales of the Shares and if notified by the Company, the Underwriters shall forthwith suspend such solicitation and cease</w:t>
      </w:r>
    </w:p>
    <w:p>
      <w:pPr>
        <w:sectPr>
          <w:pgSz w:w="11900" w:h="16838" w:orient="portrait"/>
          <w:cols w:equalWidth="0" w:num="1">
            <w:col w:w="10960"/>
          </w:cols>
          <w:pgMar w:left="700" w:top="280" w:right="239" w:bottom="1440" w:gutter="0" w:footer="0" w:header="0"/>
        </w:sectPr>
      </w:pPr>
    </w:p>
    <w:bookmarkStart w:id="9" w:name="page10"/>
    <w:bookmarkEnd w:id="9"/>
    <w:p>
      <w:pPr>
        <w:jc w:val="both"/>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using the Prospectus, as then amended or supplemented, and (B) promptly prepare and file with the Commission such document incorporated by reference in the Prospectus or an amendment or supplement to the Registration Statement or the Prospectus, as applicable, which will correct such statement or omission or effect such compliance, and will provide to the Underwriters without charge a reasonable number of copies thereof, which the Underwriters shall use thereafter.</w:t>
      </w:r>
    </w:p>
    <w:p>
      <w:pPr>
        <w:spacing w:after="0" w:line="26" w:lineRule="exact"/>
        <w:rPr>
          <w:sz w:val="20"/>
          <w:szCs w:val="20"/>
          <w:color w:val="auto"/>
        </w:rPr>
      </w:pPr>
    </w:p>
    <w:p>
      <w:pPr>
        <w:ind w:right="60" w:firstLine="464"/>
        <w:spacing w:after="0" w:line="259" w:lineRule="auto"/>
        <w:tabs>
          <w:tab w:leader="none" w:pos="705"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furnish to the Managers and the Selling Shareholders a copy of each proposed “free writing prospectus” (as defined under Rule 405 of the Securities Act) to be prepared by or on behalf of, used by, or referred to by the Company and not to use or refer to any proposed free writing prospectus to which the Managers reasonably object.</w:t>
      </w:r>
    </w:p>
    <w:p>
      <w:pPr>
        <w:spacing w:after="0" w:line="59" w:lineRule="exact"/>
        <w:rPr>
          <w:rFonts w:ascii="Arial" w:cs="Arial" w:eastAsia="Arial" w:hAnsi="Arial"/>
          <w:sz w:val="18"/>
          <w:szCs w:val="18"/>
          <w:color w:val="auto"/>
        </w:rPr>
      </w:pPr>
    </w:p>
    <w:p>
      <w:pPr>
        <w:ind w:right="40" w:firstLine="464"/>
        <w:spacing w:after="0" w:line="254" w:lineRule="auto"/>
        <w:tabs>
          <w:tab w:leader="none" w:pos="695"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use its reasonable best efforts to cooperate with the Underwriters and their counsel in connection with the qualification or registration of the Shares for offer and sale under the securities or “Blue Sky” laws of such jurisdictions as the Underwriters may reasonably request and to maintain such qualification in effect for as long as may be necessary to complete the sale of the Shares pursuant to this Agreement; provided, however, that in connection therewith neither the Company nor the Selling Shareholders shall be required to qualify as a foreign corporation to do business, or to file a general consent to service of process, in any jurisdiction, or to take any other action that would subject it to general service of process or to taxation in respect of doing business in any jurisdiction in which it is not otherwise so subject.</w:t>
      </w:r>
    </w:p>
    <w:p>
      <w:pPr>
        <w:spacing w:after="0" w:line="63" w:lineRule="exact"/>
        <w:rPr>
          <w:rFonts w:ascii="Arial" w:cs="Arial" w:eastAsia="Arial" w:hAnsi="Arial"/>
          <w:sz w:val="18"/>
          <w:szCs w:val="18"/>
          <w:color w:val="auto"/>
        </w:rPr>
      </w:pPr>
    </w:p>
    <w:p>
      <w:pPr>
        <w:ind w:firstLine="464"/>
        <w:spacing w:after="0" w:line="294" w:lineRule="auto"/>
        <w:tabs>
          <w:tab w:leader="none" w:pos="67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will make generally available to its security holders and to the Underwriters as soon as practicable earning statements that satisfy the provisions of Section 11(a) of the Securities Act covering twelve (12) month periods beginning, in each case, not later than the first day of the Company’s fiscal quarter next following the “effective date” (as defined in Rule 158(c) under the Securities Act) of the Registration Statement with respect to each sale of Shares. If such fiscal quarter is the last fiscal quarter of the Company’s fiscal year, such earning statement shall be made available not later than ninety (90) days after the close of the period covered thereby and in all other cases shall be made available not later than forty-five (45) days after the close of the period covered thereby.</w:t>
      </w:r>
    </w:p>
    <w:p>
      <w:pPr>
        <w:spacing w:after="0" w:line="34" w:lineRule="exact"/>
        <w:rPr>
          <w:rFonts w:ascii="Arial" w:cs="Arial" w:eastAsia="Arial" w:hAnsi="Arial"/>
          <w:sz w:val="16"/>
          <w:szCs w:val="16"/>
          <w:color w:val="auto"/>
        </w:rPr>
      </w:pPr>
    </w:p>
    <w:p>
      <w:pPr>
        <w:jc w:val="both"/>
        <w:ind w:right="600" w:firstLine="464"/>
        <w:spacing w:after="0" w:line="259" w:lineRule="auto"/>
        <w:tabs>
          <w:tab w:leader="none" w:pos="705"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use its reasonable efforts, in cooperation with the Managers, to cause the Shares to maintain their listing on the NYSE and the Toronto Stock Exchange (the “</w:t>
      </w:r>
      <w:r>
        <w:rPr>
          <w:rFonts w:ascii="Arial" w:cs="Arial" w:eastAsia="Arial" w:hAnsi="Arial"/>
          <w:sz w:val="18"/>
          <w:szCs w:val="18"/>
          <w:b w:val="1"/>
          <w:bCs w:val="1"/>
          <w:color w:val="auto"/>
        </w:rPr>
        <w:t>TSX</w:t>
      </w:r>
      <w:r>
        <w:rPr>
          <w:rFonts w:ascii="Arial" w:cs="Arial" w:eastAsia="Arial" w:hAnsi="Arial"/>
          <w:sz w:val="18"/>
          <w:szCs w:val="18"/>
          <w:color w:val="auto"/>
        </w:rPr>
        <w:t>”) and shall furnish any and all documents, instruments, information and undertakings that may be necessary or advisable in order to maintain such listings.</w:t>
      </w:r>
    </w:p>
    <w:p>
      <w:pPr>
        <w:spacing w:after="0" w:line="59" w:lineRule="exact"/>
        <w:rPr>
          <w:rFonts w:ascii="Arial" w:cs="Arial" w:eastAsia="Arial" w:hAnsi="Arial"/>
          <w:sz w:val="18"/>
          <w:szCs w:val="18"/>
          <w:color w:val="auto"/>
        </w:rPr>
      </w:pPr>
    </w:p>
    <w:p>
      <w:pPr>
        <w:ind w:right="140" w:firstLine="464"/>
        <w:spacing w:after="0" w:line="268" w:lineRule="auto"/>
        <w:tabs>
          <w:tab w:leader="none" w:pos="705"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Prospectus Delivery Period, to notify the Managers and the Selling Shareholders as promptly as practicable of the filing of any amendment or supplement to the Registration Statement or Prospectus.</w:t>
      </w:r>
    </w:p>
    <w:p>
      <w:pPr>
        <w:spacing w:after="0" w:line="50" w:lineRule="exact"/>
        <w:rPr>
          <w:rFonts w:ascii="Arial" w:cs="Arial" w:eastAsia="Arial" w:hAnsi="Arial"/>
          <w:sz w:val="18"/>
          <w:szCs w:val="18"/>
          <w:color w:val="auto"/>
        </w:rPr>
      </w:pPr>
    </w:p>
    <w:p>
      <w:pPr>
        <w:ind w:right="200" w:firstLine="464"/>
        <w:spacing w:after="0" w:line="259" w:lineRule="auto"/>
        <w:tabs>
          <w:tab w:leader="none" w:pos="66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will as promptly as practicable notify the Managers and the Selling Shareholders of the issuance by the Commission of any order suspending the effectiveness of the Registration Statement or preventing or suspending the use of any Preliminary Prospectus, any of the Disclosure Package or the Prospectus or having the effect of ceasing or suspending trading in</w:t>
      </w:r>
    </w:p>
    <w:p>
      <w:pPr>
        <w:sectPr>
          <w:pgSz w:w="11900" w:h="16838" w:orient="portrait"/>
          <w:cols w:equalWidth="0" w:num="1">
            <w:col w:w="11420"/>
          </w:cols>
          <w:pgMar w:left="240" w:top="280" w:right="239" w:bottom="1440" w:gutter="0" w:footer="0" w:header="0"/>
        </w:sectPr>
      </w:pPr>
    </w:p>
    <w:bookmarkStart w:id="10" w:name="page11"/>
    <w:bookmarkEnd w:id="10"/>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Shares or the initiation or threatening of any proceeding for that purpose or pursuant to Section 8A of the Securities Act or the receipt by the Company of any notice with respect to any suspension of the qualification or distribution of the Shares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Disclosure Package or the Prospectus or suspending any such qualification or distribution of the Shares, or having the effect of ceasing or suspending trading in the Shares, and, if any such order is issued, will use its reasonable best efforts as soon as practicable to obtain the withdrawal thereof.</w:t>
      </w:r>
    </w:p>
    <w:p>
      <w:pPr>
        <w:spacing w:after="0" w:line="39" w:lineRule="exact"/>
        <w:rPr>
          <w:sz w:val="20"/>
          <w:szCs w:val="20"/>
          <w:color w:val="auto"/>
        </w:rPr>
      </w:pPr>
    </w:p>
    <w:p>
      <w:pPr>
        <w:ind w:right="480" w:firstLine="464"/>
        <w:spacing w:after="0" w:line="332" w:lineRule="auto"/>
        <w:tabs>
          <w:tab w:leader="none" w:pos="66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during the Prospectus Delivery Period, will file timely (giving effect to any grace periods or extensions available under applicable Commission regulations) all documents required to be filed with the Commission pursuant to Sections 13(a), 13(c), 14 or 15(d) of the Exchange Act.</w:t>
      </w:r>
    </w:p>
    <w:p>
      <w:pPr>
        <w:spacing w:after="0" w:line="4" w:lineRule="exact"/>
        <w:rPr>
          <w:rFonts w:ascii="Arial" w:cs="Arial" w:eastAsia="Arial" w:hAnsi="Arial"/>
          <w:sz w:val="16"/>
          <w:szCs w:val="16"/>
          <w:color w:val="auto"/>
        </w:rPr>
      </w:pPr>
    </w:p>
    <w:p>
      <w:pPr>
        <w:ind w:right="120" w:firstLine="464"/>
        <w:spacing w:after="0" w:line="298" w:lineRule="auto"/>
        <w:tabs>
          <w:tab w:leader="none" w:pos="70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will (i) in respect of the Shares, promptly within the time periods specified therein, effect the filings required of it pursuant to Rule 424 and/or Rule 433 under the Securities Act, and (ii) take such steps as it deems necessary to ascertain promptly whether any Permitted Free Writing Prospectus transmitted for filing under Rule 433 of the Securities Act was received for filing by the Commission and, in the event that such Permitted Free Writing Prospectus was not so received, it will promptly file the relevant Permitted Free Writing Prospectus.</w:t>
      </w:r>
    </w:p>
    <w:p>
      <w:pPr>
        <w:spacing w:after="0" w:line="31" w:lineRule="exact"/>
        <w:rPr>
          <w:rFonts w:ascii="Arial" w:cs="Arial" w:eastAsia="Arial" w:hAnsi="Arial"/>
          <w:sz w:val="16"/>
          <w:szCs w:val="16"/>
          <w:color w:val="auto"/>
        </w:rPr>
      </w:pPr>
    </w:p>
    <w:p>
      <w:pPr>
        <w:ind w:firstLine="464"/>
        <w:spacing w:after="0" w:line="286" w:lineRule="auto"/>
        <w:tabs>
          <w:tab w:leader="none" w:pos="666"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a period of thirty (30) days after the date of the Prospectus, without the prior written consent of the Managers on behalf of the Underwriters, the Company will not: (i) offer, pledge, sell, contract to sell, sell any option or contract to purchase, purchase any option or contract to sell, grant any option, right or warrant to purchase, or otherwise transfer or dispose of, directly or indirectly, or file with the Commission a registration statement under the Securities Act relating to, any shares of Common Stock or any securities convertible into or exercisable or exchangeable for Common Stock, or (ii) enter into any swap or other agreement that transfers, in whole or in part, any of the economic consequences of ownership of Common Stock or any securities convertible into or exercisable or exchangeable for Common Stock, whether any such transaction described in clause (i) or (ii) above is to be settled by delivery of Common Stock or such other securities, in cash or otherwise; provided, however, that notwithstanding the foregoing, the Company may: (A) issue and/or sell shares of Common Stock or any securities convertible into or exercisable or exchangeable for Common Stock or grant equity-based awards (including options, restricted stock awards, restricted stock units and/or salary stock units) pursuant to the terms of any agreement or pursuant to any employee stock option plan, employee stock incentive plan or employee stock ownership plan of the Company, in each case, in effect at the Initial Sale Time or specifically described in the Registration Statement, the Prospectus or the Disclosure Package; (B) issue shares of Common Stock upon the conversion, exercise, exchange or settlement of any securities that are convertible into, exercisable or exchangeable for, or which may be settled for shares of Common Stock (including the Series B mandatory convertible junior preferred stock, par value $0.01 per share, of the Company, warrants, options, restricted stock</w:t>
      </w:r>
    </w:p>
    <w:p>
      <w:pPr>
        <w:sectPr>
          <w:pgSz w:w="11900" w:h="16838" w:orient="portrait"/>
          <w:cols w:equalWidth="0" w:num="1">
            <w:col w:w="11360"/>
          </w:cols>
          <w:pgMar w:left="240" w:top="280" w:right="299" w:bottom="1440" w:gutter="0" w:footer="0" w:header="0"/>
        </w:sectPr>
      </w:pPr>
    </w:p>
    <w:bookmarkStart w:id="11" w:name="page12"/>
    <w:bookmarkEnd w:id="11"/>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awards, restricted stock units and salary stock units) and that are outstanding at the Initial Sale Time or specifically described in the Registration Statement, the Prospectus or the Disclosure Package; (C) issue shares of Common Stock or any securities convertible into or exercisable or exchangeable for Common Stock in connection with transfers to dividend reinvestment plans or to employee benefit plans, in each case, in effect at the Initial Sale Time; (D) issue shares of Common Stock to existing holders of such stock for purposes of effecting a stock dividend or stock split; (E) issue shares of Common Stock or any securities convertible into or exercisable or exchangeable for Common Stock as consideration or partial consideration for any bona fide merger, acquisition, business combination or other strategic or commercial transaction or relationship; provided that the shares of Common Stock, options, warrants or other convertible or exchangeable securities relating to Common Stock so issued shall not have a fair market value (as reasonably determined by the Company after consultation with the Managers) in an amount greater than $5 billion, and further provided that the Managers shall have received an executed “lock-up” agreement, substantially in the form of Exhibit C hereto, for the balance of the lock-up period from each recipient of such securities issued pursuant to this clause (E); and (F) file a registration statement on Form S-4 and/or Form S-8 (or any successor form) in connection with any of the foregoing.</w:t>
      </w:r>
    </w:p>
    <w:p>
      <w:pPr>
        <w:spacing w:after="0" w:line="42" w:lineRule="exact"/>
        <w:rPr>
          <w:sz w:val="20"/>
          <w:szCs w:val="20"/>
          <w:color w:val="auto"/>
        </w:rPr>
      </w:pPr>
    </w:p>
    <w:p>
      <w:pPr>
        <w:jc w:val="both"/>
        <w:ind w:right="60" w:firstLine="464"/>
        <w:spacing w:after="0" w:line="256" w:lineRule="auto"/>
        <w:tabs>
          <w:tab w:leader="none" w:pos="754"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third anniversary of the initial effective date of the Registration Statement occurs before all the Shares have been sold by the Underwriters, prior to the third anniversary the Company will file a new shelf registration statement and take any other action necessary to permit the public offering of the Shares to continue without interruption; references herein to the Registration Statement shall include the new registration statement declared effective by (or which became automatically effective upon filing with) the Commission.</w:t>
      </w:r>
    </w:p>
    <w:p>
      <w:pPr>
        <w:spacing w:after="0" w:line="30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VII.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represents and warrants to each of the several Underwriters and the Selling Shareholders that:</w:t>
      </w:r>
    </w:p>
    <w:p>
      <w:pPr>
        <w:spacing w:after="0" w:line="90" w:lineRule="exact"/>
        <w:rPr>
          <w:sz w:val="20"/>
          <w:szCs w:val="20"/>
          <w:color w:val="auto"/>
        </w:rPr>
      </w:pPr>
    </w:p>
    <w:p>
      <w:pPr>
        <w:ind w:right="100" w:firstLine="464"/>
        <w:spacing w:after="0" w:line="357" w:lineRule="auto"/>
        <w:tabs>
          <w:tab w:leader="none" w:pos="695" w:val="left"/>
        </w:tabs>
        <w:numPr>
          <w:ilvl w:val="0"/>
          <w:numId w:val="10"/>
        </w:numPr>
        <w:rPr>
          <w:rFonts w:ascii="Arial" w:cs="Arial" w:eastAsia="Arial" w:hAnsi="Arial"/>
          <w:sz w:val="15"/>
          <w:szCs w:val="15"/>
          <w:color w:val="auto"/>
        </w:rPr>
      </w:pPr>
      <w:r>
        <w:rPr>
          <w:rFonts w:ascii="Arial" w:cs="Arial" w:eastAsia="Arial" w:hAnsi="Arial"/>
          <w:sz w:val="15"/>
          <w:szCs w:val="15"/>
          <w:color w:val="auto"/>
        </w:rPr>
        <w:t>Each part of the Registration Statement, when such part became effective, did not contain, and each part, as amended or supplemented, will not contain any untrue statement of a material fact or omit to state a material fact required to be stated therein or necessary to make the statements therein not misleading.</w:t>
      </w:r>
    </w:p>
    <w:p>
      <w:pPr>
        <w:ind w:right="200" w:firstLine="464"/>
        <w:spacing w:after="0" w:line="268"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Registration Statement as of the date hereof does not contain any untrue statement of a material fact or omit to state a material fact required to be stated therein or necessary to make the statements therein not misleading.</w:t>
      </w:r>
    </w:p>
    <w:p>
      <w:pPr>
        <w:spacing w:after="0" w:line="50" w:lineRule="exact"/>
        <w:rPr>
          <w:rFonts w:ascii="Arial" w:cs="Arial" w:eastAsia="Arial" w:hAnsi="Arial"/>
          <w:sz w:val="18"/>
          <w:szCs w:val="18"/>
          <w:color w:val="auto"/>
        </w:rPr>
      </w:pPr>
    </w:p>
    <w:p>
      <w:pPr>
        <w:ind w:right="260" w:firstLine="464"/>
        <w:spacing w:after="0" w:line="259"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the date of the Prospectus and any amendment or supplement thereto and as of the Closing Date, the Prospectus will not contain any untrue statement of a material fact or omit to state a material fact necessary in order to make the statements therein, in the light of the circumstances under which they were made, not misleading.</w:t>
      </w:r>
    </w:p>
    <w:p>
      <w:pPr>
        <w:spacing w:after="0" w:line="59" w:lineRule="exact"/>
        <w:rPr>
          <w:rFonts w:ascii="Arial" w:cs="Arial" w:eastAsia="Arial" w:hAnsi="Arial"/>
          <w:sz w:val="18"/>
          <w:szCs w:val="18"/>
          <w:color w:val="auto"/>
        </w:rPr>
      </w:pPr>
    </w:p>
    <w:p>
      <w:pPr>
        <w:jc w:val="both"/>
        <w:ind w:right="620" w:firstLine="464"/>
        <w:spacing w:after="0" w:line="259"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the Initial Sale Time, the Disclosure Package did not contain and, and as amended or supplemented, if applicable, will not contain, an untrue statement of a material fact or omit to state a material fact required to be stated therein or necessary in order to make the statements therein, in light of the circumstances under which they were made, not misleading.</w:t>
      </w:r>
    </w:p>
    <w:p>
      <w:pPr>
        <w:sectPr>
          <w:pgSz w:w="11900" w:h="16838" w:orient="portrait"/>
          <w:cols w:equalWidth="0" w:num="1">
            <w:col w:w="11420"/>
          </w:cols>
          <w:pgMar w:left="240" w:top="280" w:right="239" w:bottom="1440" w:gutter="0" w:footer="0" w:header="0"/>
        </w:sectPr>
      </w:pPr>
    </w:p>
    <w:bookmarkStart w:id="12" w:name="page13"/>
    <w:bookmarkEnd w:id="12"/>
    <w:p>
      <w:pPr>
        <w:ind w:right="260" w:firstLine="464"/>
        <w:spacing w:after="0" w:line="357" w:lineRule="auto"/>
        <w:tabs>
          <w:tab w:leader="none" w:pos="695" w:val="left"/>
        </w:tabs>
        <w:numPr>
          <w:ilvl w:val="0"/>
          <w:numId w:val="1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broadly available road show, if any, when considered together with the Disclosure Package, does not contain any untrue statement of a material fact or omit to state a material fact necessary to make the statements therein, in the light of the circumstances under which they were made, not misleading.</w:t>
      </w:r>
    </w:p>
    <w:p>
      <w:pPr>
        <w:ind w:right="200" w:firstLine="464"/>
        <w:spacing w:after="0" w:line="298" w:lineRule="auto"/>
        <w:tabs>
          <w:tab w:leader="none" w:pos="676"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 Issuer Free Writing Prospectus (as defined in Rule 433 under the Securities Act), as supplemented and amended by and taken together with the Disclosure Package, conflicts in any material respect with the information contained in the Registration Statement and the Prospectus. Each Issuer Free Writing Prospectus that the Company has filed, or is required to file, pursuant to Rule 433(d) under the Securities Act or that was prepared by or on behalf of or used or referred to by the Company complies or will comply in all material respects with the Securities Act.</w:t>
      </w:r>
    </w:p>
    <w:p>
      <w:pPr>
        <w:spacing w:after="0" w:line="31" w:lineRule="exact"/>
        <w:rPr>
          <w:rFonts w:ascii="Arial" w:cs="Arial" w:eastAsia="Arial" w:hAnsi="Arial"/>
          <w:sz w:val="16"/>
          <w:szCs w:val="16"/>
          <w:color w:val="auto"/>
        </w:rPr>
      </w:pPr>
    </w:p>
    <w:p>
      <w:pPr>
        <w:ind w:right="40" w:firstLine="464"/>
        <w:spacing w:after="0" w:line="268"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the applicable effective date of the Registration Statement and any amendment thereto, the Registration Statement complied and as of the Closing Date will comply in all material respects with the Securities Act.</w:t>
      </w:r>
    </w:p>
    <w:p>
      <w:pPr>
        <w:spacing w:after="0" w:line="50" w:lineRule="exact"/>
        <w:rPr>
          <w:rFonts w:ascii="Arial" w:cs="Arial" w:eastAsia="Arial" w:hAnsi="Arial"/>
          <w:sz w:val="18"/>
          <w:szCs w:val="18"/>
          <w:color w:val="auto"/>
        </w:rPr>
      </w:pPr>
    </w:p>
    <w:p>
      <w:pPr>
        <w:jc w:val="both"/>
        <w:ind w:right="380" w:firstLine="464"/>
        <w:spacing w:after="0" w:line="370" w:lineRule="auto"/>
        <w:tabs>
          <w:tab w:leader="none" w:pos="705" w:val="left"/>
        </w:tabs>
        <w:numPr>
          <w:ilvl w:val="0"/>
          <w:numId w:val="11"/>
        </w:numPr>
        <w:rPr>
          <w:rFonts w:ascii="Arial" w:cs="Arial" w:eastAsia="Arial" w:hAnsi="Arial"/>
          <w:sz w:val="15"/>
          <w:szCs w:val="15"/>
          <w:color w:val="auto"/>
        </w:rPr>
      </w:pPr>
      <w:r>
        <w:rPr>
          <w:rFonts w:ascii="Arial" w:cs="Arial" w:eastAsia="Arial" w:hAnsi="Arial"/>
          <w:sz w:val="15"/>
          <w:szCs w:val="15"/>
          <w:color w:val="auto"/>
        </w:rPr>
        <w:t>Each document, if any, filed or to be filed pursuant to the Exchange Act and incorporated by reference in the Disclosure Package or the Prospectus complied or will comply when so filed in all material respects with the Exchange Act and the applicable rules and regulations of the Commission thereunder.</w:t>
      </w:r>
    </w:p>
    <w:p>
      <w:pPr>
        <w:spacing w:after="0" w:line="62"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Notwithstanding anything to the contrary in this Agreement, the representations and warranties set forth in the foregoing clauses (a)-(h) shall not apply to statements in or omissions from the Registration Statement, the Prospectus, the Disclosure Package or any Issuer Free Writing Prospectus (or any amendment or supplement to any of the foregoing) (i) made in reliance upon and in conformity with information relating to any Underwriter furnished to the Company in writing by any Underwriter expressly for use therein, or (ii) any information contained in any “free writing prospectus” (as defined under Rule 405 of the Securities Act) prepared by any Underwriter(s), except to the extent such information has been accurately extracted from the Prospectus or any Issuer Free Writing Prospectus prepared by the Company, or otherwise provided in writing by the Company and included in such free writing prospectus prepared by or on behalf of any Underwriter(s).</w:t>
      </w:r>
    </w:p>
    <w:p>
      <w:pPr>
        <w:spacing w:after="0" w:line="66" w:lineRule="exact"/>
        <w:rPr>
          <w:sz w:val="20"/>
          <w:szCs w:val="20"/>
          <w:color w:val="auto"/>
        </w:rPr>
      </w:pPr>
    </w:p>
    <w:p>
      <w:pPr>
        <w:ind w:firstLine="464"/>
        <w:spacing w:after="0" w:line="291" w:lineRule="auto"/>
        <w:tabs>
          <w:tab w:leader="none" w:pos="66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financial statements (including the related notes thereto) of the Company and its consolidated subsidiaries included in the Registration Statement, the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except as may be expressly stated therein; and any supporting schedules included in the Registration Statement present fairly in all material respects the information required to be stated therein.</w:t>
      </w:r>
    </w:p>
    <w:p>
      <w:pPr>
        <w:sectPr>
          <w:pgSz w:w="11900" w:h="16838" w:orient="portrait"/>
          <w:cols w:equalWidth="0" w:num="1">
            <w:col w:w="11420"/>
          </w:cols>
          <w:pgMar w:left="240" w:top="280" w:right="239" w:bottom="1440" w:gutter="0" w:footer="0" w:header="0"/>
        </w:sectPr>
      </w:pPr>
    </w:p>
    <w:bookmarkStart w:id="13" w:name="page14"/>
    <w:bookmarkEnd w:id="13"/>
    <w:p>
      <w:pPr>
        <w:ind w:left="-464" w:firstLine="464"/>
        <w:spacing w:after="0" w:line="286" w:lineRule="auto"/>
        <w:tabs>
          <w:tab w:leader="none" w:pos="202"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in each case as otherwise disclosed or incorporated by reference in the Registration Statement, the Disclosure Package or the Prospectus, since the date of the most recent financial statements of the Company incorporated by reference in the Registration Statement, the Disclosure Package and the Prospectus, (i) there has not been any material change in the capital stock (other than the exercise of warrants described in the Registration Statement, the Disclosure Package and the Prospectus, the conversion of convertible stock described in the Registration Statement, the Disclosure Package and the Prospectus or the grant and/or exercise of options or other equity-based awards under existing equity incentive plans described in the Registration Statement, the Disclosure Package and the Prospectus), long-term debt of the Company or any of the subsidiaries of the Company listed on Schedule V hereto (the “</w:t>
      </w:r>
      <w:r>
        <w:rPr>
          <w:rFonts w:ascii="Arial" w:cs="Arial" w:eastAsia="Arial" w:hAnsi="Arial"/>
          <w:sz w:val="16"/>
          <w:szCs w:val="16"/>
          <w:b w:val="1"/>
          <w:bCs w:val="1"/>
          <w:color w:val="auto"/>
        </w:rPr>
        <w:t>Subsidiaries</w:t>
      </w:r>
      <w:r>
        <w:rPr>
          <w:rFonts w:ascii="Arial" w:cs="Arial" w:eastAsia="Arial" w:hAnsi="Arial"/>
          <w:sz w:val="16"/>
          <w:szCs w:val="16"/>
          <w:color w:val="auto"/>
        </w:rPr>
        <w:t>”), or any dividend or distribution of any kind declared, set aside for payment, paid or made by the Company on any class of capital stock, or any material adverse change in or affecting the business, properties, management, financial position or results of operations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from fire, explosion, flood or other calamity, whether or not covered by insurance, or from any labor disturbance or dispute or any action, order or decree of any court or arbitrator or governmental or regulatory authority, except as would not have a material adverse effect on the Company and its subsidiaries, taken as a whole.</w:t>
      </w:r>
    </w:p>
    <w:p>
      <w:pPr>
        <w:spacing w:after="0" w:line="39" w:lineRule="exact"/>
        <w:rPr>
          <w:rFonts w:ascii="Arial" w:cs="Arial" w:eastAsia="Arial" w:hAnsi="Arial"/>
          <w:sz w:val="16"/>
          <w:szCs w:val="16"/>
          <w:color w:val="auto"/>
        </w:rPr>
      </w:pPr>
    </w:p>
    <w:p>
      <w:pPr>
        <w:ind w:left="-464" w:right="100" w:firstLine="464"/>
        <w:spacing w:after="0" w:line="253" w:lineRule="auto"/>
        <w:tabs>
          <w:tab w:leader="none" w:pos="2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pending or, to the knowledge of the Company, threatened legal or governmental proceedings to which the Company or any of its Subsidiaries is a party or to which any of the properties of the Company or any of its Subsidiaries is subject and that are required by the Securities Act to be disclosed in the Registration Statement, the Disclosure Package and the Prospectus have been accurately described or incorporated by reference therein in all material respects. There are no material regulations, contracts or other documents that are required to be described in the Registration Statement or the Prospectus or to be filed as exhibits to the Registration Statement that are not described or incorporated by reference or filed as required. No litigation or proceeding is pending, or, to the knowledge of the Company, threatened to restrain or enjoin the delivery of the Shares by the Selling Shareholders, or which in any way affects the validity of the Shares.</w:t>
      </w:r>
    </w:p>
    <w:p>
      <w:pPr>
        <w:spacing w:after="0" w:line="66" w:lineRule="exact"/>
        <w:rPr>
          <w:rFonts w:ascii="Arial" w:cs="Arial" w:eastAsia="Arial" w:hAnsi="Arial"/>
          <w:sz w:val="18"/>
          <w:szCs w:val="18"/>
          <w:color w:val="auto"/>
        </w:rPr>
      </w:pPr>
    </w:p>
    <w:p>
      <w:pPr>
        <w:ind w:left="-464" w:right="40" w:firstLine="464"/>
        <w:spacing w:after="0" w:line="255" w:lineRule="auto"/>
        <w:tabs>
          <w:tab w:leader="none" w:pos="20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has filed the Registration Statement with the Commission, and such Registration Statement has become effective under the Securities Act. The Registration Statement is an automatic shelf registration statement as defined in Rule 405 under the Securities Act,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 The Company is not an “ineligible</w:t>
      </w:r>
    </w:p>
    <w:p>
      <w:pPr>
        <w:sectPr>
          <w:pgSz w:w="11900" w:h="16838" w:orient="portrait"/>
          <w:cols w:equalWidth="0" w:num="1">
            <w:col w:w="10956"/>
          </w:cols>
          <w:pgMar w:left="704" w:top="280" w:right="239" w:bottom="1440" w:gutter="0" w:footer="0" w:header="0"/>
        </w:sectPr>
      </w:pPr>
    </w:p>
    <w:bookmarkStart w:id="14" w:name="page15"/>
    <w:bookmarkEnd w:id="1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issuer,” as defined under the Securities Act, at the times specified in the Securities Act in connection with the offering of the Shares. No stop order suspending the effectiveness of the Registration Statement in the United States is in effect, and no proceedings for such purpose are pending before, or, to the knowledge of the Company, threatened by, the Commission.</w:t>
      </w:r>
    </w:p>
    <w:p>
      <w:pPr>
        <w:spacing w:after="0" w:line="59" w:lineRule="exact"/>
        <w:rPr>
          <w:sz w:val="20"/>
          <w:szCs w:val="20"/>
          <w:color w:val="auto"/>
        </w:rPr>
      </w:pPr>
    </w:p>
    <w:p>
      <w:pPr>
        <w:ind w:firstLine="464"/>
        <w:spacing w:after="0" w:line="289" w:lineRule="auto"/>
        <w:tabs>
          <w:tab w:leader="none" w:pos="754" w:val="left"/>
        </w:tabs>
        <w:numPr>
          <w:ilvl w:val="1"/>
          <w:numId w:val="14"/>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properties or assets of the Company or any of its Subsidiaries are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 on the Company and its subsidiaries, taken as a whole, or on the power or ability of the Company to perform its obligations under this Agreement or to consummate the transactions contemplated by the Disclosure Package.</w:t>
      </w:r>
    </w:p>
    <w:p>
      <w:pPr>
        <w:spacing w:after="0" w:line="37" w:lineRule="exact"/>
        <w:rPr>
          <w:rFonts w:ascii="Arial" w:cs="Arial" w:eastAsia="Arial" w:hAnsi="Arial"/>
          <w:sz w:val="16"/>
          <w:szCs w:val="16"/>
          <w:color w:val="auto"/>
        </w:rPr>
      </w:pPr>
    </w:p>
    <w:p>
      <w:pPr>
        <w:ind w:firstLine="464"/>
        <w:spacing w:after="0" w:line="298" w:lineRule="auto"/>
        <w:tabs>
          <w:tab w:leader="none" w:pos="705"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execution and delivery by the Company of, and the performance by the Company of its obligations under, this Agreement, do not and will not contravene or violate any provision of applicable law or the certificate of incorporation or by-laws of the Company or any indenture, mortgage or other agreement or instrument binding upon the Company or any of its Subsidiaries that is material to the Company and its subsidiaries, taken as a whole, or any judgment, order or decree of any governmental body, agency or court having jurisdiction over the Company or any Subsidiary.</w:t>
      </w:r>
    </w:p>
    <w:p>
      <w:pPr>
        <w:spacing w:after="0" w:line="31" w:lineRule="exact"/>
        <w:rPr>
          <w:rFonts w:ascii="Arial" w:cs="Arial" w:eastAsia="Arial" w:hAnsi="Arial"/>
          <w:sz w:val="16"/>
          <w:szCs w:val="16"/>
          <w:color w:val="auto"/>
        </w:rPr>
      </w:pPr>
    </w:p>
    <w:p>
      <w:pPr>
        <w:ind w:right="160" w:firstLine="464"/>
        <w:spacing w:after="0" w:line="305" w:lineRule="auto"/>
        <w:tabs>
          <w:tab w:leader="none" w:pos="705" w:val="left"/>
        </w:tabs>
        <w:numPr>
          <w:ilvl w:val="1"/>
          <w:numId w:val="14"/>
        </w:numPr>
        <w:rPr>
          <w:rFonts w:ascii="Arial" w:cs="Arial" w:eastAsia="Arial" w:hAnsi="Arial"/>
          <w:sz w:val="15"/>
          <w:szCs w:val="15"/>
          <w:color w:val="auto"/>
        </w:rPr>
      </w:pPr>
      <w:r>
        <w:rPr>
          <w:rFonts w:ascii="Arial" w:cs="Arial" w:eastAsia="Arial" w:hAnsi="Arial"/>
          <w:sz w:val="15"/>
          <w:szCs w:val="15"/>
          <w:color w:val="auto"/>
        </w:rPr>
        <w:t>No material authorization, consent or approval of, or registration or filing with, any governmental or public body or regulatory authority in the United States or in Canada is required on the part of the Company for the sale of the Shares by the Selling Shareholders in accordance with this Agreement other than</w:t>
      </w:r>
    </w:p>
    <w:p>
      <w:pPr>
        <w:ind w:right="20" w:firstLine="8"/>
        <w:spacing w:after="0" w:line="323" w:lineRule="auto"/>
        <w:tabs>
          <w:tab w:leader="none" w:pos="21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registration of the Shares under the Securities Act, (ii) compliance with the securities or “Blue Sky” laws of various jurisdictions, (iii) those required by the rules and regulations of the Financial Industry Regulatory Authority (“</w:t>
      </w:r>
      <w:r>
        <w:rPr>
          <w:rFonts w:ascii="Arial" w:cs="Arial" w:eastAsia="Arial" w:hAnsi="Arial"/>
          <w:sz w:val="16"/>
          <w:szCs w:val="16"/>
          <w:b w:val="1"/>
          <w:bCs w:val="1"/>
          <w:color w:val="auto"/>
        </w:rPr>
        <w:t>FINRA</w:t>
      </w:r>
      <w:r>
        <w:rPr>
          <w:rFonts w:ascii="Arial" w:cs="Arial" w:eastAsia="Arial" w:hAnsi="Arial"/>
          <w:sz w:val="16"/>
          <w:szCs w:val="16"/>
          <w:color w:val="auto"/>
        </w:rPr>
        <w:t>”), the NYSE or the TSX, or (iv) those that have already been obtained.</w:t>
      </w:r>
    </w:p>
    <w:p>
      <w:pPr>
        <w:spacing w:after="0" w:line="11" w:lineRule="exact"/>
        <w:rPr>
          <w:rFonts w:ascii="Arial" w:cs="Arial" w:eastAsia="Arial" w:hAnsi="Arial"/>
          <w:sz w:val="16"/>
          <w:szCs w:val="16"/>
          <w:color w:val="auto"/>
        </w:rPr>
      </w:pPr>
    </w:p>
    <w:p>
      <w:pPr>
        <w:ind w:right="20" w:firstLine="464"/>
        <w:spacing w:after="0" w:line="298" w:lineRule="auto"/>
        <w:tabs>
          <w:tab w:leader="none" w:pos="705"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Company has been duly incorporated, is validly existing as a corporation in good standing under the laws of the State of Delaware, has the corporate power and authority to own its property and to conduct its business as described in the Disclosure Package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31" w:lineRule="exact"/>
        <w:rPr>
          <w:rFonts w:ascii="Arial" w:cs="Arial" w:eastAsia="Arial" w:hAnsi="Arial"/>
          <w:sz w:val="16"/>
          <w:szCs w:val="16"/>
          <w:color w:val="auto"/>
        </w:rPr>
      </w:pPr>
    </w:p>
    <w:p>
      <w:pPr>
        <w:ind w:right="220" w:firstLine="464"/>
        <w:spacing w:after="0" w:line="259" w:lineRule="auto"/>
        <w:tabs>
          <w:tab w:leader="none" w:pos="705"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Company has full power and authority to execute and deliver this Agreement and to perform its obligations under this Agreement; and all action required to be taken for the due and proper authorization, execution and delivery of this Agreement (and the consummation of the transactions contemplated thereby) has been duly and validly taken.</w:t>
      </w:r>
    </w:p>
    <w:p>
      <w:pPr>
        <w:sectPr>
          <w:pgSz w:w="11900" w:h="16838" w:orient="portrait"/>
          <w:cols w:equalWidth="0" w:num="1">
            <w:col w:w="11400"/>
          </w:cols>
          <w:pgMar w:left="240" w:top="280" w:right="259" w:bottom="1440" w:gutter="0" w:footer="0" w:header="0"/>
        </w:sectPr>
      </w:pPr>
    </w:p>
    <w:bookmarkStart w:id="15" w:name="page16"/>
    <w:bookmarkEnd w:id="15"/>
    <w:p>
      <w:pPr>
        <w:ind w:left="-464" w:right="240" w:firstLine="464"/>
        <w:spacing w:after="0" w:line="268" w:lineRule="auto"/>
        <w:tabs>
          <w:tab w:leader="none" w:pos="211"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authorized and outstanding capitalization of the Company conforms in all material respects to the description thereof set forth in the Registration Statement, the Disclosure Package and the Prospectus.</w:t>
      </w:r>
    </w:p>
    <w:p>
      <w:pPr>
        <w:spacing w:after="0" w:line="50" w:lineRule="exact"/>
        <w:rPr>
          <w:rFonts w:ascii="Arial" w:cs="Arial" w:eastAsia="Arial" w:hAnsi="Arial"/>
          <w:sz w:val="18"/>
          <w:szCs w:val="18"/>
          <w:color w:val="auto"/>
        </w:rPr>
      </w:pPr>
    </w:p>
    <w:p>
      <w:pPr>
        <w:ind w:left="-464" w:firstLine="464"/>
        <w:spacing w:after="0" w:line="286" w:lineRule="auto"/>
        <w:tabs>
          <w:tab w:leader="none" w:pos="218"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Shares, and all other outstanding shares of capital stock of the Company, have been duly authorized; all outstanding shares of capital stock of the Company are validly issued, fully paid and non-assessable and conform to the descriptions thereof in the Registration Statement, the Disclosure Package and the Prospectus; except as disclosed in the Registration Statement, the Disclosure Package or the Prospectus, the sale of the Shares is not subject to any preemptive or similar rights, and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Disclosure Package and the Prospectus;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except as otherwise described in the Registration Statement, the Disclosure Package or the Prospectus) and are so owned free and clear of any lien, charge, encumbrance or security interest, except for such liens, charges, encumbrances or security interests that would not have a material adverse effect on the Company and its subsidiaries, taken as a whole.</w:t>
      </w:r>
    </w:p>
    <w:p>
      <w:pPr>
        <w:spacing w:after="0" w:line="43" w:lineRule="exact"/>
        <w:rPr>
          <w:rFonts w:ascii="Arial" w:cs="Arial" w:eastAsia="Arial" w:hAnsi="Arial"/>
          <w:sz w:val="16"/>
          <w:szCs w:val="16"/>
          <w:color w:val="auto"/>
        </w:rPr>
      </w:pPr>
    </w:p>
    <w:p>
      <w:pPr>
        <w:jc w:val="both"/>
        <w:ind w:left="-464" w:right="20" w:firstLine="464"/>
        <w:spacing w:after="0" w:line="259" w:lineRule="auto"/>
        <w:tabs>
          <w:tab w:leader="none" w:pos="202"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the Disclosure Package or the Prospectus, no person has the right to require the Company or any of its Subsidiaries to register any securities for sale under the Securities Act by reason of the filing of the Registration Statement with the Commission or the sale of the Shares by the Selling Shareholders.</w:t>
      </w:r>
    </w:p>
    <w:p>
      <w:pPr>
        <w:spacing w:after="0" w:line="59" w:lineRule="exact"/>
        <w:rPr>
          <w:rFonts w:ascii="Arial" w:cs="Arial" w:eastAsia="Arial" w:hAnsi="Arial"/>
          <w:sz w:val="18"/>
          <w:szCs w:val="18"/>
          <w:color w:val="auto"/>
        </w:rPr>
      </w:pPr>
    </w:p>
    <w:p>
      <w:pPr>
        <w:ind w:left="-464" w:right="340" w:firstLine="464"/>
        <w:spacing w:after="0" w:line="268" w:lineRule="auto"/>
        <w:tabs>
          <w:tab w:leader="none" w:pos="24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has not used any free writing prospectus other than a Permitted Free Writing Prospectus or used a Permitted Free Writing Prospectus except in compliance with Rule 433 under the Securities Act and otherwise in compliance with the Securities Act.</w:t>
      </w:r>
    </w:p>
    <w:p>
      <w:pPr>
        <w:spacing w:after="0" w:line="50" w:lineRule="exact"/>
        <w:rPr>
          <w:rFonts w:ascii="Arial" w:cs="Arial" w:eastAsia="Arial" w:hAnsi="Arial"/>
          <w:sz w:val="18"/>
          <w:szCs w:val="18"/>
          <w:color w:val="auto"/>
        </w:rPr>
      </w:pPr>
    </w:p>
    <w:p>
      <w:pPr>
        <w:ind w:left="-464" w:right="220" w:firstLine="464"/>
        <w:spacing w:after="0" w:line="255" w:lineRule="auto"/>
        <w:tabs>
          <w:tab w:leader="none" w:pos="24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and its Subsidiaries have good and marketable title in fee simple to, or have valid and enforceable rights to lease or otherwise use, all material real and personal property that is currently employed by them in connection with the business now operated by them as described in the Disclosure Package and the Prospectus, in each case free and clear of all liens and encumbrances, except such as (i) are described in the Registration Statement, the Disclosure Package or the Prospectus or (ii) would not reasonably be expected to have a material adverse effect on the Company and its subsidiaries, taken as a whole.</w:t>
      </w:r>
    </w:p>
    <w:p>
      <w:pPr>
        <w:sectPr>
          <w:pgSz w:w="11900" w:h="16838" w:orient="portrait"/>
          <w:cols w:equalWidth="0" w:num="1">
            <w:col w:w="10956"/>
          </w:cols>
          <w:pgMar w:left="704" w:top="280" w:right="239" w:bottom="1440" w:gutter="0" w:footer="0" w:header="0"/>
        </w:sectPr>
      </w:pPr>
    </w:p>
    <w:bookmarkStart w:id="16" w:name="page17"/>
    <w:bookmarkEnd w:id="16"/>
    <w:p>
      <w:pPr>
        <w:ind w:left="-8" w:right="200" w:firstLine="464"/>
        <w:spacing w:after="0" w:line="291" w:lineRule="auto"/>
        <w:tabs>
          <w:tab w:leader="none" w:pos="736" w:val="left"/>
        </w:tabs>
        <w:numPr>
          <w:ilvl w:val="1"/>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its Subsidiaries own, license or otherwise possess, or can acquire on reasonable terms, adequate rights to use all material patents, patent rights, inventions, copyrights, trade secrets, trademarks, service marks and trade names currently employed by them in connection with the business now operated by them as described in the Disclosure Package and the Prospectus, except as such would not have a material adverse effect on the Company and its subsidiaries, taken as a whole; and neither the Company nor any of its Subsidiaries has received any notice of infringement of or conflict with asserted rights of others with respect to any of the foregoing, which, if determined adversely to the Company or its Subsidiaries, would have a material adverse effect on the Company and its subsidiaries, taken as a whole.</w:t>
      </w:r>
    </w:p>
    <w:p>
      <w:pPr>
        <w:spacing w:after="0" w:line="39" w:lineRule="exact"/>
        <w:rPr>
          <w:rFonts w:ascii="Arial" w:cs="Arial" w:eastAsia="Arial" w:hAnsi="Arial"/>
          <w:sz w:val="16"/>
          <w:szCs w:val="16"/>
          <w:color w:val="auto"/>
        </w:rPr>
      </w:pPr>
    </w:p>
    <w:p>
      <w:pPr>
        <w:ind w:left="-8" w:right="120" w:firstLine="464"/>
        <w:spacing w:after="0" w:line="259" w:lineRule="auto"/>
        <w:tabs>
          <w:tab w:leader="none" w:pos="697" w:val="left"/>
        </w:tabs>
        <w:numPr>
          <w:ilvl w:val="1"/>
          <w:numId w:val="17"/>
        </w:numPr>
        <w:rPr>
          <w:rFonts w:ascii="Arial" w:cs="Arial" w:eastAsia="Arial" w:hAnsi="Arial"/>
          <w:sz w:val="18"/>
          <w:szCs w:val="18"/>
          <w:color w:val="auto"/>
        </w:rPr>
      </w:pPr>
      <w:r>
        <w:rPr>
          <w:rFonts w:ascii="Arial" w:cs="Arial" w:eastAsia="Arial" w:hAnsi="Arial"/>
          <w:sz w:val="18"/>
          <w:szCs w:val="18"/>
          <w:color w:val="auto"/>
        </w:rPr>
        <w:t>Except for matters that are described in the Registration Statement, the Disclosure Package or the Prospectus or that would not have a material adverse effect on the Company and its subsidiaries, taken as a whole, no labor dispute with the employees of the Company or any of its Subsidiaries exists or, to the knowledge of the Company, is imminent.</w:t>
      </w:r>
    </w:p>
    <w:p>
      <w:pPr>
        <w:spacing w:after="0" w:line="59" w:lineRule="exact"/>
        <w:rPr>
          <w:rFonts w:ascii="Arial" w:cs="Arial" w:eastAsia="Arial" w:hAnsi="Arial"/>
          <w:sz w:val="18"/>
          <w:szCs w:val="18"/>
          <w:color w:val="auto"/>
        </w:rPr>
      </w:pPr>
    </w:p>
    <w:p>
      <w:pPr>
        <w:ind w:left="712" w:hanging="256"/>
        <w:spacing w:after="0"/>
        <w:tabs>
          <w:tab w:leader="none" w:pos="712" w:val="left"/>
        </w:tabs>
        <w:numPr>
          <w:ilvl w:val="1"/>
          <w:numId w:val="17"/>
        </w:numPr>
        <w:rPr>
          <w:rFonts w:ascii="Arial" w:cs="Arial" w:eastAsia="Arial" w:hAnsi="Arial"/>
          <w:sz w:val="16"/>
          <w:szCs w:val="16"/>
          <w:color w:val="auto"/>
        </w:rPr>
      </w:pPr>
      <w:r>
        <w:rPr>
          <w:rFonts w:ascii="Arial" w:cs="Arial" w:eastAsia="Arial" w:hAnsi="Arial"/>
          <w:sz w:val="16"/>
          <w:szCs w:val="16"/>
          <w:color w:val="auto"/>
        </w:rPr>
        <w:t>Except as would not give rise to any material liabilities under Environmental Laws, the Company represents to the best of its knowledge and belief that:</w:t>
      </w:r>
    </w:p>
    <w:p>
      <w:pPr>
        <w:spacing w:after="0" w:line="38" w:lineRule="exact"/>
        <w:rPr>
          <w:rFonts w:ascii="Arial" w:cs="Arial" w:eastAsia="Arial" w:hAnsi="Arial"/>
          <w:sz w:val="16"/>
          <w:szCs w:val="16"/>
          <w:color w:val="auto"/>
        </w:rPr>
      </w:pPr>
    </w:p>
    <w:p>
      <w:pPr>
        <w:ind w:left="-8" w:right="60" w:firstLine="8"/>
        <w:spacing w:after="0" w:line="286" w:lineRule="auto"/>
        <w:tabs>
          <w:tab w:leader="none" w:pos="202"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 and its Subsidiaries are, and at all prior times were, in material compliance with all applicable federal, state, local and foreign laws, rules and regulations relating to pollution or the protection of the environment, natural resources or human health or safety, including those relating to the generation, storage, treatment, use, handling, transportation, or Release of Hazardous Materials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(ii) the Company and its Subsidiaries are in material compliance with all permits, licenses, certificates or other authorizations or approvals required of them under applicable Environmental Laws to conduct their respective businesses, (iii) the Company and its Subsidiaries have not received notice of any liability under or relating to violation of, any Environmental Laws, including for the investigation or remediation of any Release of Hazardous Materials, (iv) there are no proceedings that are pending against the Company or any of its Subsidiaries under any Environmental Laws in which a governmental entity is also a party, other than such proceedings in which it is reasonably believed that no monetary sanctions in excess of $100,000 will be imposed, (v) the Company and its Subsidiaries are not aware of any facts or issues regarding compliance with Environmental Laws, or liabilities or other obligations under Environmental Laws, including the Release of Hazardous Materials, that could reasonably be expected to have a material effect on the capital expenditures, earnings or competitive position of the Company and its subsidiaries, taken as a whole, and (vi) none of the Company and its Subsidiaries anticipates material capital expenditures relating to any Environmental Laws.</w:t>
      </w:r>
    </w:p>
    <w:p>
      <w:pPr>
        <w:spacing w:after="0" w:line="39" w:lineRule="exact"/>
        <w:rPr>
          <w:rFonts w:ascii="Arial" w:cs="Arial" w:eastAsia="Arial" w:hAnsi="Arial"/>
          <w:sz w:val="16"/>
          <w:szCs w:val="16"/>
          <w:color w:val="auto"/>
        </w:rPr>
      </w:pPr>
    </w:p>
    <w:p>
      <w:pPr>
        <w:ind w:left="-8" w:firstLine="464"/>
        <w:spacing w:after="0" w:line="294" w:lineRule="auto"/>
        <w:tabs>
          <w:tab w:leader="none" w:pos="687" w:val="left"/>
        </w:tabs>
        <w:numPr>
          <w:ilvl w:val="1"/>
          <w:numId w:val="18"/>
        </w:numPr>
        <w:rPr>
          <w:rFonts w:ascii="Arial" w:cs="Arial" w:eastAsia="Arial" w:hAnsi="Arial"/>
          <w:sz w:val="16"/>
          <w:szCs w:val="16"/>
          <w:color w:val="auto"/>
        </w:rPr>
      </w:pPr>
      <w:r>
        <w:rPr>
          <w:rFonts w:ascii="Arial" w:cs="Arial" w:eastAsia="Arial" w:hAnsi="Arial"/>
          <w:sz w:val="16"/>
          <w:szCs w:val="16"/>
          <w:color w:val="auto"/>
        </w:rPr>
        <w:t>To the knowledge of the Company, there has been no storage, generation, transportation, use, handling, treatment, or Release of Hazardous Materials by, relating to or caused by the Company or any of its Subsidiaries at, on, under or from any property or facility owned or operated by the Company in violation of any Environmental Laws or in a manner or amount or to a location that could reasonably be expected to result in any liability under any Environmental Law, except for any violation or liability which would not, individually or in the aggregate, reasonably be expected to have a material adverse effect on the Company and its subsidiaries, taken as a whole. “</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any material, chemical,</w:t>
      </w:r>
    </w:p>
    <w:p>
      <w:pPr>
        <w:sectPr>
          <w:pgSz w:w="11900" w:h="16838" w:orient="portrait"/>
          <w:cols w:equalWidth="0" w:num="1">
            <w:col w:w="11412"/>
          </w:cols>
          <w:pgMar w:left="248" w:top="280" w:right="239" w:bottom="1440" w:gutter="0" w:footer="0" w:header="0"/>
        </w:sectPr>
      </w:pPr>
    </w:p>
    <w:bookmarkStart w:id="17" w:name="page18"/>
    <w:bookmarkEnd w:id="17"/>
    <w:p>
      <w:pPr>
        <w:ind w:right="36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substance, waste, pollutant, contaminant, compound, mixture, or constituent thereof, in any form or amount, including petroleum (including crude oil or any fraction thereof) and petroleum products, natural gas liquids, asbestos and asbestos containing materials, naturally occurring radioactive materials, brine, and drilling mud, regulated or which can give rise to liability under any Environmental Law. “</w:t>
      </w:r>
      <w:r>
        <w:rPr>
          <w:rFonts w:ascii="Arial" w:cs="Arial" w:eastAsia="Arial" w:hAnsi="Arial"/>
          <w:sz w:val="15"/>
          <w:szCs w:val="15"/>
          <w:b w:val="1"/>
          <w:bCs w:val="1"/>
          <w:color w:val="auto"/>
        </w:rPr>
        <w:t>Release</w:t>
      </w:r>
      <w:r>
        <w:rPr>
          <w:rFonts w:ascii="Arial" w:cs="Arial" w:eastAsia="Arial" w:hAnsi="Arial"/>
          <w:sz w:val="15"/>
          <w:szCs w:val="15"/>
          <w:color w:val="auto"/>
        </w:rPr>
        <w:t>” means any spilling, leaking, seepage, pumping, pouring, emitting, emptying, discharging, injecting, escaping, leaching, dumping, disposing, depositing, dispersing, or migrating in, into or through the environment.</w:t>
      </w:r>
    </w:p>
    <w:p>
      <w:pPr>
        <w:spacing w:after="0" w:line="17" w:lineRule="exact"/>
        <w:rPr>
          <w:sz w:val="20"/>
          <w:szCs w:val="20"/>
          <w:color w:val="auto"/>
        </w:rPr>
      </w:pPr>
    </w:p>
    <w:p>
      <w:pPr>
        <w:ind w:right="80" w:firstLine="464"/>
        <w:spacing w:after="0" w:line="301" w:lineRule="auto"/>
        <w:tabs>
          <w:tab w:leader="none" w:pos="773" w:val="left"/>
        </w:tabs>
        <w:numPr>
          <w:ilvl w:val="0"/>
          <w:numId w:val="19"/>
        </w:numPr>
        <w:rPr>
          <w:rFonts w:ascii="Arial" w:cs="Arial" w:eastAsia="Arial" w:hAnsi="Arial"/>
          <w:sz w:val="15"/>
          <w:szCs w:val="15"/>
          <w:color w:val="auto"/>
        </w:rPr>
      </w:pPr>
      <w:r>
        <w:rPr>
          <w:rFonts w:ascii="Arial" w:cs="Arial" w:eastAsia="Arial" w:hAnsi="Arial"/>
          <w:sz w:val="15"/>
          <w:szCs w:val="15"/>
          <w:color w:val="auto"/>
        </w:rPr>
        <w:t>Except as disclosed in the Registration Statement, the Disclosure Package or the Prospectus or as would not have a material adverse effect on the Company and its subsidiaries, taken as a whole: (i) each employee benefit plan, within the meaning of Section 3(3) of the Employee Retirement Income Security Act of 1974, as amended (“</w:t>
      </w:r>
      <w:r>
        <w:rPr>
          <w:rFonts w:ascii="Arial" w:cs="Arial" w:eastAsia="Arial" w:hAnsi="Arial"/>
          <w:sz w:val="15"/>
          <w:szCs w:val="15"/>
          <w:b w:val="1"/>
          <w:bCs w:val="1"/>
          <w:color w:val="auto"/>
        </w:rPr>
        <w:t>ERISA</w:t>
      </w:r>
      <w:r>
        <w:rPr>
          <w:rFonts w:ascii="Arial" w:cs="Arial" w:eastAsia="Arial" w:hAnsi="Arial"/>
          <w:sz w:val="15"/>
          <w:szCs w:val="15"/>
          <w:color w:val="auto"/>
        </w:rPr>
        <w:t>”), which is subject to ERISA, for which the Company or any member of its “Controlled Group” (defined as any organization which is a member of a controlled group of corporations within the meaning of Section 414(b) or (c) of the Internal Revenue Code of 1986, as amended (the “</w:t>
      </w:r>
      <w:r>
        <w:rPr>
          <w:rFonts w:ascii="Arial" w:cs="Arial" w:eastAsia="Arial" w:hAnsi="Arial"/>
          <w:sz w:val="15"/>
          <w:szCs w:val="15"/>
          <w:b w:val="1"/>
          <w:bCs w:val="1"/>
          <w:color w:val="auto"/>
        </w:rPr>
        <w:t>Code</w:t>
      </w:r>
      <w:r>
        <w:rPr>
          <w:rFonts w:ascii="Arial" w:cs="Arial" w:eastAsia="Arial" w:hAnsi="Arial"/>
          <w:sz w:val="15"/>
          <w:szCs w:val="15"/>
          <w:color w:val="auto"/>
        </w:rPr>
        <w:t>”)) would have any liability (other than a “multiemployer plan” within the meaning of Section 3(37) of ERISA) (each, a “</w:t>
      </w:r>
      <w:r>
        <w:rPr>
          <w:rFonts w:ascii="Arial" w:cs="Arial" w:eastAsia="Arial" w:hAnsi="Arial"/>
          <w:sz w:val="15"/>
          <w:szCs w:val="15"/>
          <w:b w:val="1"/>
          <w:bCs w:val="1"/>
          <w:color w:val="auto"/>
        </w:rPr>
        <w:t>Plan</w:t>
      </w:r>
      <w:r>
        <w:rPr>
          <w:rFonts w:ascii="Arial" w:cs="Arial" w:eastAsia="Arial" w:hAnsi="Arial"/>
          <w:sz w:val="15"/>
          <w:szCs w:val="15"/>
          <w:color w:val="auto"/>
        </w:rPr>
        <w:t>”)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the minimum funding standard of Section 412 of the Code or Section 302 of ERISA, as applicable, has been satisfied (without taking into account any funding variance pursuant to Section 412(c) of the Code or Section 302(c) of ERISA) and is reasonably expected to be satisfied in the future (without taking into account any funding variance pursuant to Section 412(c) of the Code or Section 302(c) of ERISA); (iv) no “reportable event” (within the meaning of</w:t>
      </w:r>
    </w:p>
    <w:p>
      <w:pPr>
        <w:spacing w:after="0" w:line="3" w:lineRule="exact"/>
        <w:rPr>
          <w:rFonts w:ascii="Arial" w:cs="Arial" w:eastAsia="Arial" w:hAnsi="Arial"/>
          <w:sz w:val="15"/>
          <w:szCs w:val="15"/>
          <w:color w:val="auto"/>
        </w:rPr>
      </w:pPr>
    </w:p>
    <w:p>
      <w:pPr>
        <w:spacing w:after="0" w:line="287" w:lineRule="auto"/>
        <w:rPr>
          <w:rFonts w:ascii="Arial" w:cs="Arial" w:eastAsia="Arial" w:hAnsi="Arial"/>
          <w:sz w:val="15"/>
          <w:szCs w:val="15"/>
          <w:color w:val="auto"/>
        </w:rPr>
      </w:pPr>
      <w:r>
        <w:rPr>
          <w:rFonts w:ascii="Arial" w:cs="Arial" w:eastAsia="Arial" w:hAnsi="Arial"/>
          <w:sz w:val="16"/>
          <w:szCs w:val="16"/>
          <w:color w:val="auto"/>
        </w:rPr>
        <w:t>Section 4043(c) of ERISA) has occurred or is reasonably expected to occur with respect to a Plan covered by Title IV of ERISA; (v) neither the Company nor any member of the Controlled Group has incurred, nor reasonably expects to incur, any liability under Title IV of ERISA with respect to the termination of, or withdrawal from, a Plan (other than contributions to the Plan or premiums to the Pension Benefit Guaranty Corporation, in the ordinary course and without default) in respect of a Plan (including a “multiemployer plan”, within the meaning of Section 4001(a)(3) of ERISA); (vi) there is no pending audit or investigation by the Internal Revenue Service, the U.S. Department of Labor, the Pension Benefit Guaranty Corporation or any other governmental agency or any foreign regulatory agency with respect to any Plan that could reasonably be expected to result in material liability to the Company and its subsidiaries, taken as a whole; and (vii) there has not been and is not reasonably likely to be a material increase in the aggregate amount of contributions required to be made to all Plans by the Company and its subsidiaries in the current fiscal year of the Company and its subsidiaries compared to the amount of such contributions made in the Company and its subsidiaries’ most recently completed fiscal year.</w:t>
      </w:r>
    </w:p>
    <w:p>
      <w:pPr>
        <w:spacing w:after="0" w:line="39" w:lineRule="exact"/>
        <w:rPr>
          <w:rFonts w:ascii="Arial" w:cs="Arial" w:eastAsia="Arial" w:hAnsi="Arial"/>
          <w:sz w:val="15"/>
          <w:szCs w:val="15"/>
          <w:color w:val="auto"/>
        </w:rPr>
      </w:pPr>
    </w:p>
    <w:p>
      <w:pPr>
        <w:ind w:right="500" w:firstLine="464"/>
        <w:spacing w:after="0" w:line="332" w:lineRule="auto"/>
        <w:tabs>
          <w:tab w:leader="none" w:pos="793"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Disclosure Package or the Prospectus: (i) the Company maintains a system of “disclosure controls and procedures” (as such term is defined in Rule 13a-15(e) of the Exchange Act) that complies in all material respects with</w:t>
      </w:r>
    </w:p>
    <w:p>
      <w:pPr>
        <w:sectPr>
          <w:pgSz w:w="11900" w:h="16838" w:orient="portrait"/>
          <w:cols w:equalWidth="0" w:num="1">
            <w:col w:w="11400"/>
          </w:cols>
          <w:pgMar w:left="240" w:top="280" w:right="259" w:bottom="1440" w:gutter="0" w:footer="0" w:header="0"/>
        </w:sectPr>
      </w:pPr>
    </w:p>
    <w:bookmarkStart w:id="18" w:name="page19"/>
    <w:bookmarkEnd w:id="1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requirements of the Exchange Act and has been designed to provide reasonable assurance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and (ii) the Company has carried out an evaluation of the effectiveness of its disclosure controls and procedures as required by Rule 13a-15 of the Exchange Act. Except as disclosed in the Registration Statement, the Disclosure Package or the Prospectus, the Company maintains a system of “internal control over financial reporting” (as defined in Rule 13a-15(f) of the Exchange Act) that complies in all material respects with the requirements of the Exchange Act and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United States generally accepted accounting principles and include policies and procedures that: (A) pertain to the maintenance of records that, in reasonable detail, accurately and fairly reflect the transactions of and dispositions of the assets of the Company; (B) provide reasonable assurance that transactions are recorded as necessary to permit preparation of the consolidated financial statements of the Company and its subsidiaries in accordance with United States generally accepted accounting principles, and that the receipts and expenditures of the Company are being made only in accordance with authorizations of management and directors of the Company; and (C) provide reasonable assurance regarding the prevention or timely detection of unauthorized acquisition, use, or disposition of assets that could have a material effect on the consolidated financial statements of the Company and its subsidiaries. Except as disclosed in the Registration Statement, the Disclosure Package or the Prospectus, the Company is not aware of any material weaknesses in the Company’s internal control over financial reporting. The Company’s auditors and the Audit Committee of the Board of Directors of the Company have been advised of: (X) all significant deficiencies and material weaknesses in the design or operation of internal control over financial reporting that have materially adversely affected or are reasonably likely to materially adversely affect the Company’s ability to record, process, summarize and report financial information; and (Y) any fraud, whether or not material, that involves management or other employees who have a significant role in the Company’s internal control over financial reporting.</w:t>
      </w:r>
    </w:p>
    <w:p>
      <w:pPr>
        <w:spacing w:after="0" w:line="48" w:lineRule="exact"/>
        <w:rPr>
          <w:sz w:val="20"/>
          <w:szCs w:val="20"/>
          <w:color w:val="auto"/>
        </w:rPr>
      </w:pPr>
    </w:p>
    <w:p>
      <w:pPr>
        <w:ind w:right="40" w:firstLine="464"/>
        <w:spacing w:after="0" w:line="332" w:lineRule="auto"/>
        <w:tabs>
          <w:tab w:leader="none" w:pos="773"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interactive data in eXtensbile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4" w:lineRule="exact"/>
        <w:rPr>
          <w:rFonts w:ascii="Arial" w:cs="Arial" w:eastAsia="Arial" w:hAnsi="Arial"/>
          <w:sz w:val="16"/>
          <w:szCs w:val="16"/>
          <w:color w:val="auto"/>
        </w:rPr>
      </w:pPr>
    </w:p>
    <w:p>
      <w:pPr>
        <w:ind w:right="80" w:firstLine="464"/>
        <w:spacing w:after="0" w:line="256" w:lineRule="auto"/>
        <w:tabs>
          <w:tab w:leader="none" w:pos="793"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for matters that would not, either individually or collectively, materially adversely affect the Company’s results of operations and financial condition: (A) neither the Company nor any of its subsidiaries, nor to the Company’s knowledge, any director, officer, affiliate, agent, employee or representative acting on behalf of the Company or any of its subsidiaries, has violated any provision of the U.S. Foreign Corrupt Practices Act of 1977, as amended (the “</w:t>
      </w:r>
      <w:r>
        <w:rPr>
          <w:rFonts w:ascii="Arial" w:cs="Arial" w:eastAsia="Arial" w:hAnsi="Arial"/>
          <w:sz w:val="18"/>
          <w:szCs w:val="18"/>
          <w:b w:val="1"/>
          <w:bCs w:val="1"/>
          <w:color w:val="auto"/>
        </w:rPr>
        <w:t>FCPA</w:t>
      </w:r>
      <w:r>
        <w:rPr>
          <w:rFonts w:ascii="Arial" w:cs="Arial" w:eastAsia="Arial" w:hAnsi="Arial"/>
          <w:sz w:val="18"/>
          <w:szCs w:val="18"/>
          <w:color w:val="auto"/>
        </w:rPr>
        <w:t>”), and the rules and regulations thereunder, including, without limitation,</w:t>
      </w:r>
    </w:p>
    <w:p>
      <w:pPr>
        <w:sectPr>
          <w:pgSz w:w="11900" w:h="16838" w:orient="portrait"/>
          <w:cols w:equalWidth="0" w:num="1">
            <w:col w:w="11420"/>
          </w:cols>
          <w:pgMar w:left="240" w:top="280" w:right="239" w:bottom="1440" w:gutter="0" w:footer="0" w:header="0"/>
        </w:sectPr>
      </w:pPr>
    </w:p>
    <w:bookmarkStart w:id="19" w:name="page20"/>
    <w:bookmarkEnd w:id="19"/>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making use of the mails or any means or instrumentality of interstate commerce corruptly in furtherance of an offer, payment, promise to pay or authorization or approval of the payment or giving of any money, property, gifts or anything else of value to any “foreign official” (as such term is defined in the FCPA) or any foreign political party or party official or any candidate for foreign political office in contravention of the FCPA; and (B) the Company and its subsidiaries have conducted their businesses in compliance with the FCPA and have instituted and maintain policies and procedures reasonably designed to promote and achieve compliance therewith.</w:t>
      </w:r>
    </w:p>
    <w:p>
      <w:pPr>
        <w:spacing w:after="0" w:line="62" w:lineRule="exact"/>
        <w:rPr>
          <w:sz w:val="20"/>
          <w:szCs w:val="20"/>
          <w:color w:val="auto"/>
        </w:rPr>
      </w:pPr>
    </w:p>
    <w:p>
      <w:pPr>
        <w:ind w:right="100" w:firstLine="464"/>
        <w:spacing w:after="0" w:line="290" w:lineRule="auto"/>
        <w:tabs>
          <w:tab w:leader="none" w:pos="773"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operations of the Company and its subsidiaries are and have been conducted in compliance in all material respects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6"/>
          <w:szCs w:val="16"/>
          <w:b w:val="1"/>
          <w:bCs w:val="1"/>
          <w:color w:val="auto"/>
        </w:rPr>
        <w:t>Anti-Money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37" w:lineRule="exact"/>
        <w:rPr>
          <w:rFonts w:ascii="Arial" w:cs="Arial" w:eastAsia="Arial" w:hAnsi="Arial"/>
          <w:sz w:val="16"/>
          <w:szCs w:val="16"/>
          <w:color w:val="auto"/>
        </w:rPr>
      </w:pPr>
    </w:p>
    <w:p>
      <w:pPr>
        <w:ind w:firstLine="464"/>
        <w:spacing w:after="0" w:line="259" w:lineRule="auto"/>
        <w:tabs>
          <w:tab w:leader="none" w:pos="731"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None of the Company, any of its subsidiaries or, to the knowledge of the Company, any director, officer, agent, employee or affiliate of the Company or of any of its subsidiaries,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a Person that is, the subject of any sanctions administered or enforced by the U.S. Department of Treasury’s Office of Foreign Assets Control (“</w:t>
      </w:r>
      <w:r>
        <w:rPr>
          <w:rFonts w:ascii="Arial" w:cs="Arial" w:eastAsia="Arial" w:hAnsi="Arial"/>
          <w:sz w:val="18"/>
          <w:szCs w:val="18"/>
          <w:b w:val="1"/>
          <w:bCs w:val="1"/>
          <w:color w:val="auto"/>
        </w:rPr>
        <w:t>OFAC Sanctions</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right="80" w:firstLine="464"/>
        <w:spacing w:after="0" w:line="298" w:lineRule="auto"/>
        <w:tabs>
          <w:tab w:leader="none" w:pos="793"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Except as otherwise disclosed in the Registration Statement, the Prospectus or the Disclosure Package, there is and has been no failure on the part of the Company or, to the knowledge of the Company, any of the Company’s directors or officers, in their capacities as such, to comply in all material respects with any applicable provision of the Sarbanes-Oxley Act of 2002 and the rules and regulations promulgated in connection therewith (the “</w:t>
      </w:r>
      <w:r>
        <w:rPr>
          <w:rFonts w:ascii="Arial" w:cs="Arial" w:eastAsia="Arial" w:hAnsi="Arial"/>
          <w:sz w:val="16"/>
          <w:szCs w:val="16"/>
          <w:b w:val="1"/>
          <w:bCs w:val="1"/>
          <w:color w:val="auto"/>
        </w:rPr>
        <w:t>Sarbanes-Oxley Act</w:t>
      </w:r>
      <w:r>
        <w:rPr>
          <w:rFonts w:ascii="Arial" w:cs="Arial" w:eastAsia="Arial" w:hAnsi="Arial"/>
          <w:sz w:val="16"/>
          <w:szCs w:val="16"/>
          <w:color w:val="auto"/>
        </w:rPr>
        <w:t>”), including Section 402 related to loans and Sections 302 and 906 related to certifications.</w:t>
      </w:r>
    </w:p>
    <w:p>
      <w:pPr>
        <w:spacing w:after="0" w:line="113"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The representations, warranties and covenants of the Company set forth in this Agreement shall survive the execution and delivery of this Agreement and the sale of the Shares by the Selling Shareholders. The Company acknowledges that the Underwriters, the Selling Shareholders and, for purposes of the opinions to be delivered to the Underwriters pursuant to Article V hereof, counsel for the Company, counsel for the Selling Shareholders and counsel for the Underwriters, will rely upon the accuracy and truth of the representations contained in this Agreement and hereby consents to such reliance.</w:t>
      </w:r>
    </w:p>
    <w:p>
      <w:pPr>
        <w:sectPr>
          <w:pgSz w:w="11900" w:h="16838" w:orient="portrait"/>
          <w:cols w:equalWidth="0" w:num="1">
            <w:col w:w="11400"/>
          </w:cols>
          <w:pgMar w:left="240" w:top="280" w:right="259" w:bottom="1440" w:gutter="0" w:footer="0" w:header="0"/>
        </w:sectPr>
      </w:pPr>
    </w:p>
    <w:bookmarkStart w:id="20" w:name="page21"/>
    <w:bookmarkEnd w:id="20"/>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Selling Shareholder, severally and not jointly, represents to each of the several Underwriters that: (i) such Selling Shareholder now has a security entitlement (within the meaning of Section 8-102(a)(17) of the Uniform Commercial Code as in effect in the State of New York (the “</w:t>
      </w:r>
      <w:r>
        <w:rPr>
          <w:rFonts w:ascii="Arial" w:cs="Arial" w:eastAsia="Arial" w:hAnsi="Arial"/>
          <w:sz w:val="16"/>
          <w:szCs w:val="16"/>
          <w:b w:val="1"/>
          <w:bCs w:val="1"/>
          <w:color w:val="auto"/>
        </w:rPr>
        <w:t>UCC</w:t>
      </w:r>
      <w:r>
        <w:rPr>
          <w:rFonts w:ascii="Arial" w:cs="Arial" w:eastAsia="Arial" w:hAnsi="Arial"/>
          <w:sz w:val="16"/>
          <w:szCs w:val="16"/>
          <w:color w:val="auto"/>
        </w:rPr>
        <w:t>”)) to the Shares, free and clear of any action that may be asserted based on an adverse claim with respect to such security entitlement, and assuming that each Underwriter acquires its interest in the Shares it has purchased from such Selling Shareholder without notice of any adverse claim (within the meaning of Section 8-105 of the UCC), upon the crediting of such Shares to the securities account of such Underwriter maintained with the Depository Trust Company and payment therefor by such Underwriter, as provided herein, such Underwriter will have acquired a security entitlement to such Shares, and no action based on any adverse claim may be asserted against such Underwriter with respect to such security entitlement; (ii) such Selling Shareholder has full right, power and authority to execute and deliver this Agreement and to perform its obligations hereunder, and this Agreement has been duly authorized, executed and delivered by or on behalf of the Selling Shareholder; and (iii) no consent, approval or waiver is required under any instrument or agreement to which the Selling Shareholder is a party or by which the Selling Shareholder is bound in connection with the offering, sale or purchase by the Underwriters of any of the Shares which may be sold by the Selling Shareholder under this Agreement or the consummation by the Selling Shareholder of any of the other transactions contemplated hereby.</w:t>
      </w:r>
    </w:p>
    <w:p>
      <w:pPr>
        <w:spacing w:after="0" w:line="12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Each of the Underwriters, severally and not jointly, represents, warrants and covenants to the Company and the Selling Shareholders that it has not made and will not make any offer relating to the Shares that would constitute a “free writing prospectus” (as defined under Rule 405 under the Securities Act), other than a Permitted Free Writing Prospectus, without the prior written consent of the Company. Any free writing prospectus or Permitted Free Writing Prospectus prepared by or on behalf of such Underwriter will only be used by such Underwriter if it complies in all material respects with the requirements of the Securities Act.</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Each of the Underwriters, severally and not jointly, represents, warrants and covenants to the Company and the Selling Shareholders that it is aware that other than registering and qualifying the Shares under the Securities Act, and complying with any applicable U.S. state securities or “Blue Sky” laws, no action has been or will be taken by the Company that would permit the offer or sale of the Shares or possession or distribution of the Prospectus, the Preliminary Prospectus or the Disclosure Package, or any other offering material relating to the Shares in any jurisdiction where action for that purpose is required. Accordingly, each Underwriter agrees that it will observe all applicable laws and regulations in each jurisdiction in or from which it may directly or indirectly acquire, offer, sell or deliver Shares or have in its possession or distribute the Prospectus, the Preliminary Prospectus or the Disclosure Package or any other offering material relating to the Shares, and each Underwriter will obtain any consent, approval or permission required by it for the purchase, offer or sale by it of Shares under the laws and regulations in force in any such jurisdiction to which it is subject or in which it makes such purchase, offer or sale. None of the Company, any Selling Shareholder or any Underwriter shall have any responsibility for determining what compliance is necessary by any Underwriter or any other Underwriter or for the Underwriters or any other Underwriter obtaining such consents, approvals or permissions. Each Underwriter further agrees that it will take no action that will impose any obligations on the Company or the other Underwriters. Subject to the foregoing, each Underwriter shall, unless prohibited by applicable law, not enter into a contract</w:t>
      </w:r>
    </w:p>
    <w:p>
      <w:pPr>
        <w:sectPr>
          <w:pgSz w:w="11900" w:h="16838" w:orient="portrait"/>
          <w:cols w:equalWidth="0" w:num="1">
            <w:col w:w="11420"/>
          </w:cols>
          <w:pgMar w:left="240" w:top="280" w:right="239" w:bottom="1440" w:gutter="0" w:footer="0" w:header="0"/>
        </w:sectPr>
      </w:pPr>
    </w:p>
    <w:bookmarkStart w:id="21" w:name="page22"/>
    <w:bookmarkEnd w:id="21"/>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sale with any prospective purchaser of the Shares until the Disclosure Package has been conveyed to the prospective purchaser. Without the Company’s consent, the Underwriters are not authorized to give any information or to make any representation not contained in the Prospectus or any documents specifically referred to therein in connection with the offer and sale of the Shares.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VIII.</w:t>
      </w:r>
    </w:p>
    <w:p>
      <w:pPr>
        <w:spacing w:after="0" w:line="171" w:lineRule="exact"/>
        <w:rPr>
          <w:sz w:val="20"/>
          <w:szCs w:val="20"/>
          <w:color w:val="auto"/>
        </w:rPr>
      </w:pPr>
    </w:p>
    <w:p>
      <w:pPr>
        <w:ind w:right="80" w:firstLine="456"/>
        <w:spacing w:after="0" w:line="301" w:lineRule="auto"/>
        <w:rPr>
          <w:sz w:val="20"/>
          <w:szCs w:val="20"/>
          <w:color w:val="auto"/>
        </w:rPr>
      </w:pPr>
      <w:r>
        <w:rPr>
          <w:rFonts w:ascii="Arial" w:cs="Arial" w:eastAsia="Arial" w:hAnsi="Arial"/>
          <w:sz w:val="15"/>
          <w:szCs w:val="15"/>
          <w:color w:val="auto"/>
        </w:rPr>
        <w:t>Whether or not the transactions contemplated in this Agreement are consummated or this Agreement is terminated, the Company will be responsible for, and will pay or cause to be paid, all expenses incident to the performance of its obligations under this Agreement, including: (i) the fees, disbursements and expenses of the Company’s counsel and the Company’s accountants and in connection with the registration and delivery of the Shares under the Securities Act and all other fees or expenses of the Company in connection with the preparation and filing of the Registration Statement, any Preliminary Prospectus, the Disclosure Package, the Prospectus, any free writing prospectus prepared by or on behalf of, used by, or referred to by the Company and amendments and supplements to any of the foregoing, including the filing fees payable to the Commission relating to the Shares (within the time required by Rule 456(b)(1), is applicable),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w:t>
      </w:r>
    </w:p>
    <w:p>
      <w:pPr>
        <w:spacing w:after="0" w:line="4" w:lineRule="exact"/>
        <w:rPr>
          <w:sz w:val="20"/>
          <w:szCs w:val="20"/>
          <w:color w:val="auto"/>
        </w:rPr>
      </w:pPr>
    </w:p>
    <w:p>
      <w:pPr>
        <w:ind w:right="40" w:firstLine="8"/>
        <w:spacing w:after="0" w:line="300" w:lineRule="auto"/>
        <w:tabs>
          <w:tab w:leader="none" w:pos="307"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cost of printing or producing any Blue Sky or World Sky memorandum in connection with the offer and sale of the Shares under state securities laws, securities laws of foreign jurisdictions and all reasonable expenses in connection with the qualification of the Shares for offer and sale under state securities laws and any applicable foreign jurisdictions, including filing fees and the reasonably incurred fees and disbursements of outside counsel for the Underwriters in an amount not to exceed $100,000 in the aggregate in connection with such qualification and in connection with the Blue Sky or World Sky memorandum, (iv) all filing fees and the reasonable fees and disbursements of outside counsel to the Underwriters incurred in connection with the review and qualification of the offering of the Shares by FINRA in an amount not to exceed $100,000 in the aggregate, (v) all costs and expenses incident to maintaining the listing of the Shares on the NYSE and the TSX, (vi) the cost of printing certificates representing the Shares, (vii) the costs and charges of any transfer agent, registrar or depositary,</w:t>
      </w:r>
    </w:p>
    <w:p>
      <w:pPr>
        <w:spacing w:after="0" w:line="3" w:lineRule="exact"/>
        <w:rPr>
          <w:rFonts w:ascii="Arial" w:cs="Arial" w:eastAsia="Arial" w:hAnsi="Arial"/>
          <w:sz w:val="15"/>
          <w:szCs w:val="15"/>
          <w:color w:val="auto"/>
        </w:rPr>
      </w:pPr>
    </w:p>
    <w:p>
      <w:pPr>
        <w:ind w:firstLine="8"/>
        <w:spacing w:after="0" w:line="288" w:lineRule="auto"/>
        <w:tabs>
          <w:tab w:leader="none" w:pos="39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costs and expenses of the Company relating to investor presentations or any “road show” undertaken in connection with the marketing of the offering of the Shares, including, without limitation, expenses associated with the preparation or dissemination of any electronic road show or the production of road show slides and graphics, fees and expenses of any consultants engaged by the Company in connection with the road show presentations, travel and lodging expenses of the representatives and officers of the Company and any such consultants, and the cost attributable to representatives and officers of the Company and any such consultants of any shared transportation in connection with the road show; and (ix) all other costs and expenses incident to the performance of the obligations of the Company hereunder for which provision is not otherwise made in this Article. It is understood, however, that except as provided in this Article VIII, Article IX and Article XV, the Underwriters will pay all of their costs and expenses, including fees and disbursements of their</w:t>
      </w:r>
    </w:p>
    <w:p>
      <w:pPr>
        <w:sectPr>
          <w:pgSz w:w="11900" w:h="16838" w:orient="portrait"/>
          <w:cols w:equalWidth="0" w:num="1">
            <w:col w:w="11420"/>
          </w:cols>
          <w:pgMar w:left="240" w:top="280" w:right="239" w:bottom="1440" w:gutter="0" w:footer="0" w:header="0"/>
        </w:sectPr>
      </w:pPr>
    </w:p>
    <w:bookmarkStart w:id="22" w:name="page23"/>
    <w:bookmarkEnd w:id="22"/>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counsel, stock transfer taxes payable on resale of any of the Shares by them and any advertising expenses connected with any offers they may make. For the avoidance of doubt, the provisions of this Article VIII shall not supersede or otherwise affect any provision of that certain Equity Registration Rights Agreement, dated as of October 15, 2009 (as amended or supplemented), by and among the Company, the United States Department of the Treasury (“Treasury”), 7176384 Canada Inc., the UAW Retiree Medical Benefits Trust, Motors Liquidation Company and, for limited purposes, General Motors LLC (the “Equity Registration Rights Agreement”) relating to the allocation of expenses amongst the Company and the Selling Shareholders.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IX.</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agrees to indemnify and hold harmless each Underwriter, its affiliates, each person, if any, who controls (within the meaning of either Section 15 of the Securities Act or Section 20 of the Exchange Act) such Underwriter and each of such Underwriter’s and such person’s officers and directors against any and all losses, liabilities, costs or claims (or actions in respect thereof) to which any of them may become subject (including all reasonable costs of investigating, disputing or defending any such claim or action), insofar as such losses, liabilities, costs or claims (or actions in respect thereof) arise out of or in connection with any untrue statement or alleged untrue statement of a material fact contained in the Registration Statement, the Prospectus, any Permitted Free Writing Prospectus, any broadly available road show or the Disclosure Package, or any amendment or supplement thereto, or any omission or alleged omission to state therein a material fact required to be stated therein or necessary to make the statements therein not misleading; provided that the Company shall not be liable for any such loss, liability, cost, action or claim arising from any statements or omissions made in reliance on and in conformity with written information provided by an Underwriter to the Company or its representatives expressly for use in the Registration Statement, the Prospectus, any Permitted Free Writing Prospectus, any broadly available road show or the Disclosure Package or any amendment or supplement thereto.</w:t>
      </w:r>
    </w:p>
    <w:p>
      <w:pPr>
        <w:spacing w:after="0" w:line="123" w:lineRule="exact"/>
        <w:rPr>
          <w:sz w:val="20"/>
          <w:szCs w:val="20"/>
          <w:color w:val="auto"/>
        </w:rPr>
      </w:pPr>
    </w:p>
    <w:p>
      <w:pPr>
        <w:ind w:right="220" w:firstLine="456"/>
        <w:spacing w:after="0" w:line="288" w:lineRule="auto"/>
        <w:rPr>
          <w:sz w:val="20"/>
          <w:szCs w:val="20"/>
          <w:color w:val="auto"/>
        </w:rPr>
      </w:pPr>
      <w:r>
        <w:rPr>
          <w:rFonts w:ascii="Arial" w:cs="Arial" w:eastAsia="Arial" w:hAnsi="Arial"/>
          <w:sz w:val="16"/>
          <w:szCs w:val="16"/>
          <w:color w:val="auto"/>
        </w:rPr>
        <w:t>Each Underwriter severally agrees to indemnify and hold harmless the Company, its affiliates, each person, if any, who controls (within the meaning of either Section 15 of the Securities Act or Section 20 of the Exchange Act) the Company, and the Company’s and such person’s officers and directors from and against any and all losses, liabilities, costs or claims (or actions in respect thereof) to which any of them may become subject (including all reasonable costs of investigating, disputing or defending any such claim or action), insofar as such losses, liabilities, costs or claims (or actions in respect thereof) arise out of or in connection with any untrue statement or alleged untrue statement of a material fact contained in the Registration Statement, any Permitted Free Writing Prospectus, the Disclosure Package, the Prospectus, any free writing prospectus prepared by or on behalf of the Underwriter, or any amendment or supplement thereto, or any omission or alleged omission to state therein a material fact necessary to make the statements therein not misleading, in each case as to the Registration Statement, any Permitted Free Writing Prospectus, the Disclosure Package, the Prospectus, or any amendment or supplement thereto, only to the extent that such untrue statement or alleged untrue statement</w:t>
      </w:r>
    </w:p>
    <w:p>
      <w:pPr>
        <w:sectPr>
          <w:pgSz w:w="11900" w:h="16838" w:orient="portrait"/>
          <w:cols w:equalWidth="0" w:num="1">
            <w:col w:w="11420"/>
          </w:cols>
          <w:pgMar w:left="240" w:top="280" w:right="239" w:bottom="1440" w:gutter="0" w:footer="0" w:header="0"/>
        </w:sectPr>
      </w:pPr>
    </w:p>
    <w:bookmarkStart w:id="23" w:name="page24"/>
    <w:bookmarkEnd w:id="23"/>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omission or alleged omission was made in the section of the Prospectus entitled “Underwriting” or any amendment or supplement thereto, only with respect to the names of the underwriters appearing on the front and back cover page of any Preliminary Prospectus or Prospectus, if any, the names of the Underwriters, the amount of any selling concession and reallowance and any discussion of any stabilization activities, over-allotment activities, penalty bids or similar types of activities appearing under the heading “Underwriting” in any Preliminary Prospectus or the Prospectus, or was otherwise made in reliance on and in conformity with written information furnished to the Company by the Underwriters expressly for use in the Registration Statement, any Permitted Free Writing Prospectus, the Disclosure Package, the Prospectus, or any amendment or supplement thereto, or is contained in any free writing prospectus that is not a Permitted Free Writing Prospectus prepared by or on behalf of the Underwriter (except to the extent such information has been accurately extracted from the Prospectus or any Permitted Free Writing Prospectus prepared by or on behalf of the Company).</w:t>
      </w:r>
    </w:p>
    <w:p>
      <w:pPr>
        <w:spacing w:after="0" w:line="118"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If any claim, demand, action or proceeding (including any governmental investigation) shall be brought or alleged against an indemnified party in respect of which indemnity is to be sought against an indemnifying party pursuant to the preceding paragraphs, the indemnified party shall promptly notify the indemnifying party in writing, and the indemnifying party, upon request of the indemnified party, shall retain counsel reasonably satisfactory to the indemnified party to represent the indemnified party and any others the indemnified party may designate in such proceeding and shall pay the reasonable fees and expenses of such counsel related to such proceeding; provided, however, that in the event the indemnifying party shall not have employed counsel reasonably satisfactory to the indemnified party to represent the indemnified party within a reasonable time after notice of any such proceeding, the indemnified party shall then be entitled to retain counsel reasonably satisfactory to itself and the indemnifying party shall pay the reasonable fees and disbursements of such counsel relating to the proceeding. In any such proceeding, any indemnified party shall have the right to retain its own counsel, but the reasonable fees and expenses of such counsel shall be at the expense of such indemnified party unless (i) the indemnifying party and the indemnified party shall have mutually agreed to the retention of such counsel, (ii) the indemnifying party has failed within a reasonable time to retain counsel reasonably satisfactory to such indemnified party pursuant to the preceding sentence or (iii)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agreed that the indemnifying party shall not, in connection with any proceeding or related proceedings in the same jurisdiction, be liable for the reasonable fees and expenses of more than one separate law firm (in addition to local counsel where necessary) for all such indemnified parties. Such firm shall be designated in writing by the indemnified party.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entitled to indemnification hereunder, unless such settlement includes an unconditional release of such indemnified party from all liability on claims that are the subject matter of such proceeding and does not include a statement as to an admission of fault, culpability or a failure to act by or on behalf of any indemnified party.</w:t>
      </w:r>
    </w:p>
    <w:p>
      <w:pPr>
        <w:sectPr>
          <w:pgSz w:w="11900" w:h="16838" w:orient="portrait"/>
          <w:cols w:equalWidth="0" w:num="1">
            <w:col w:w="11360"/>
          </w:cols>
          <w:pgMar w:left="240" w:top="280" w:right="299" w:bottom="1440" w:gutter="0" w:footer="0" w:header="0"/>
        </w:sectPr>
      </w:pPr>
    </w:p>
    <w:bookmarkStart w:id="24" w:name="page25"/>
    <w:bookmarkEnd w:id="24"/>
    <w:p>
      <w:pPr>
        <w:ind w:firstLine="456"/>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indemnification provided for in this Article IX is unavailable as a matter of law to an indemnified party in respect of any losses, claims, damages or liabilities referred to therein, then each indemnifying party, in lieu of indemnifying such indemnified party in respect of such losses, claims, damages or liabilities, shall contribute to the amount paid or payable by such indemnified party as a result of such losses, claims, damages or liabilities (i) if the indemnifying party is the Company, in such proportion as is appropriate to reflect the relative benefit received by the Company and the Selling Shareholders on the one hand and the Underwriters on the other from the offering of the Shares, (ii) if an Underwriter is the indemnifying party, in such proportion as is appropriate to reflect the Underwriter’s relative fault on the one hand and that of the Company and the Selling Shareholders on the other hand in connection with the statements or omissions or alleged statements or omissions which resulted in such losses, claims, damages or liabilities, or (iii) if the allocation provided by clause (i) or clause</w:t>
      </w:r>
    </w:p>
    <w:p>
      <w:pPr>
        <w:ind w:left="260" w:hanging="252"/>
        <w:spacing w:after="0"/>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above, as the case may be, is not permitted by applicable law, in such proportion as is appropriate to reflect not only the relative benefit referred to in clause</w:t>
      </w:r>
    </w:p>
    <w:p>
      <w:pPr>
        <w:spacing w:after="0" w:line="32" w:lineRule="exact"/>
        <w:rPr>
          <w:rFonts w:ascii="Arial" w:cs="Arial" w:eastAsia="Arial" w:hAnsi="Arial"/>
          <w:sz w:val="16"/>
          <w:szCs w:val="16"/>
          <w:color w:val="auto"/>
        </w:rPr>
      </w:pPr>
    </w:p>
    <w:p>
      <w:pPr>
        <w:ind w:firstLine="8"/>
        <w:spacing w:after="0" w:line="287" w:lineRule="auto"/>
        <w:tabs>
          <w:tab w:leader="none" w:pos="21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above or the relative fault referred to in clause (ii) above, as the case may be, but also such relative fault (in cases covered by clause (i)) or such relative benefit (in cases covered by clause (ii)) as well as any other relevant equitable considerations. The relative benefit received by the Company and the Selling Shareholders on the one hand and the Underwriters on the other shall be deemed to be in the same proportion as the total net proceeds from the offering (before deducting expenses) received by the Selling Shareholders bear to the total underwriting discounts and commissions received by the Underwriters, in each case as set forth in the Prospectus. The relative fault of the Company and the Selling Shareholders on the one hand and of the Underwriters on the other shall be determined by reference to, among other things, and where applicable, whether the untrue statement or alleged untrue statement of a material fact or the omission or alleged omission to state a material fact relates to information supplied by the Company or the Selling Shareholders or by the Underwriters and the parties’ relative intent, knowledge, access to information and opportunity to correct or prevent such statement or omissions.</w:t>
      </w:r>
    </w:p>
    <w:p>
      <w:pPr>
        <w:spacing w:after="0" w:line="12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and the Underwriters agree that it would not be just and equitable if contribution pursuant to this Article IX were determined by pro rata allocation (even if the Underwriters were treated as one entity for such purpose) or by any other method of allocation which does not take account of the considerations referred to in the immediately preceding paragraph. The amounts paid or payable by an indemnified party as a result of the losses, claims, damages and liabilities referred to in the immediately preceding paragraph shall be deemed to include, subject to the limitations set forth above, any reasonable legal or other expenses reasonably incurred by such indemnified party in connection with investigating or defending any such action or claim. Notwithstanding the provisions of this paragraph, no Underwriter shall be required to contribute any amount in excess of the amount by which the total price at which the Shares underwritten by such Underwriter and distributed to the public were offered to the public exceeds the amount of any damages which such Underwriter has otherwise been required to pay by reason of such untrue or alleged untrue statement or omission or alleged omission. Notwithstanding the provisions of this Article IX concerning contribution, no indemnifying party</w:t>
      </w:r>
    </w:p>
    <w:p>
      <w:pPr>
        <w:sectPr>
          <w:pgSz w:w="11900" w:h="16838" w:orient="portrait"/>
          <w:cols w:equalWidth="0" w:num="1">
            <w:col w:w="11400"/>
          </w:cols>
          <w:pgMar w:left="240" w:top="280" w:right="259" w:bottom="1440" w:gutter="0" w:footer="0" w:header="0"/>
        </w:sectPr>
      </w:pPr>
    </w:p>
    <w:bookmarkStart w:id="25" w:name="page26"/>
    <w:bookmarkEnd w:id="25"/>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be required to make contribution in respect of such losses, claims, damages or liabilities in any circumstances in which such party would not have been required to provide indemnification. Nothing herein contained shall be deemed to constitute a waiver by an indemnified party of such party’s rights, if any, to receive contribution pursuant to Section 11(f) of the Securities Act or other applicable law.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IX are several, in proportion to the respective principal amounts of Shares purchased by each of such Underwriters, and not joint. The remedies provided for in this Article IX are not exclusive and shall not limit any rights or remedies which may otherwise be available to any indemnified party at law or in equity.</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indemnity and contribution agreements contained in this Article IX and the representations and warranties of the Company and the Underwriters in this Agreement, shall remain operative and in full force and effect regardless of: (i) any termination of this Agreement; (ii) any investigation made by an indemnified party or on such party’s behalf or any person controlling an indemnified party or by or on behalf of the indemnifying party, its directors or officers or any person controlling the indemnifying party; and (iii) acceptance of and payment for any of the Shares.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w:t>
      </w:r>
    </w:p>
    <w:p>
      <w:pPr>
        <w:spacing w:after="0" w:line="17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Managers on behalf of the Underwriters may terminate this Agreement (upon consultation with the Company and the Selling Shareholders) at any time prior to the time on the Closing Date at which payment would otherwise be due under this Agreement to the Selling Shareholders if (i) in the opinion of the Managers, a material disruption in securities settlement, payment or clearance services in the United States shall have occurred or there shall have been a change in national or international financial, political or economic conditions or currency exchange rates or exchange controls which in their view will have a materially adverse effect on the success of the offering and distribution of the offered Shares or (ii) trading in securities generally on the NYSE shall have been suspended generally or materially limited. In the event of any such termination and after consultation with the Company and the Selling Shareholders, the parties to this Agreement shall be released and discharged from their respective obligations under this Agreement without liability on the part of any Underwriter or on the part of the Company or the Selling Shareholders and each party will pay its own expenses. For the avoidance of doubt, the provisions of this Article X shall not supersede or otherwise affect any provision of the Equity Registration Rights Agreement relating to the allocation of expenses among the Company and the Selling Shareholders.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w:t>
      </w:r>
    </w:p>
    <w:p>
      <w:pPr>
        <w:spacing w:after="0" w:line="171"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The Company and each Underwriter acknowledge and agree that each Underwriter is acting solely in the capacity of an arm’s length contractual counterparty to the Company with respect to the offering of the Shares contemplated by this Agreement (including in connection with determining the terms of the offering) and not as a fiduciary to, or an agent of, the Company or any other person. Each Underwriter represents and warrants to the Company that, except as</w:t>
      </w:r>
    </w:p>
    <w:p>
      <w:pPr>
        <w:sectPr>
          <w:pgSz w:w="11900" w:h="16838" w:orient="portrait"/>
          <w:cols w:equalWidth="0" w:num="1">
            <w:col w:w="11420"/>
          </w:cols>
          <w:pgMar w:left="240" w:top="280" w:right="239" w:bottom="1440" w:gutter="0" w:footer="0" w:header="0"/>
        </w:sectPr>
      </w:pPr>
    </w:p>
    <w:bookmarkStart w:id="26" w:name="page27"/>
    <w:bookmarkEnd w:id="26"/>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previously disclosed in writing to the Company, neither the Underwriter nor any affiliate thereof, to the best of their respective knowledge, has any current arrangement with any third party which would permit such Underwriter or any such affiliate to benefit financially, directly or indirectly, from the Underwriter’s participation in the determination of the terms of the offering, including the pricing of the Shares. Additionally, each Underwriter is not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XII.</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Agreement shall be binding upon the Underwriters, the Selling Shareholders and the Company, and inure solely to the benefit of the Underwriters, the Selling Shareholders and the Company and any other person expressly entitled to indemnification hereunder and the respective personal representatives, successors and assigns of each, and no other person shall acquire or have any rights under or by virtue of this Agreement.</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XIII.</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Except as otherwise specifically provided herein, all statements, requests, notices and advices hereunder shall be in writing and if to an Underwriter shall be sufficient in all respects if delivered in person or sent by facsimile transmission (confirmed in writing), or registered mail to such Underwriter at its address or facsimile number and if to the Company shall be sufficient in all respects if delivered or sent by facsimile or registered mail to the Company at 300 Renaissance Center, Detroit, Michigan 48265, facsimile number 313-665-4979, marked for the attention of the Secretary. Notices shall be provided to each of the Selling Shareholders at the address and to the facsimile number set forth below. Each Underwriter shall concurrently deliver to the Company a copy of each notice delivered by such Underwriter to any of the Selling Shareholders. All notices hereunder shall be effective on receipt.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Treasury:</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1500 Pennsylvania Avenue, NW</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Washington, D.C. 20220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Chief Counsel, Office of Financial Stability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number: (202) 927-9225</w:t>
      </w:r>
    </w:p>
    <w:p>
      <w:pPr>
        <w:sectPr>
          <w:pgSz w:w="11900" w:h="16838" w:orient="portrait"/>
          <w:cols w:equalWidth="0" w:num="1">
            <w:col w:w="11360"/>
          </w:cols>
          <w:pgMar w:left="240" w:top="280" w:right="299" w:bottom="1440" w:gutter="0" w:footer="0" w:header="0"/>
        </w:sectPr>
      </w:pPr>
    </w:p>
    <w:bookmarkStart w:id="27" w:name="page28"/>
    <w:bookmarkEnd w:id="27"/>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to Brock Fiduciary Services LLC (independent fiduciary and investment advisor to UAW Retiree Medical Benefits Trust) or to the UAW Retiree Medical Benefits Trust:</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P.O. Box 14309, Detroit, MI 48214</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Daniel W. Sherrick</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International Union, United Automobile, Aerospace and Agricultural Implement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Workers of America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8000 East Jefferson Avenue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Detroit, MI 48214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number: (313) 822-4844</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Brock Fiduciary Services LLC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622 Third Avenue, Floor 12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NY 10017</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XIV.</w:t>
      </w:r>
    </w:p>
    <w:p>
      <w:pPr>
        <w:spacing w:after="0" w:line="171"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If, on the Closing Date any one or more Underwriters shall fail to purchase and pay for any of the Shares agreed to be purchased by such Underwriter or Underwriters hereunder on such date and such failure to purchase shall constitute a default in the performance of its or their obligations under this Agreement, the remaining Underwriters shall be obligated, severally, to take and pay for (in the respective proportions which the amount of Shares set forth opposite their names on Schedule III hereto bears to the aggregate amount of Shares set forth opposite the names of all of the remaining non-defaulting Underwriters) the Shares which the defaulting Underwriter or Underwriters agreed but failed to purchase on such date. Notwithstanding the foregoing, if the aggregate amount of Shares which the defaulting Underwriter or Underwriters agreed but failed to purchase on the Closing Date shall exceed 10% of the aggregate amount of Shares to be purchased on such date, after giving effect to any alternative arrangements for the purchase of such Shares that are satisfactory to the Managers, the Company and the Selling Shareholders and which are made within thirty-six (36) hours after the Closing Date, the remaining Underwriters shall have the right to purchase all, but shall not be under any obligation to purchase any, of such Shares, and if such non-defaulting Underwriters do not purchase all of the Shares, this Agreement will terminate without liability to any non-defaulting Underwriter, Selling Shareholder or the Company, except that the provisions of Article IX shall not terminate and shall remain in effect. In the event of a default by any Underwriter as set forth in this Article XIV, the Closing Date shall be postponed for such period, not exceeding five (5) business days, as the Managers and the Company shall determine in order that the required changes in the Registration Statement and/or the Prospectus, or in any other documents or arrangements may be effected. Nothing contained in this Agreement shall relieve any defaulting Underwriter of its liability, if any, to the Company, the Selling Shareholders and any non-defaulting Underwriter for damages caused by its default hereunder.</w:t>
      </w:r>
    </w:p>
    <w:p>
      <w:pPr>
        <w:sectPr>
          <w:pgSz w:w="11900" w:h="16838" w:orient="portrait"/>
          <w:cols w:equalWidth="0" w:num="1">
            <w:col w:w="11420"/>
          </w:cols>
          <w:pgMar w:left="240" w:top="280"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XV.</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by reason of a default by any of the Underwriters), the Company will reimburse the Underwriters or such Underwriters as have so terminated this Agreement with respect to themselves, severally, for all reasonable out-of-pocket expenses (including the reasonable fees and disbursements of their counsel) reasonably incurred by such Underwriters in connection with the Shares.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XVI.</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Agreement shall be governed by and construed in accordance with the laws of the State of New York; provided that all rights and obligations of Treasury under this Agreement shall be governed by and construed in accordance with the federal law of the United States of America. To the extent that a court looks to the laws of any State to determine or define the United States federal law, it is the intention of the parties hereto that such court shall look only to the laws of the State of New York without regard to its rules of conflicts of laws. Each party to this Agreement other than Treasury irrevocably agrees that any legal action or proceeding against it arising out of or in connection with this Agreement or for recognition or enforcement of any judgment rendered against it in connection with this Agreement may be brought in any Federal or New York State court sitting in the Borough of Manhattan, and, by execution and delivery of this Agreement, such party hereby irrevocably accepts and submits to the jurisdiction of each of the aforesaid courts in personam, generally and unconditionally with respect to any such action or proceeding for itself and in respect of its property, assets and revenues. Each party other than Treasury hereby also irrevocably waives, to the fullest extent permitted by law, any objection which it may now or hereafter have to the laying of venue of any such action or proceeding brought in any such court and any claim that any such action or proceeding has been brought in an inconvenient forum.</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XVIII.</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Any action by the Underwriters hereunder may be taken by the Managers on behalf of the Underwriters (and their respective affiliates), and any such action taken by the Managers shall be binding upon the Underwriters (and their respective affiliates).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XIX.</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This Agreement may be signed in any number of counterparts, each of which shall be an original, with the same effect as if the signatures thereto and hereto were upon the same instrument.</w:t>
      </w:r>
    </w:p>
    <w:p>
      <w:pPr>
        <w:sectPr>
          <w:pgSz w:w="11900" w:h="16838" w:orient="portrait"/>
          <w:cols w:equalWidth="0" w:num="1">
            <w:col w:w="11420"/>
          </w:cols>
          <w:pgMar w:left="240" w:top="280" w:right="23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XX.</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accordance with the requirements of the USA PATRIOT Act (Title III of Pub. L, 107-56 (signed into law October 26, 2001)), the 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80"/>
          </w:cols>
          <w:pgMar w:left="240" w:top="280" w:right="279" w:bottom="1440" w:gutter="0" w:footer="0" w:header="0"/>
        </w:sectPr>
      </w:pPr>
    </w:p>
    <w:bookmarkStart w:id="30" w:name="page31"/>
    <w:bookmarkEnd w:id="3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Daniel 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Daniel Ammann</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6"/>
          <w:szCs w:val="16"/>
          <w:color w:val="auto"/>
        </w:rPr>
        <w:t>Title:</w:t>
        <w:tab/>
        <w:t>Senior Vice President and Chief Financial Officer</w:t>
      </w:r>
    </w:p>
    <w:p>
      <w:pPr>
        <w:sectPr>
          <w:pgSz w:w="11900" w:h="16838" w:orient="portrait"/>
          <w:cols w:equalWidth="0" w:num="1">
            <w:col w:w="10080"/>
          </w:cols>
          <w:pgMar w:left="1440" w:top="280" w:right="379" w:bottom="1440" w:gutter="0" w:footer="0" w:header="0"/>
        </w:sectPr>
      </w:pPr>
    </w:p>
    <w:bookmarkStart w:id="31" w:name="page32"/>
    <w:bookmarkEnd w:id="31"/>
    <w:p>
      <w:pPr>
        <w:ind w:left="48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Selling Shareholders named in Schedule IV hereto, acting severally</w:t>
      </w:r>
    </w:p>
    <w:p>
      <w:pPr>
        <w:spacing w:after="0" w:line="20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THE UNITED STATES DEPARTMENT OF THE TREASURY</w:t>
      </w:r>
    </w:p>
    <w:p>
      <w:pPr>
        <w:spacing w:after="0" w:line="17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UAW RETIREE MEDICAL BENEFITS TRUST</w:t>
      </w:r>
    </w:p>
    <w:p>
      <w:pPr>
        <w:sectPr>
          <w:pgSz w:w="11900" w:h="16838" w:orient="portrait"/>
          <w:cols w:equalWidth="0" w:num="1">
            <w:col w:w="9920"/>
          </w:cols>
          <w:pgMar w:left="1440" w:top="280" w:right="539" w:bottom="1440" w:gutter="0" w:footer="0" w:header="0"/>
        </w:sectPr>
      </w:pPr>
    </w:p>
    <w:bookmarkStart w:id="32" w:name="page33"/>
    <w:bookmarkEnd w:id="32"/>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UNITED STATES DEPARTMENT OF THE TREASURY</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Timothy G. Massad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Timothy G. Massad</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Assistant Secretary for Financial</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Stability</w:t>
      </w:r>
    </w:p>
    <w:p>
      <w:pPr>
        <w:sectPr>
          <w:pgSz w:w="11900" w:h="16838" w:orient="portrait"/>
          <w:cols w:equalWidth="0" w:num="1">
            <w:col w:w="10160"/>
          </w:cols>
          <w:pgMar w:left="1440" w:top="280" w:right="299" w:bottom="1440" w:gutter="0" w:footer="0" w:header="0"/>
        </w:sectPr>
      </w:pPr>
    </w:p>
    <w:bookmarkStart w:id="33" w:name="page34"/>
    <w:bookmarkEnd w:id="33"/>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UAW RETIREE MEDICAL BENEFITS TRUST</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BROCK FIDUCIARY SERVICES LLC, IN</w:t>
      </w:r>
    </w:p>
    <w:p>
      <w:pPr>
        <w:spacing w:after="0" w:line="38"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CAPACITY AS FIDUCIARY AND</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INVESTMENT ADVISOR TO THE UAW</w:t>
      </w:r>
    </w:p>
    <w:p>
      <w:pPr>
        <w:spacing w:after="0" w:line="32"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RETIREE MEDICAL BENEFITS TRUST</w:t>
      </w:r>
    </w:p>
    <w:p>
      <w:pPr>
        <w:spacing w:after="0" w:line="25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Alain Lebec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Alain Lebec</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Senior Managing Director</w:t>
      </w:r>
    </w:p>
    <w:p>
      <w:pPr>
        <w:sectPr>
          <w:pgSz w:w="11900" w:h="16838" w:orient="portrait"/>
          <w:cols w:equalWidth="0" w:num="1">
            <w:col w:w="9140"/>
          </w:cols>
          <w:pgMar w:left="1440" w:top="280" w:right="131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hereof</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Acting severally on behalf of themselves and the several</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Underwriters named in Schedule III hereto</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John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John Shafer</w:t>
      </w:r>
    </w:p>
    <w:p>
      <w:pPr>
        <w:spacing w:after="0" w:line="15"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Goksu N. Yolac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Goksu N. Yolac</w:t>
      </w:r>
    </w:p>
    <w:p>
      <w:pPr>
        <w:spacing w:after="0" w:line="15"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Ken Pott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Ken Pott</w:t>
      </w:r>
    </w:p>
    <w:p>
      <w:pPr>
        <w:spacing w:after="0" w:line="15"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ectPr>
          <w:pgSz w:w="11900" w:h="16838" w:orient="portrait"/>
          <w:cols w:equalWidth="0" w:num="1">
            <w:col w:w="10219"/>
          </w:cols>
          <w:pgMar w:left="240" w:top="280"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2"/>
        </w:trPr>
        <w:tc>
          <w:tcPr>
            <w:tcW w:w="3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900" w:type="dxa"/>
            <w:vAlign w:val="bottom"/>
            <w:gridSpan w:val="2"/>
          </w:tcPr>
          <w:p>
            <w:pPr>
              <w:jc w:val="center"/>
              <w:ind w:right="19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CHEDULE</w:t>
            </w:r>
            <w:r>
              <w:rPr>
                <w:rFonts w:ascii="Arial" w:cs="Arial" w:eastAsia="Arial" w:hAnsi="Arial"/>
                <w:sz w:val="18"/>
                <w:szCs w:val="18"/>
                <w:color w:val="auto"/>
                <w:w w:val="98"/>
              </w:rPr>
              <w:t xml:space="preserve"> I</w:t>
            </w:r>
          </w:p>
        </w:tc>
      </w:tr>
      <w:tr>
        <w:trPr>
          <w:trHeight w:val="340"/>
        </w:trPr>
        <w:tc>
          <w:tcPr>
            <w:tcW w:w="3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00" w:type="dxa"/>
            <w:vAlign w:val="bottom"/>
            <w:gridSpan w:val="2"/>
          </w:tcPr>
          <w:p>
            <w:pPr>
              <w:jc w:val="center"/>
              <w:ind w:right="1960"/>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ERM</w:t>
            </w:r>
            <w:r>
              <w:rPr>
                <w:rFonts w:ascii="Arial" w:cs="Arial" w:eastAsia="Arial" w:hAnsi="Arial"/>
                <w:sz w:val="18"/>
                <w:szCs w:val="18"/>
                <w:color w:val="auto"/>
                <w:w w:val="97"/>
              </w:rPr>
              <w:t xml:space="preserve"> S</w:t>
            </w:r>
            <w:r>
              <w:rPr>
                <w:rFonts w:ascii="Arial" w:cs="Arial" w:eastAsia="Arial" w:hAnsi="Arial"/>
                <w:sz w:val="14"/>
                <w:szCs w:val="14"/>
                <w:color w:val="auto"/>
                <w:w w:val="97"/>
              </w:rPr>
              <w:t>HEET</w:t>
            </w:r>
          </w:p>
        </w:tc>
      </w:tr>
      <w:tr>
        <w:trPr>
          <w:trHeight w:val="20"/>
        </w:trPr>
        <w:tc>
          <w:tcPr>
            <w:tcW w:w="3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97"/>
        </w:trPr>
        <w:tc>
          <w:tcPr>
            <w:tcW w:w="3980" w:type="dxa"/>
            <w:vAlign w:val="bottom"/>
          </w:tcPr>
          <w:p>
            <w:pPr>
              <w:spacing w:after="0"/>
              <w:rPr>
                <w:sz w:val="24"/>
                <w:szCs w:val="24"/>
                <w:color w:val="auto"/>
              </w:rPr>
            </w:pPr>
          </w:p>
        </w:tc>
        <w:tc>
          <w:tcPr>
            <w:tcW w:w="416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0"/>
              </w:rPr>
              <w:t>General Motors Company</w:t>
            </w:r>
          </w:p>
        </w:tc>
      </w:tr>
      <w:tr>
        <w:trPr>
          <w:trHeight w:val="378"/>
        </w:trPr>
        <w:tc>
          <w:tcPr>
            <w:tcW w:w="3980" w:type="dxa"/>
            <w:vAlign w:val="bottom"/>
          </w:tcPr>
          <w:p>
            <w:pPr>
              <w:spacing w:after="0"/>
              <w:rPr>
                <w:sz w:val="24"/>
                <w:szCs w:val="24"/>
                <w:color w:val="auto"/>
              </w:rPr>
            </w:pPr>
          </w:p>
        </w:tc>
        <w:tc>
          <w:tcPr>
            <w:tcW w:w="416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86"/>
              </w:rPr>
              <w:t>50,000,000 Shares of Common Stock</w:t>
            </w:r>
          </w:p>
        </w:tc>
      </w:tr>
      <w:tr>
        <w:trPr>
          <w:trHeight w:val="419"/>
        </w:trPr>
        <w:tc>
          <w:tcPr>
            <w:tcW w:w="3980" w:type="dxa"/>
            <w:vAlign w:val="bottom"/>
          </w:tcPr>
          <w:p>
            <w:pPr>
              <w:spacing w:after="0"/>
              <w:rPr>
                <w:sz w:val="20"/>
                <w:szCs w:val="20"/>
                <w:color w:val="auto"/>
              </w:rPr>
            </w:pPr>
            <w:r>
              <w:rPr>
                <w:rFonts w:ascii="Arial" w:cs="Arial" w:eastAsia="Arial" w:hAnsi="Arial"/>
                <w:sz w:val="18"/>
                <w:szCs w:val="18"/>
                <w:color w:val="auto"/>
              </w:rPr>
              <w:t>Issuer:</w:t>
            </w:r>
          </w:p>
        </w:tc>
        <w:tc>
          <w:tcPr>
            <w:tcW w:w="4160" w:type="dxa"/>
            <w:vAlign w:val="bottom"/>
            <w:gridSpan w:val="3"/>
          </w:tcPr>
          <w:p>
            <w:pPr>
              <w:ind w:left="480"/>
              <w:spacing w:after="0"/>
              <w:rPr>
                <w:sz w:val="20"/>
                <w:szCs w:val="20"/>
                <w:color w:val="auto"/>
              </w:rPr>
            </w:pPr>
            <w:r>
              <w:rPr>
                <w:rFonts w:ascii="Arial" w:cs="Arial" w:eastAsia="Arial" w:hAnsi="Arial"/>
                <w:sz w:val="18"/>
                <w:szCs w:val="18"/>
                <w:color w:val="auto"/>
              </w:rPr>
              <w:t>General Motors Company</w:t>
            </w:r>
          </w:p>
        </w:tc>
      </w:tr>
      <w:tr>
        <w:trPr>
          <w:trHeight w:val="324"/>
        </w:trPr>
        <w:tc>
          <w:tcPr>
            <w:tcW w:w="3980" w:type="dxa"/>
            <w:vAlign w:val="bottom"/>
          </w:tcPr>
          <w:p>
            <w:pPr>
              <w:spacing w:after="0"/>
              <w:rPr>
                <w:sz w:val="20"/>
                <w:szCs w:val="20"/>
                <w:color w:val="auto"/>
              </w:rPr>
            </w:pPr>
            <w:r>
              <w:rPr>
                <w:rFonts w:ascii="Arial" w:cs="Arial" w:eastAsia="Arial" w:hAnsi="Arial"/>
                <w:sz w:val="18"/>
                <w:szCs w:val="18"/>
                <w:color w:val="auto"/>
              </w:rPr>
              <w:t>Symbol:</w:t>
            </w:r>
          </w:p>
        </w:tc>
        <w:tc>
          <w:tcPr>
            <w:tcW w:w="4160" w:type="dxa"/>
            <w:vAlign w:val="bottom"/>
            <w:gridSpan w:val="3"/>
          </w:tcPr>
          <w:p>
            <w:pPr>
              <w:ind w:left="480"/>
              <w:spacing w:after="0"/>
              <w:rPr>
                <w:sz w:val="20"/>
                <w:szCs w:val="20"/>
                <w:color w:val="auto"/>
              </w:rPr>
            </w:pPr>
            <w:r>
              <w:rPr>
                <w:rFonts w:ascii="Arial" w:cs="Arial" w:eastAsia="Arial" w:hAnsi="Arial"/>
                <w:sz w:val="18"/>
                <w:szCs w:val="18"/>
                <w:color w:val="auto"/>
              </w:rPr>
              <w:t>GM (NYSE) / GMM (TSX)</w:t>
            </w:r>
          </w:p>
        </w:tc>
      </w:tr>
      <w:tr>
        <w:trPr>
          <w:trHeight w:val="324"/>
        </w:trPr>
        <w:tc>
          <w:tcPr>
            <w:tcW w:w="3980" w:type="dxa"/>
            <w:vAlign w:val="bottom"/>
          </w:tcPr>
          <w:p>
            <w:pPr>
              <w:spacing w:after="0"/>
              <w:rPr>
                <w:sz w:val="20"/>
                <w:szCs w:val="20"/>
                <w:color w:val="auto"/>
              </w:rPr>
            </w:pPr>
            <w:r>
              <w:rPr>
                <w:rFonts w:ascii="Arial" w:cs="Arial" w:eastAsia="Arial" w:hAnsi="Arial"/>
                <w:sz w:val="18"/>
                <w:szCs w:val="18"/>
                <w:color w:val="auto"/>
              </w:rPr>
              <w:t>Shares offered by the selling shareholders:</w:t>
            </w:r>
          </w:p>
        </w:tc>
        <w:tc>
          <w:tcPr>
            <w:tcW w:w="4160" w:type="dxa"/>
            <w:vAlign w:val="bottom"/>
            <w:gridSpan w:val="3"/>
          </w:tcPr>
          <w:p>
            <w:pPr>
              <w:ind w:left="480"/>
              <w:spacing w:after="0"/>
              <w:rPr>
                <w:sz w:val="20"/>
                <w:szCs w:val="20"/>
                <w:color w:val="auto"/>
              </w:rPr>
            </w:pPr>
            <w:r>
              <w:rPr>
                <w:rFonts w:ascii="Arial" w:cs="Arial" w:eastAsia="Arial" w:hAnsi="Arial"/>
                <w:sz w:val="18"/>
                <w:szCs w:val="18"/>
                <w:color w:val="auto"/>
              </w:rPr>
              <w:t>50,000,000 shares</w:t>
            </w:r>
          </w:p>
        </w:tc>
      </w:tr>
      <w:tr>
        <w:trPr>
          <w:trHeight w:val="324"/>
        </w:trPr>
        <w:tc>
          <w:tcPr>
            <w:tcW w:w="3980" w:type="dxa"/>
            <w:vAlign w:val="bottom"/>
          </w:tcPr>
          <w:p>
            <w:pPr>
              <w:spacing w:after="0"/>
              <w:rPr>
                <w:sz w:val="20"/>
                <w:szCs w:val="20"/>
                <w:color w:val="auto"/>
              </w:rPr>
            </w:pPr>
            <w:r>
              <w:rPr>
                <w:rFonts w:ascii="Arial" w:cs="Arial" w:eastAsia="Arial" w:hAnsi="Arial"/>
                <w:sz w:val="18"/>
                <w:szCs w:val="18"/>
                <w:color w:val="auto"/>
              </w:rPr>
              <w:t>Additional shares offered:</w:t>
            </w:r>
          </w:p>
        </w:tc>
        <w:tc>
          <w:tcPr>
            <w:tcW w:w="4160" w:type="dxa"/>
            <w:vAlign w:val="bottom"/>
            <w:gridSpan w:val="3"/>
          </w:tcPr>
          <w:p>
            <w:pPr>
              <w:ind w:left="480"/>
              <w:spacing w:after="0"/>
              <w:rPr>
                <w:sz w:val="20"/>
                <w:szCs w:val="20"/>
                <w:color w:val="auto"/>
              </w:rPr>
            </w:pPr>
            <w:r>
              <w:rPr>
                <w:rFonts w:ascii="Arial" w:cs="Arial" w:eastAsia="Arial" w:hAnsi="Arial"/>
                <w:sz w:val="18"/>
                <w:szCs w:val="18"/>
                <w:color w:val="auto"/>
              </w:rPr>
              <w:t>None</w:t>
            </w:r>
          </w:p>
        </w:tc>
      </w:tr>
      <w:tr>
        <w:trPr>
          <w:trHeight w:val="324"/>
        </w:trPr>
        <w:tc>
          <w:tcPr>
            <w:tcW w:w="3980" w:type="dxa"/>
            <w:vAlign w:val="bottom"/>
          </w:tcPr>
          <w:p>
            <w:pPr>
              <w:spacing w:after="0"/>
              <w:rPr>
                <w:sz w:val="20"/>
                <w:szCs w:val="20"/>
                <w:color w:val="auto"/>
              </w:rPr>
            </w:pPr>
            <w:r>
              <w:rPr>
                <w:rFonts w:ascii="Arial" w:cs="Arial" w:eastAsia="Arial" w:hAnsi="Arial"/>
                <w:sz w:val="18"/>
                <w:szCs w:val="18"/>
                <w:color w:val="auto"/>
              </w:rPr>
              <w:t>Price to public:</w:t>
            </w:r>
          </w:p>
        </w:tc>
        <w:tc>
          <w:tcPr>
            <w:tcW w:w="4160" w:type="dxa"/>
            <w:vAlign w:val="bottom"/>
            <w:gridSpan w:val="3"/>
          </w:tcPr>
          <w:p>
            <w:pPr>
              <w:ind w:left="480"/>
              <w:spacing w:after="0"/>
              <w:rPr>
                <w:sz w:val="20"/>
                <w:szCs w:val="20"/>
                <w:color w:val="auto"/>
              </w:rPr>
            </w:pPr>
            <w:r>
              <w:rPr>
                <w:rFonts w:ascii="Arial" w:cs="Arial" w:eastAsia="Arial" w:hAnsi="Arial"/>
                <w:sz w:val="18"/>
                <w:szCs w:val="18"/>
                <w:color w:val="auto"/>
              </w:rPr>
              <w:t>U.S. $34.41</w:t>
            </w:r>
          </w:p>
        </w:tc>
      </w:tr>
      <w:tr>
        <w:trPr>
          <w:trHeight w:val="318"/>
        </w:trPr>
        <w:tc>
          <w:tcPr>
            <w:tcW w:w="3980" w:type="dxa"/>
            <w:vAlign w:val="bottom"/>
          </w:tcPr>
          <w:p>
            <w:pPr>
              <w:spacing w:after="0"/>
              <w:rPr>
                <w:sz w:val="20"/>
                <w:szCs w:val="20"/>
                <w:color w:val="auto"/>
              </w:rPr>
            </w:pPr>
            <w:r>
              <w:rPr>
                <w:rFonts w:ascii="Arial" w:cs="Arial" w:eastAsia="Arial" w:hAnsi="Arial"/>
                <w:sz w:val="18"/>
                <w:szCs w:val="18"/>
                <w:color w:val="auto"/>
                <w:w w:val="95"/>
              </w:rPr>
              <w:t>Aggregate proceeds, before expenses, to the selling</w:t>
            </w:r>
          </w:p>
        </w:tc>
        <w:tc>
          <w:tcPr>
            <w:tcW w:w="4160" w:type="dxa"/>
            <w:vAlign w:val="bottom"/>
            <w:gridSpan w:val="3"/>
          </w:tcPr>
          <w:p>
            <w:pPr>
              <w:ind w:left="480"/>
              <w:spacing w:after="0"/>
              <w:rPr>
                <w:sz w:val="20"/>
                <w:szCs w:val="20"/>
                <w:color w:val="auto"/>
              </w:rPr>
            </w:pPr>
            <w:r>
              <w:rPr>
                <w:rFonts w:ascii="Arial" w:cs="Arial" w:eastAsia="Arial" w:hAnsi="Arial"/>
                <w:sz w:val="18"/>
                <w:szCs w:val="18"/>
                <w:color w:val="auto"/>
              </w:rPr>
              <w:t>U.S. $1,719,500,000.00</w:t>
            </w: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stockholders:</w:t>
            </w:r>
          </w:p>
        </w:tc>
        <w:tc>
          <w:tcPr>
            <w:tcW w:w="1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24"/>
        </w:trPr>
        <w:tc>
          <w:tcPr>
            <w:tcW w:w="3980" w:type="dxa"/>
            <w:vAlign w:val="bottom"/>
          </w:tcPr>
          <w:p>
            <w:pPr>
              <w:spacing w:after="0"/>
              <w:rPr>
                <w:sz w:val="20"/>
                <w:szCs w:val="20"/>
                <w:color w:val="auto"/>
              </w:rPr>
            </w:pPr>
            <w:r>
              <w:rPr>
                <w:rFonts w:ascii="Arial" w:cs="Arial" w:eastAsia="Arial" w:hAnsi="Arial"/>
                <w:sz w:val="18"/>
                <w:szCs w:val="18"/>
                <w:color w:val="auto"/>
              </w:rPr>
              <w:t>Closing price (June 6, 2013):</w:t>
            </w:r>
          </w:p>
        </w:tc>
        <w:tc>
          <w:tcPr>
            <w:tcW w:w="4160" w:type="dxa"/>
            <w:vAlign w:val="bottom"/>
            <w:gridSpan w:val="3"/>
          </w:tcPr>
          <w:p>
            <w:pPr>
              <w:ind w:left="480"/>
              <w:spacing w:after="0"/>
              <w:rPr>
                <w:sz w:val="20"/>
                <w:szCs w:val="20"/>
                <w:color w:val="auto"/>
              </w:rPr>
            </w:pPr>
            <w:r>
              <w:rPr>
                <w:rFonts w:ascii="Arial" w:cs="Arial" w:eastAsia="Arial" w:hAnsi="Arial"/>
                <w:sz w:val="18"/>
                <w:szCs w:val="18"/>
                <w:color w:val="auto"/>
              </w:rPr>
              <w:t>U.S. $34.44</w:t>
            </w:r>
          </w:p>
        </w:tc>
      </w:tr>
      <w:tr>
        <w:trPr>
          <w:trHeight w:val="324"/>
        </w:trPr>
        <w:tc>
          <w:tcPr>
            <w:tcW w:w="3980" w:type="dxa"/>
            <w:vAlign w:val="bottom"/>
          </w:tcPr>
          <w:p>
            <w:pPr>
              <w:spacing w:after="0"/>
              <w:rPr>
                <w:sz w:val="20"/>
                <w:szCs w:val="20"/>
                <w:color w:val="auto"/>
              </w:rPr>
            </w:pPr>
            <w:r>
              <w:rPr>
                <w:rFonts w:ascii="Arial" w:cs="Arial" w:eastAsia="Arial" w:hAnsi="Arial"/>
                <w:sz w:val="18"/>
                <w:szCs w:val="18"/>
                <w:color w:val="auto"/>
              </w:rPr>
              <w:t>Trade date:</w:t>
            </w:r>
          </w:p>
        </w:tc>
        <w:tc>
          <w:tcPr>
            <w:tcW w:w="4160" w:type="dxa"/>
            <w:vAlign w:val="bottom"/>
            <w:gridSpan w:val="3"/>
          </w:tcPr>
          <w:p>
            <w:pPr>
              <w:ind w:left="480"/>
              <w:spacing w:after="0"/>
              <w:rPr>
                <w:sz w:val="20"/>
                <w:szCs w:val="20"/>
                <w:color w:val="auto"/>
              </w:rPr>
            </w:pPr>
            <w:r>
              <w:rPr>
                <w:rFonts w:ascii="Arial" w:cs="Arial" w:eastAsia="Arial" w:hAnsi="Arial"/>
                <w:sz w:val="18"/>
                <w:szCs w:val="18"/>
                <w:color w:val="auto"/>
              </w:rPr>
              <w:t>June 6, 2013</w:t>
            </w:r>
          </w:p>
        </w:tc>
      </w:tr>
      <w:tr>
        <w:trPr>
          <w:trHeight w:val="324"/>
        </w:trPr>
        <w:tc>
          <w:tcPr>
            <w:tcW w:w="3980" w:type="dxa"/>
            <w:vAlign w:val="bottom"/>
          </w:tcPr>
          <w:p>
            <w:pPr>
              <w:spacing w:after="0"/>
              <w:rPr>
                <w:sz w:val="20"/>
                <w:szCs w:val="20"/>
                <w:color w:val="auto"/>
              </w:rPr>
            </w:pPr>
            <w:r>
              <w:rPr>
                <w:rFonts w:ascii="Arial" w:cs="Arial" w:eastAsia="Arial" w:hAnsi="Arial"/>
                <w:sz w:val="18"/>
                <w:szCs w:val="18"/>
                <w:color w:val="auto"/>
              </w:rPr>
              <w:t>Expected closing date:</w:t>
            </w:r>
          </w:p>
        </w:tc>
        <w:tc>
          <w:tcPr>
            <w:tcW w:w="4160" w:type="dxa"/>
            <w:vAlign w:val="bottom"/>
            <w:gridSpan w:val="3"/>
          </w:tcPr>
          <w:p>
            <w:pPr>
              <w:ind w:left="480"/>
              <w:spacing w:after="0"/>
              <w:rPr>
                <w:sz w:val="20"/>
                <w:szCs w:val="20"/>
                <w:color w:val="auto"/>
              </w:rPr>
            </w:pPr>
            <w:r>
              <w:rPr>
                <w:rFonts w:ascii="Arial" w:cs="Arial" w:eastAsia="Arial" w:hAnsi="Arial"/>
                <w:sz w:val="18"/>
                <w:szCs w:val="18"/>
                <w:color w:val="auto"/>
              </w:rPr>
              <w:t>June 12, 2013</w:t>
            </w:r>
          </w:p>
        </w:tc>
      </w:tr>
      <w:tr>
        <w:trPr>
          <w:trHeight w:val="324"/>
        </w:trPr>
        <w:tc>
          <w:tcPr>
            <w:tcW w:w="3980" w:type="dxa"/>
            <w:vAlign w:val="bottom"/>
          </w:tcPr>
          <w:p>
            <w:pPr>
              <w:spacing w:after="0"/>
              <w:rPr>
                <w:sz w:val="20"/>
                <w:szCs w:val="20"/>
                <w:color w:val="auto"/>
              </w:rPr>
            </w:pPr>
            <w:r>
              <w:rPr>
                <w:rFonts w:ascii="Arial" w:cs="Arial" w:eastAsia="Arial" w:hAnsi="Arial"/>
                <w:sz w:val="18"/>
                <w:szCs w:val="18"/>
                <w:color w:val="auto"/>
              </w:rPr>
              <w:t>CUSIP No.:</w:t>
            </w:r>
          </w:p>
        </w:tc>
        <w:tc>
          <w:tcPr>
            <w:tcW w:w="4160" w:type="dxa"/>
            <w:vAlign w:val="bottom"/>
            <w:gridSpan w:val="3"/>
          </w:tcPr>
          <w:p>
            <w:pPr>
              <w:ind w:left="480"/>
              <w:spacing w:after="0"/>
              <w:rPr>
                <w:sz w:val="20"/>
                <w:szCs w:val="20"/>
                <w:color w:val="auto"/>
              </w:rPr>
            </w:pPr>
            <w:r>
              <w:rPr>
                <w:rFonts w:ascii="Arial" w:cs="Arial" w:eastAsia="Arial" w:hAnsi="Arial"/>
                <w:sz w:val="18"/>
                <w:szCs w:val="18"/>
                <w:color w:val="auto"/>
              </w:rPr>
              <w:t>37045V100</w:t>
            </w:r>
          </w:p>
        </w:tc>
      </w:tr>
      <w:tr>
        <w:trPr>
          <w:trHeight w:val="318"/>
        </w:trPr>
        <w:tc>
          <w:tcPr>
            <w:tcW w:w="398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4160" w:type="dxa"/>
            <w:vAlign w:val="bottom"/>
            <w:gridSpan w:val="3"/>
          </w:tcPr>
          <w:p>
            <w:pPr>
              <w:ind w:left="48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3980" w:type="dxa"/>
            <w:vAlign w:val="bottom"/>
          </w:tcPr>
          <w:p>
            <w:pPr>
              <w:spacing w:after="0"/>
              <w:rPr>
                <w:sz w:val="18"/>
                <w:szCs w:val="18"/>
                <w:color w:val="auto"/>
              </w:rPr>
            </w:pPr>
          </w:p>
        </w:tc>
        <w:tc>
          <w:tcPr>
            <w:tcW w:w="4160" w:type="dxa"/>
            <w:vAlign w:val="bottom"/>
            <w:gridSpan w:val="3"/>
          </w:tcPr>
          <w:p>
            <w:pPr>
              <w:ind w:left="480"/>
              <w:spacing w:after="0"/>
              <w:rPr>
                <w:sz w:val="20"/>
                <w:szCs w:val="20"/>
                <w:color w:val="auto"/>
              </w:rPr>
            </w:pPr>
            <w:r>
              <w:rPr>
                <w:rFonts w:ascii="Arial" w:cs="Arial" w:eastAsia="Arial" w:hAnsi="Arial"/>
                <w:sz w:val="18"/>
                <w:szCs w:val="18"/>
                <w:color w:val="auto"/>
              </w:rPr>
              <w:t>J.P. Morgan Securities LLC</w:t>
            </w:r>
          </w:p>
        </w:tc>
      </w:tr>
      <w:tr>
        <w:trPr>
          <w:trHeight w:val="222"/>
        </w:trPr>
        <w:tc>
          <w:tcPr>
            <w:tcW w:w="3980" w:type="dxa"/>
            <w:vAlign w:val="bottom"/>
          </w:tcPr>
          <w:p>
            <w:pPr>
              <w:spacing w:after="0"/>
              <w:rPr>
                <w:sz w:val="19"/>
                <w:szCs w:val="19"/>
                <w:color w:val="auto"/>
              </w:rPr>
            </w:pPr>
          </w:p>
        </w:tc>
        <w:tc>
          <w:tcPr>
            <w:tcW w:w="4160" w:type="dxa"/>
            <w:vAlign w:val="bottom"/>
            <w:gridSpan w:val="3"/>
          </w:tcPr>
          <w:p>
            <w:pPr>
              <w:ind w:left="480"/>
              <w:spacing w:after="0"/>
              <w:rPr>
                <w:sz w:val="20"/>
                <w:szCs w:val="20"/>
                <w:color w:val="auto"/>
              </w:rPr>
            </w:pPr>
            <w:r>
              <w:rPr>
                <w:rFonts w:ascii="Arial" w:cs="Arial" w:eastAsia="Arial" w:hAnsi="Arial"/>
                <w:sz w:val="18"/>
                <w:szCs w:val="18"/>
                <w:color w:val="auto"/>
              </w:rPr>
              <w:t>Morgan Stanley &amp; Co. LLC</w:t>
            </w:r>
          </w:p>
        </w:tc>
      </w:tr>
      <w:tr>
        <w:trPr>
          <w:trHeight w:val="331"/>
        </w:trPr>
        <w:tc>
          <w:tcPr>
            <w:tcW w:w="3980" w:type="dxa"/>
            <w:vAlign w:val="bottom"/>
          </w:tcPr>
          <w:p>
            <w:pPr>
              <w:spacing w:after="0"/>
              <w:rPr>
                <w:sz w:val="20"/>
                <w:szCs w:val="20"/>
                <w:color w:val="auto"/>
              </w:rPr>
            </w:pPr>
            <w:r>
              <w:rPr>
                <w:rFonts w:ascii="Arial" w:cs="Arial" w:eastAsia="Arial" w:hAnsi="Arial"/>
                <w:sz w:val="18"/>
                <w:szCs w:val="18"/>
                <w:color w:val="auto"/>
              </w:rPr>
              <w:t>Co-managers:</w:t>
            </w:r>
          </w:p>
        </w:tc>
        <w:tc>
          <w:tcPr>
            <w:tcW w:w="4160" w:type="dxa"/>
            <w:vAlign w:val="bottom"/>
            <w:gridSpan w:val="3"/>
          </w:tcPr>
          <w:p>
            <w:pPr>
              <w:ind w:left="480"/>
              <w:spacing w:after="0"/>
              <w:rPr>
                <w:sz w:val="20"/>
                <w:szCs w:val="20"/>
                <w:color w:val="auto"/>
              </w:rPr>
            </w:pPr>
            <w:r>
              <w:rPr>
                <w:rFonts w:ascii="Arial" w:cs="Arial" w:eastAsia="Arial" w:hAnsi="Arial"/>
                <w:sz w:val="18"/>
                <w:szCs w:val="18"/>
                <w:color w:val="auto"/>
              </w:rPr>
              <w:t>Credit Suisse Securities (USA) LLC</w:t>
            </w:r>
          </w:p>
        </w:tc>
      </w:tr>
      <w:tr>
        <w:trPr>
          <w:trHeight w:val="216"/>
        </w:trPr>
        <w:tc>
          <w:tcPr>
            <w:tcW w:w="3980" w:type="dxa"/>
            <w:vAlign w:val="bottom"/>
          </w:tcPr>
          <w:p>
            <w:pPr>
              <w:spacing w:after="0"/>
              <w:rPr>
                <w:sz w:val="18"/>
                <w:szCs w:val="18"/>
                <w:color w:val="auto"/>
              </w:rPr>
            </w:pPr>
          </w:p>
        </w:tc>
        <w:tc>
          <w:tcPr>
            <w:tcW w:w="4160" w:type="dxa"/>
            <w:vAlign w:val="bottom"/>
            <w:gridSpan w:val="3"/>
          </w:tcPr>
          <w:p>
            <w:pPr>
              <w:ind w:left="480"/>
              <w:spacing w:after="0"/>
              <w:rPr>
                <w:sz w:val="20"/>
                <w:szCs w:val="20"/>
                <w:color w:val="auto"/>
              </w:rPr>
            </w:pPr>
            <w:r>
              <w:rPr>
                <w:rFonts w:ascii="Arial" w:cs="Arial" w:eastAsia="Arial" w:hAnsi="Arial"/>
                <w:sz w:val="18"/>
                <w:szCs w:val="18"/>
                <w:color w:val="auto"/>
              </w:rPr>
              <w:t>Goldman, Sachs &amp; Co.</w:t>
            </w:r>
          </w:p>
        </w:tc>
      </w:tr>
      <w:tr>
        <w:trPr>
          <w:trHeight w:val="216"/>
        </w:trPr>
        <w:tc>
          <w:tcPr>
            <w:tcW w:w="3980" w:type="dxa"/>
            <w:vAlign w:val="bottom"/>
          </w:tcPr>
          <w:p>
            <w:pPr>
              <w:spacing w:after="0"/>
              <w:rPr>
                <w:sz w:val="18"/>
                <w:szCs w:val="18"/>
                <w:color w:val="auto"/>
              </w:rPr>
            </w:pPr>
          </w:p>
        </w:tc>
        <w:tc>
          <w:tcPr>
            <w:tcW w:w="4160" w:type="dxa"/>
            <w:vAlign w:val="bottom"/>
            <w:gridSpan w:val="3"/>
          </w:tcPr>
          <w:p>
            <w:pPr>
              <w:ind w:left="480"/>
              <w:spacing w:after="0"/>
              <w:rPr>
                <w:sz w:val="20"/>
                <w:szCs w:val="20"/>
                <w:color w:val="auto"/>
              </w:rPr>
            </w:pPr>
            <w:r>
              <w:rPr>
                <w:rFonts w:ascii="Arial" w:cs="Arial" w:eastAsia="Arial" w:hAnsi="Arial"/>
                <w:sz w:val="18"/>
                <w:szCs w:val="18"/>
                <w:color w:val="auto"/>
                <w:w w:val="90"/>
              </w:rPr>
              <w:t>Merrill Lynch, Pierce, Fenner &amp; Smith Incorporated</w:t>
            </w:r>
          </w:p>
        </w:tc>
      </w:tr>
      <w:tr>
        <w:trPr>
          <w:trHeight w:val="216"/>
        </w:trPr>
        <w:tc>
          <w:tcPr>
            <w:tcW w:w="3980" w:type="dxa"/>
            <w:vAlign w:val="bottom"/>
          </w:tcPr>
          <w:p>
            <w:pPr>
              <w:spacing w:after="0"/>
              <w:rPr>
                <w:sz w:val="18"/>
                <w:szCs w:val="18"/>
                <w:color w:val="auto"/>
              </w:rPr>
            </w:pPr>
          </w:p>
        </w:tc>
        <w:tc>
          <w:tcPr>
            <w:tcW w:w="4160" w:type="dxa"/>
            <w:vAlign w:val="bottom"/>
            <w:gridSpan w:val="3"/>
          </w:tcPr>
          <w:p>
            <w:pPr>
              <w:ind w:left="480"/>
              <w:spacing w:after="0"/>
              <w:rPr>
                <w:sz w:val="20"/>
                <w:szCs w:val="20"/>
                <w:color w:val="auto"/>
              </w:rPr>
            </w:pPr>
            <w:r>
              <w:rPr>
                <w:rFonts w:ascii="Arial" w:cs="Arial" w:eastAsia="Arial" w:hAnsi="Arial"/>
                <w:sz w:val="18"/>
                <w:szCs w:val="18"/>
                <w:color w:val="auto"/>
              </w:rPr>
              <w:t>Academy Securities, Inc.</w:t>
            </w:r>
          </w:p>
        </w:tc>
      </w:tr>
      <w:tr>
        <w:trPr>
          <w:trHeight w:val="216"/>
        </w:trPr>
        <w:tc>
          <w:tcPr>
            <w:tcW w:w="3980" w:type="dxa"/>
            <w:vAlign w:val="bottom"/>
          </w:tcPr>
          <w:p>
            <w:pPr>
              <w:spacing w:after="0"/>
              <w:rPr>
                <w:sz w:val="18"/>
                <w:szCs w:val="18"/>
                <w:color w:val="auto"/>
              </w:rPr>
            </w:pPr>
          </w:p>
        </w:tc>
        <w:tc>
          <w:tcPr>
            <w:tcW w:w="4160" w:type="dxa"/>
            <w:vAlign w:val="bottom"/>
            <w:gridSpan w:val="3"/>
          </w:tcPr>
          <w:p>
            <w:pPr>
              <w:ind w:left="480"/>
              <w:spacing w:after="0"/>
              <w:rPr>
                <w:sz w:val="20"/>
                <w:szCs w:val="20"/>
                <w:color w:val="auto"/>
              </w:rPr>
            </w:pPr>
            <w:r>
              <w:rPr>
                <w:rFonts w:ascii="Arial" w:cs="Arial" w:eastAsia="Arial" w:hAnsi="Arial"/>
                <w:sz w:val="18"/>
                <w:szCs w:val="18"/>
                <w:color w:val="auto"/>
              </w:rPr>
              <w:t>C.L. King &amp; Associates, Inc.</w:t>
            </w:r>
          </w:p>
        </w:tc>
      </w:tr>
      <w:tr>
        <w:trPr>
          <w:trHeight w:val="216"/>
        </w:trPr>
        <w:tc>
          <w:tcPr>
            <w:tcW w:w="3980" w:type="dxa"/>
            <w:vAlign w:val="bottom"/>
          </w:tcPr>
          <w:p>
            <w:pPr>
              <w:spacing w:after="0"/>
              <w:rPr>
                <w:sz w:val="18"/>
                <w:szCs w:val="18"/>
                <w:color w:val="auto"/>
              </w:rPr>
            </w:pPr>
          </w:p>
        </w:tc>
        <w:tc>
          <w:tcPr>
            <w:tcW w:w="4160" w:type="dxa"/>
            <w:vAlign w:val="bottom"/>
            <w:gridSpan w:val="3"/>
          </w:tcPr>
          <w:p>
            <w:pPr>
              <w:ind w:left="480"/>
              <w:spacing w:after="0"/>
              <w:rPr>
                <w:sz w:val="20"/>
                <w:szCs w:val="20"/>
                <w:color w:val="auto"/>
              </w:rPr>
            </w:pPr>
            <w:r>
              <w:rPr>
                <w:rFonts w:ascii="Arial" w:cs="Arial" w:eastAsia="Arial" w:hAnsi="Arial"/>
                <w:sz w:val="18"/>
                <w:szCs w:val="18"/>
                <w:color w:val="auto"/>
              </w:rPr>
              <w:t>Drexel Hamilton, LLC</w:t>
            </w:r>
          </w:p>
        </w:tc>
      </w:tr>
      <w:tr>
        <w:trPr>
          <w:trHeight w:val="216"/>
        </w:trPr>
        <w:tc>
          <w:tcPr>
            <w:tcW w:w="3980" w:type="dxa"/>
            <w:vAlign w:val="bottom"/>
          </w:tcPr>
          <w:p>
            <w:pPr>
              <w:spacing w:after="0"/>
              <w:rPr>
                <w:sz w:val="18"/>
                <w:szCs w:val="18"/>
                <w:color w:val="auto"/>
              </w:rPr>
            </w:pPr>
          </w:p>
        </w:tc>
        <w:tc>
          <w:tcPr>
            <w:tcW w:w="4160" w:type="dxa"/>
            <w:vAlign w:val="bottom"/>
            <w:gridSpan w:val="3"/>
          </w:tcPr>
          <w:p>
            <w:pPr>
              <w:ind w:left="480"/>
              <w:spacing w:after="0"/>
              <w:rPr>
                <w:sz w:val="20"/>
                <w:szCs w:val="20"/>
                <w:color w:val="auto"/>
              </w:rPr>
            </w:pPr>
            <w:r>
              <w:rPr>
                <w:rFonts w:ascii="Arial" w:cs="Arial" w:eastAsia="Arial" w:hAnsi="Arial"/>
                <w:sz w:val="18"/>
                <w:szCs w:val="18"/>
                <w:color w:val="auto"/>
              </w:rPr>
              <w:t>Lebenthal &amp; Co., LLC</w:t>
            </w:r>
          </w:p>
        </w:tc>
      </w:tr>
      <w:tr>
        <w:trPr>
          <w:trHeight w:val="216"/>
        </w:trPr>
        <w:tc>
          <w:tcPr>
            <w:tcW w:w="3980" w:type="dxa"/>
            <w:vAlign w:val="bottom"/>
          </w:tcPr>
          <w:p>
            <w:pPr>
              <w:spacing w:after="0"/>
              <w:rPr>
                <w:sz w:val="18"/>
                <w:szCs w:val="18"/>
                <w:color w:val="auto"/>
              </w:rPr>
            </w:pPr>
          </w:p>
        </w:tc>
        <w:tc>
          <w:tcPr>
            <w:tcW w:w="4160" w:type="dxa"/>
            <w:vAlign w:val="bottom"/>
            <w:gridSpan w:val="3"/>
          </w:tcPr>
          <w:p>
            <w:pPr>
              <w:ind w:left="480"/>
              <w:spacing w:after="0"/>
              <w:rPr>
                <w:sz w:val="20"/>
                <w:szCs w:val="20"/>
                <w:color w:val="auto"/>
              </w:rPr>
            </w:pPr>
            <w:r>
              <w:rPr>
                <w:rFonts w:ascii="Arial" w:cs="Arial" w:eastAsia="Arial" w:hAnsi="Arial"/>
                <w:sz w:val="18"/>
                <w:szCs w:val="18"/>
                <w:color w:val="auto"/>
              </w:rPr>
              <w:t>Loop Capital Markets LLC</w:t>
            </w:r>
          </w:p>
        </w:tc>
      </w:tr>
      <w:tr>
        <w:trPr>
          <w:trHeight w:val="216"/>
        </w:trPr>
        <w:tc>
          <w:tcPr>
            <w:tcW w:w="3980" w:type="dxa"/>
            <w:vAlign w:val="bottom"/>
          </w:tcPr>
          <w:p>
            <w:pPr>
              <w:spacing w:after="0"/>
              <w:rPr>
                <w:sz w:val="18"/>
                <w:szCs w:val="18"/>
                <w:color w:val="auto"/>
              </w:rPr>
            </w:pPr>
          </w:p>
        </w:tc>
        <w:tc>
          <w:tcPr>
            <w:tcW w:w="4160" w:type="dxa"/>
            <w:vAlign w:val="bottom"/>
            <w:gridSpan w:val="3"/>
          </w:tcPr>
          <w:p>
            <w:pPr>
              <w:ind w:left="480"/>
              <w:spacing w:after="0"/>
              <w:rPr>
                <w:sz w:val="20"/>
                <w:szCs w:val="20"/>
                <w:color w:val="auto"/>
              </w:rPr>
            </w:pPr>
            <w:r>
              <w:rPr>
                <w:rFonts w:ascii="Arial" w:cs="Arial" w:eastAsia="Arial" w:hAnsi="Arial"/>
                <w:sz w:val="18"/>
                <w:szCs w:val="18"/>
                <w:color w:val="auto"/>
              </w:rPr>
              <w:t>Samuel A. Ramirez &amp; Company, Inc.</w:t>
            </w:r>
          </w:p>
        </w:tc>
      </w:tr>
      <w:tr>
        <w:trPr>
          <w:trHeight w:val="216"/>
        </w:trPr>
        <w:tc>
          <w:tcPr>
            <w:tcW w:w="3980" w:type="dxa"/>
            <w:vAlign w:val="bottom"/>
          </w:tcPr>
          <w:p>
            <w:pPr>
              <w:spacing w:after="0"/>
              <w:rPr>
                <w:sz w:val="18"/>
                <w:szCs w:val="18"/>
                <w:color w:val="auto"/>
              </w:rPr>
            </w:pPr>
          </w:p>
        </w:tc>
        <w:tc>
          <w:tcPr>
            <w:tcW w:w="4160" w:type="dxa"/>
            <w:vAlign w:val="bottom"/>
            <w:gridSpan w:val="3"/>
          </w:tcPr>
          <w:p>
            <w:pPr>
              <w:ind w:left="480"/>
              <w:spacing w:after="0"/>
              <w:rPr>
                <w:sz w:val="20"/>
                <w:szCs w:val="20"/>
                <w:color w:val="auto"/>
              </w:rPr>
            </w:pPr>
            <w:r>
              <w:rPr>
                <w:rFonts w:ascii="Arial" w:cs="Arial" w:eastAsia="Arial" w:hAnsi="Arial"/>
                <w:sz w:val="18"/>
                <w:szCs w:val="18"/>
                <w:color w:val="auto"/>
              </w:rPr>
              <w:t>The Williams Capital Group, L.P.</w:t>
            </w:r>
          </w:p>
        </w:tc>
      </w:tr>
      <w:tr>
        <w:trPr>
          <w:trHeight w:val="222"/>
        </w:trPr>
        <w:tc>
          <w:tcPr>
            <w:tcW w:w="3980" w:type="dxa"/>
            <w:vAlign w:val="bottom"/>
          </w:tcPr>
          <w:p>
            <w:pPr>
              <w:spacing w:after="0"/>
              <w:rPr>
                <w:sz w:val="19"/>
                <w:szCs w:val="19"/>
                <w:color w:val="auto"/>
              </w:rPr>
            </w:pPr>
          </w:p>
        </w:tc>
        <w:tc>
          <w:tcPr>
            <w:tcW w:w="4160" w:type="dxa"/>
            <w:vAlign w:val="bottom"/>
            <w:gridSpan w:val="3"/>
          </w:tcPr>
          <w:p>
            <w:pPr>
              <w:ind w:left="480"/>
              <w:spacing w:after="0"/>
              <w:rPr>
                <w:sz w:val="20"/>
                <w:szCs w:val="20"/>
                <w:color w:val="auto"/>
              </w:rPr>
            </w:pPr>
            <w:r>
              <w:rPr>
                <w:rFonts w:ascii="Arial" w:cs="Arial" w:eastAsia="Arial" w:hAnsi="Arial"/>
                <w:sz w:val="18"/>
                <w:szCs w:val="18"/>
                <w:color w:val="auto"/>
              </w:rPr>
              <w:t>Valdés &amp; Moreno, Inc.</w:t>
            </w:r>
          </w:p>
        </w:tc>
      </w:tr>
    </w:tbl>
    <w:p>
      <w:pPr>
        <w:ind w:left="480"/>
        <w:spacing w:after="0"/>
        <w:rPr>
          <w:sz w:val="20"/>
          <w:szCs w:val="20"/>
          <w:color w:val="auto"/>
        </w:rPr>
        <w:sectPr>
          <w:pgSz w:w="11900" w:h="16838" w:orient="portrait"/>
          <w:cols w:equalWidth="0" w:num="1">
            <w:col w:w="10219"/>
          </w:cols>
          <w:pgMar w:left="2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6" w:name="page37"/>
    <w:bookmarkEnd w:id="3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 has filed a registration statement including a prospectus and a prospectus supplement with the Securities and Exchange Commission (the “SEC”) for the offering to which this communication relates. Before you invest, you should read the prospectus and prospectus supplement in that registration statement and other documents the issuer has filed with the sec for more complete information about the issuer and the offering. You may obtain these documents for free by visiting EDGAR on the SEC Web site at www.sec.gov. Alternatively, copies may be obtained from Citigroup Global Markets Inc., c/o Broadridge Financial Solutions, 1155 Long Island Avenue, Edgewood, NY 11717 (telephone: (800) 831-9146); J.P. Morgan Securities LLC, c/o Broadridge Financial Solutions, 1155 Long Island Avenue, Edgewood, NY 11717 (telephone: (866) 803-9204); or Morgan Stanley &amp; Co. LLC, 180 Varick Street, 2nd Floor, New York, NY 10014, Attn: Prospectus Department (telephone: (866) 718-1649, or email: prospectus@morganstanley.com).</w:t>
      </w:r>
    </w:p>
    <w:p>
      <w:pPr>
        <w:spacing w:after="0" w:line="118"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This communication shall not constitute an offer to sell or the solicitation of an offer to buy nor shall there be any sales of these securities in any jurisdiction in which such offer, solicitation or sale would be unlawful prior to registration or qualification under the securities laws of such jurisdiction.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DISCLAIMERS OR OTHER NOTICES THAT MAY APPEAR BELOW OR ELSEWHERE WITHIN THE EMAIL ARE NOT APPLICABLE TO THIS COMMUNICATION AND SHOULD BE DISREGARDED. SUCH DISCLAIMERS OR OTHER NOTICES WERE AUTOMATICALLY GENERATED AS A RESULT OF THIS COMMUNICATION BEING SENT VIA BLOOMBERG OR ANOTHER EMAIL SYSTEM.</w:t>
      </w:r>
    </w:p>
    <w:p>
      <w:pPr>
        <w:sectPr>
          <w:pgSz w:w="11900" w:h="16838" w:orient="portrait"/>
          <w:cols w:equalWidth="0" w:num="1">
            <w:col w:w="11300"/>
          </w:cols>
          <w:pgMar w:left="240" w:top="280" w:right="359" w:bottom="1440" w:gutter="0" w:footer="0" w:header="0"/>
        </w:sectPr>
      </w:pPr>
    </w:p>
    <w:bookmarkStart w:id="37" w:name="page38"/>
    <w:bookmarkEnd w:id="37"/>
    <w:p>
      <w:pPr>
        <w:jc w:val="center"/>
        <w:ind w:right="-12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rFonts w:ascii="Arial" w:cs="Arial" w:eastAsia="Arial" w:hAnsi="Arial"/>
          <w:sz w:val="14"/>
          <w:szCs w:val="14"/>
          <w:color w:val="auto"/>
        </w:rPr>
        <w:t>CHEDULE</w:t>
      </w:r>
      <w:r>
        <w:rPr>
          <w:rFonts w:ascii="Arial" w:cs="Arial" w:eastAsia="Arial" w:hAnsi="Arial"/>
          <w:sz w:val="18"/>
          <w:szCs w:val="18"/>
          <w:color w:val="auto"/>
        </w:rPr>
        <w:t xml:space="preserve"> II</w:t>
      </w:r>
    </w:p>
    <w:p>
      <w:pPr>
        <w:spacing w:after="0" w:line="171" w:lineRule="exact"/>
        <w:rPr>
          <w:sz w:val="20"/>
          <w:szCs w:val="20"/>
          <w:color w:val="auto"/>
        </w:rPr>
      </w:pPr>
    </w:p>
    <w:p>
      <w:pPr>
        <w:jc w:val="center"/>
        <w:ind w:right="-1212"/>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ERMITTED</w:t>
      </w:r>
      <w:r>
        <w:rPr>
          <w:rFonts w:ascii="Arial" w:cs="Arial" w:eastAsia="Arial" w:hAnsi="Arial"/>
          <w:sz w:val="18"/>
          <w:szCs w:val="18"/>
          <w:u w:val="single" w:color="auto"/>
          <w:color w:val="auto"/>
        </w:rPr>
        <w:t xml:space="preserve"> F</w:t>
      </w:r>
      <w:r>
        <w:rPr>
          <w:rFonts w:ascii="Arial" w:cs="Arial" w:eastAsia="Arial" w:hAnsi="Arial"/>
          <w:sz w:val="14"/>
          <w:szCs w:val="14"/>
          <w:u w:val="single" w:color="auto"/>
          <w:color w:val="auto"/>
        </w:rPr>
        <w:t>REE</w:t>
      </w:r>
      <w:r>
        <w:rPr>
          <w:rFonts w:ascii="Arial" w:cs="Arial" w:eastAsia="Arial" w:hAnsi="Arial"/>
          <w:sz w:val="18"/>
          <w:szCs w:val="18"/>
          <w:u w:val="single" w:color="auto"/>
          <w:color w:val="auto"/>
        </w:rPr>
        <w:t xml:space="preserve"> W</w:t>
      </w:r>
      <w:r>
        <w:rPr>
          <w:rFonts w:ascii="Arial" w:cs="Arial" w:eastAsia="Arial" w:hAnsi="Arial"/>
          <w:sz w:val="14"/>
          <w:szCs w:val="14"/>
          <w:u w:val="single" w:color="auto"/>
          <w:color w:val="auto"/>
        </w:rPr>
        <w:t>RITING</w:t>
      </w:r>
      <w:r>
        <w:rPr>
          <w:rFonts w:ascii="Arial" w:cs="Arial" w:eastAsia="Arial" w:hAnsi="Arial"/>
          <w:sz w:val="18"/>
          <w:szCs w:val="18"/>
          <w:u w:val="single" w:color="auto"/>
          <w:color w:val="auto"/>
        </w:rPr>
        <w:t xml:space="preserve"> P</w:t>
      </w:r>
      <w:r>
        <w:rPr>
          <w:rFonts w:ascii="Arial" w:cs="Arial" w:eastAsia="Arial" w:hAnsi="Arial"/>
          <w:sz w:val="14"/>
          <w:szCs w:val="14"/>
          <w:u w:val="single" w:color="auto"/>
          <w:color w:val="auto"/>
        </w:rPr>
        <w:t>ROSPECTUSES</w:t>
      </w:r>
    </w:p>
    <w:p>
      <w:pPr>
        <w:spacing w:after="0" w:line="212" w:lineRule="exact"/>
        <w:rPr>
          <w:sz w:val="20"/>
          <w:szCs w:val="20"/>
          <w:color w:val="auto"/>
        </w:rPr>
      </w:pPr>
    </w:p>
    <w:p>
      <w:pPr>
        <w:ind w:left="452" w:hanging="452"/>
        <w:spacing w:after="0"/>
        <w:tabs>
          <w:tab w:leader="none" w:pos="452"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Free Writing Prospectus filed by the Company with the Commission pursuant to Rule 433 under the Securities Act on June 5, 2013.</w:t>
      </w:r>
    </w:p>
    <w:p>
      <w:pPr>
        <w:spacing w:after="0" w:line="124" w:lineRule="exact"/>
        <w:rPr>
          <w:rFonts w:ascii="Arial" w:cs="Arial" w:eastAsia="Arial" w:hAnsi="Arial"/>
          <w:sz w:val="15"/>
          <w:szCs w:val="15"/>
          <w:color w:val="auto"/>
        </w:rPr>
      </w:pPr>
    </w:p>
    <w:p>
      <w:pPr>
        <w:ind w:left="452" w:hanging="452"/>
        <w:spacing w:after="0"/>
        <w:tabs>
          <w:tab w:leader="none" w:pos="452"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Free Writing Prospectus filed by the Company with the Commission pursuant to Rule 433 under the Securities Act on June 6, 2013.</w:t>
      </w:r>
    </w:p>
    <w:p>
      <w:pPr>
        <w:sectPr>
          <w:pgSz w:w="11900" w:h="16838" w:orient="portrait"/>
          <w:cols w:equalWidth="0" w:num="1">
            <w:col w:w="10211"/>
          </w:cols>
          <w:pgMar w:left="248" w:top="280" w:right="1440" w:bottom="1440" w:gutter="0" w:footer="0" w:header="0"/>
        </w:sectPr>
      </w:pPr>
    </w:p>
    <w:bookmarkStart w:id="38" w:name="page39"/>
    <w:bookmarkEnd w:id="38"/>
    <w:tbl>
      <w:tblPr>
        <w:tblLayout w:type="fixed"/>
        <w:tblInd w:w="64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6040" w:type="dxa"/>
            <w:vAlign w:val="bottom"/>
          </w:tcPr>
          <w:p>
            <w:pPr>
              <w:jc w:val="center"/>
              <w:ind w:left="7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CHEDULE</w:t>
            </w:r>
            <w:r>
              <w:rPr>
                <w:rFonts w:ascii="Arial" w:cs="Arial" w:eastAsia="Arial" w:hAnsi="Arial"/>
                <w:sz w:val="18"/>
                <w:szCs w:val="18"/>
                <w:color w:val="auto"/>
              </w:rPr>
              <w:t xml:space="preserve"> III</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6040" w:type="dxa"/>
            <w:vAlign w:val="bottom"/>
          </w:tcPr>
          <w:p>
            <w:pPr>
              <w:jc w:val="center"/>
              <w:ind w:left="72"/>
              <w:spacing w:after="0"/>
              <w:rPr>
                <w:sz w:val="20"/>
                <w:szCs w:val="20"/>
                <w:color w:val="auto"/>
              </w:rPr>
            </w:pPr>
            <w:r>
              <w:rPr>
                <w:rFonts w:ascii="Arial" w:cs="Arial" w:eastAsia="Arial" w:hAnsi="Arial"/>
                <w:sz w:val="18"/>
                <w:szCs w:val="18"/>
                <w:color w:val="auto"/>
                <w:w w:val="98"/>
              </w:rPr>
              <w:t>U</w:t>
            </w:r>
            <w:r>
              <w:rPr>
                <w:rFonts w:ascii="Arial" w:cs="Arial" w:eastAsia="Arial" w:hAnsi="Arial"/>
                <w:sz w:val="14"/>
                <w:szCs w:val="14"/>
                <w:color w:val="auto"/>
                <w:w w:val="98"/>
              </w:rPr>
              <w:t>NDERWRITERS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6040" w:type="dxa"/>
            <w:vAlign w:val="bottom"/>
            <w:vMerge w:val="restart"/>
          </w:tcPr>
          <w:p>
            <w:pPr>
              <w:spacing w:after="0"/>
              <w:rPr>
                <w:sz w:val="24"/>
                <w:szCs w:val="2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6040" w:type="dxa"/>
            <w:vAlign w:val="bottom"/>
            <w:vMerge w:val="continue"/>
          </w:tcPr>
          <w:p>
            <w:pPr>
              <w:spacing w:after="0"/>
              <w:rPr>
                <w:sz w:val="14"/>
                <w:szCs w:val="14"/>
                <w:color w:val="auto"/>
              </w:rPr>
            </w:pPr>
          </w:p>
        </w:tc>
        <w:tc>
          <w:tcPr>
            <w:tcW w:w="9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203"/>
        </w:trPr>
        <w:tc>
          <w:tcPr>
            <w:tcW w:w="6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12,500,000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12,500,000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c>
          <w:tcPr>
            <w:tcW w:w="840" w:type="dxa"/>
            <w:vAlign w:val="bottom"/>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 Incorporated</w:t>
            </w:r>
          </w:p>
        </w:tc>
        <w:tc>
          <w:tcPr>
            <w:tcW w:w="840" w:type="dxa"/>
            <w:vAlign w:val="bottom"/>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Academy Securities, Inc.</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C.L. King &amp; Associates, Inc.</w:t>
            </w:r>
          </w:p>
        </w:tc>
        <w:tc>
          <w:tcPr>
            <w:tcW w:w="840" w:type="dxa"/>
            <w:vAlign w:val="bottom"/>
          </w:tcPr>
          <w:p>
            <w:pPr>
              <w:jc w:val="right"/>
              <w:spacing w:after="0"/>
              <w:rPr>
                <w:sz w:val="20"/>
                <w:szCs w:val="20"/>
                <w:color w:val="auto"/>
              </w:rPr>
            </w:pPr>
            <w:r>
              <w:rPr>
                <w:rFonts w:ascii="Arial" w:cs="Arial" w:eastAsia="Arial" w:hAnsi="Arial"/>
                <w:sz w:val="18"/>
                <w:szCs w:val="18"/>
                <w:color w:val="auto"/>
              </w:rPr>
              <w:t>707,143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Drexel Hamilton, LLC</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Lebenthal &amp; Co., LLC</w:t>
            </w:r>
          </w:p>
        </w:tc>
        <w:tc>
          <w:tcPr>
            <w:tcW w:w="840" w:type="dxa"/>
            <w:vAlign w:val="bottom"/>
          </w:tcPr>
          <w:p>
            <w:pPr>
              <w:jc w:val="right"/>
              <w:spacing w:after="0"/>
              <w:rPr>
                <w:sz w:val="20"/>
                <w:szCs w:val="20"/>
                <w:color w:val="auto"/>
              </w:rPr>
            </w:pPr>
            <w:r>
              <w:rPr>
                <w:rFonts w:ascii="Arial" w:cs="Arial" w:eastAsia="Arial" w:hAnsi="Arial"/>
                <w:sz w:val="18"/>
                <w:szCs w:val="18"/>
                <w:color w:val="auto"/>
              </w:rPr>
              <w:t>707,143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Loop Capital Markets LLC</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Samuel A. Ramirez &amp; Company, Inc.</w:t>
            </w:r>
          </w:p>
        </w:tc>
        <w:tc>
          <w:tcPr>
            <w:tcW w:w="840" w:type="dxa"/>
            <w:vAlign w:val="bottom"/>
          </w:tcPr>
          <w:p>
            <w:pPr>
              <w:jc w:val="right"/>
              <w:spacing w:after="0"/>
              <w:rPr>
                <w:sz w:val="20"/>
                <w:szCs w:val="20"/>
                <w:color w:val="auto"/>
              </w:rPr>
            </w:pPr>
            <w:r>
              <w:rPr>
                <w:rFonts w:ascii="Arial" w:cs="Arial" w:eastAsia="Arial" w:hAnsi="Arial"/>
                <w:sz w:val="18"/>
                <w:szCs w:val="18"/>
                <w:color w:val="auto"/>
              </w:rPr>
              <w:t>707,143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Valdés &amp; Moreno, Inc.</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9019"/>
          </w:cols>
          <w:pgMar w:left="1440" w:top="28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9" w:name="page40"/>
    <w:bookmarkEnd w:id="3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rFonts w:ascii="Arial" w:cs="Arial" w:eastAsia="Arial" w:hAnsi="Arial"/>
          <w:sz w:val="14"/>
          <w:szCs w:val="14"/>
          <w:color w:val="auto"/>
        </w:rPr>
        <w:t>CHEDULE</w:t>
      </w:r>
      <w:r>
        <w:rPr>
          <w:rFonts w:ascii="Arial" w:cs="Arial" w:eastAsia="Arial" w:hAnsi="Arial"/>
          <w:sz w:val="18"/>
          <w:szCs w:val="18"/>
          <w:color w:val="auto"/>
        </w:rPr>
        <w:t xml:space="preserve"> IV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xml:space="preserve"> S</w:t>
      </w:r>
      <w:r>
        <w:rPr>
          <w:rFonts w:ascii="Arial" w:cs="Arial" w:eastAsia="Arial" w:hAnsi="Arial"/>
          <w:sz w:val="14"/>
          <w:szCs w:val="14"/>
          <w:color w:val="auto"/>
        </w:rPr>
        <w:t>HAREHOLDERS</w:t>
      </w:r>
    </w:p>
    <w:p>
      <w:pPr>
        <w:spacing w:after="0" w:line="214"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The United States Department of the Treasury</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30,000,000</w:t>
            </w:r>
          </w:p>
        </w:tc>
        <w:tc>
          <w:tcPr>
            <w:tcW w:w="100" w:type="dxa"/>
            <w:vAlign w:val="bottom"/>
            <w:shd w:val="clear" w:color="auto" w:fill="CCEEFF"/>
          </w:tcPr>
          <w:p>
            <w:pPr>
              <w:spacing w:after="0"/>
              <w:rPr>
                <w:sz w:val="18"/>
                <w:szCs w:val="18"/>
                <w:color w:val="auto"/>
              </w:rPr>
            </w:pPr>
          </w:p>
        </w:tc>
      </w:tr>
      <w:tr>
        <w:trPr>
          <w:trHeight w:val="208"/>
        </w:trPr>
        <w:tc>
          <w:tcPr>
            <w:tcW w:w="6820" w:type="dxa"/>
            <w:vAlign w:val="bottom"/>
          </w:tcPr>
          <w:p>
            <w:pPr>
              <w:spacing w:after="0"/>
              <w:rPr>
                <w:sz w:val="20"/>
                <w:szCs w:val="20"/>
                <w:color w:val="auto"/>
              </w:rPr>
            </w:pPr>
            <w:r>
              <w:rPr>
                <w:rFonts w:ascii="Arial" w:cs="Arial" w:eastAsia="Arial" w:hAnsi="Arial"/>
                <w:sz w:val="18"/>
                <w:szCs w:val="18"/>
                <w:color w:val="auto"/>
                <w:w w:val="98"/>
              </w:rPr>
              <w:t>UAW Retiree Medical Benefits Trust, as advised by its fiduciary and investment advisor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6820" w:type="dxa"/>
            <w:vAlign w:val="bottom"/>
          </w:tcPr>
          <w:p>
            <w:pPr>
              <w:ind w:left="220"/>
              <w:spacing w:after="0"/>
              <w:rPr>
                <w:sz w:val="20"/>
                <w:szCs w:val="20"/>
                <w:color w:val="auto"/>
              </w:rPr>
            </w:pPr>
            <w:r>
              <w:rPr>
                <w:rFonts w:ascii="Arial" w:cs="Arial" w:eastAsia="Arial" w:hAnsi="Arial"/>
                <w:sz w:val="18"/>
                <w:szCs w:val="18"/>
                <w:color w:val="auto"/>
              </w:rPr>
              <w:t>Brock Fiduciary Services LLC</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20,000,000</w:t>
            </w:r>
          </w:p>
        </w:tc>
        <w:tc>
          <w:tcPr>
            <w:tcW w:w="100" w:type="dxa"/>
            <w:vAlign w:val="bottom"/>
          </w:tcPr>
          <w:p>
            <w:pPr>
              <w:spacing w:after="0"/>
              <w:rPr>
                <w:sz w:val="20"/>
                <w:szCs w:val="20"/>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50,000,000</w:t>
            </w:r>
          </w:p>
        </w:tc>
        <w:tc>
          <w:tcPr>
            <w:tcW w:w="100" w:type="dxa"/>
            <w:vAlign w:val="bottom"/>
            <w:shd w:val="clear" w:color="auto" w:fill="CCEEFF"/>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9019"/>
          </w:cols>
          <w:pgMar w:left="1440" w:top="280" w:right="1440" w:bottom="1440" w:gutter="0" w:footer="0" w:header="0"/>
        </w:sectPr>
      </w:pPr>
    </w:p>
    <w:bookmarkStart w:id="40" w:name="page41"/>
    <w:bookmarkEnd w:id="40"/>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rFonts w:ascii="Arial" w:cs="Arial" w:eastAsia="Arial" w:hAnsi="Arial"/>
          <w:sz w:val="14"/>
          <w:szCs w:val="14"/>
          <w:color w:val="auto"/>
        </w:rPr>
        <w:t>CHEDULE</w:t>
      </w:r>
      <w:r>
        <w:rPr>
          <w:rFonts w:ascii="Arial" w:cs="Arial" w:eastAsia="Arial" w:hAnsi="Arial"/>
          <w:sz w:val="18"/>
          <w:szCs w:val="18"/>
          <w:color w:val="auto"/>
        </w:rPr>
        <w:t xml:space="preserve"> V</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L</w:t>
      </w:r>
      <w:r>
        <w:rPr>
          <w:rFonts w:ascii="Arial" w:cs="Arial" w:eastAsia="Arial" w:hAnsi="Arial"/>
          <w:sz w:val="13"/>
          <w:szCs w:val="13"/>
          <w:color w:val="auto"/>
        </w:rPr>
        <w:t>IST OF</w:t>
      </w:r>
      <w:r>
        <w:rPr>
          <w:rFonts w:ascii="Arial" w:cs="Arial" w:eastAsia="Arial" w:hAnsi="Arial"/>
          <w:sz w:val="16"/>
          <w:szCs w:val="16"/>
          <w:color w:val="auto"/>
        </w:rPr>
        <w:t xml:space="preserve"> P</w:t>
      </w:r>
      <w:r>
        <w:rPr>
          <w:rFonts w:ascii="Arial" w:cs="Arial" w:eastAsia="Arial" w:hAnsi="Arial"/>
          <w:sz w:val="13"/>
          <w:szCs w:val="13"/>
          <w:color w:val="auto"/>
        </w:rPr>
        <w:t>RINCIPAL</w:t>
      </w:r>
      <w:r>
        <w:rPr>
          <w:rFonts w:ascii="Arial" w:cs="Arial" w:eastAsia="Arial" w:hAnsi="Arial"/>
          <w:sz w:val="16"/>
          <w:szCs w:val="16"/>
          <w:color w:val="auto"/>
        </w:rPr>
        <w:t xml:space="preserve"> S</w:t>
      </w:r>
      <w:r>
        <w:rPr>
          <w:rFonts w:ascii="Arial" w:cs="Arial" w:eastAsia="Arial" w:hAnsi="Arial"/>
          <w:sz w:val="13"/>
          <w:szCs w:val="13"/>
          <w:color w:val="auto"/>
        </w:rPr>
        <w:t>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OnStar,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of Canada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Adam Opel AG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de Mexico, S. de R.L.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Espana, S.L.U.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do Brasil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Korea Company</w:t>
      </w:r>
    </w:p>
    <w:p>
      <w:pPr>
        <w:sectPr>
          <w:pgSz w:w="11900" w:h="16838" w:orient="portrait"/>
          <w:cols w:equalWidth="0" w:num="1">
            <w:col w:w="10219"/>
          </w:cols>
          <w:pgMar w:left="240" w:top="280" w:right="1440"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A-1</w:t>
      </w:r>
    </w:p>
    <w:p>
      <w:pPr>
        <w:spacing w:after="0" w:line="171"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OPINION OF AN ATTORNEY ON THE LEGAL STAFF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 several Underwriters named in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Underwriting Agreement referred to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10179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DEPARTMENT OF THE TREASURY</w:t>
      </w:r>
    </w:p>
    <w:p>
      <w:pPr>
        <w:spacing w:after="0" w:line="15" w:lineRule="exact"/>
        <w:rPr>
          <w:sz w:val="20"/>
          <w:szCs w:val="20"/>
          <w:color w:val="auto"/>
        </w:rPr>
      </w:pPr>
    </w:p>
    <w:p>
      <w:pPr>
        <w:ind w:right="5280"/>
        <w:spacing w:after="0" w:line="323" w:lineRule="auto"/>
        <w:rPr>
          <w:sz w:val="20"/>
          <w:szCs w:val="20"/>
          <w:color w:val="auto"/>
        </w:rPr>
      </w:pPr>
      <w:r>
        <w:rPr>
          <w:rFonts w:ascii="Arial" w:cs="Arial" w:eastAsia="Arial" w:hAnsi="Arial"/>
          <w:sz w:val="16"/>
          <w:szCs w:val="16"/>
          <w:color w:val="auto"/>
        </w:rPr>
        <w:t>BROCK FIDUCIARY, IN ITS CAPACITY AS INDEPENDENT FIDUCIARY AND INVESTMENT ADVISOR TO THE UAW RETIREE MEDICAL BENEFITS TRUST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Selling Shareholders in the Offering</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referred to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 United States Department of the Treasury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1500 Pennsylvania Avenue,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20220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 Brock Fiduciary, in its capacity as independent fiduciary and investment advisor to the UAW</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Retiree Medical Benefits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622 Third Avenue, Floor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ectPr>
          <w:pgSz w:w="11900" w:h="16838" w:orient="portrait"/>
          <w:cols w:equalWidth="0" w:num="1">
            <w:col w:w="11420"/>
          </w:cols>
          <w:pgMar w:left="240" w:top="27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Ladies and Gentlemen: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 am issuing this letter in my capacity as an Attorney on the Legal Staff of General Motors Company (the “Company”) in response to the requirements of Article V, paragraph (d) of the Common Stock Offering Underwriting Agreement dated June 6, 2013 (the “Underwriting Agreement”) by and among the Company, Citigroup Global Markets Inc., J.P. Morgan Securities LLC and Morgan Stanley &amp; Co. LLC (the “Managers”), as representatives of the several underwriters named in the Underwriting Agreement, and the Selling Shareholders named in Schedule IV to the Underwriting Agreement. The Underwriting Agreement relates to the offering (the “Offering”) of $0.01 par value common stock of the Company (the “Shares”). Every term which is defined or given a special meaning in the Underwriting Agreement and which is not given a different meaning in this letter has the same meaning whenever it is used in this letter as the meaning it is given in the Underwriting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preparation of this letter, I have among other things read:</w:t>
      </w:r>
    </w:p>
    <w:p>
      <w:pPr>
        <w:spacing w:after="0" w:line="90" w:lineRule="exact"/>
        <w:rPr>
          <w:sz w:val="20"/>
          <w:szCs w:val="20"/>
          <w:color w:val="auto"/>
        </w:rPr>
      </w:pPr>
    </w:p>
    <w:p>
      <w:pPr>
        <w:ind w:left="900" w:hanging="446"/>
        <w:spacing w:after="0" w:line="298"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Registration Statement on Form S-3 (Registration No. 333-188153), filed by the Company with the Securities and Exchange Commission (the “Commission”) under the Securities Act of 1933, as amended (the “Securities Act”) (which registration statement, at the date of the Underwriting Agreement, including the documents incorporated by reference therein and the information deemed to be part of the registration statement at the time of effectiveness pursuant to Rule 430A or Rule 430B under the Securities Act, is herein called the “Registration Statement”);</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Prospectus (including the documents incorporated by reference therein) of the Company dated April 26, 2013 (the “Basic Prospectus”);</w:t>
      </w:r>
    </w:p>
    <w:p>
      <w:pPr>
        <w:spacing w:after="0" w:line="113" w:lineRule="exact"/>
        <w:rPr>
          <w:rFonts w:ascii="Arial" w:cs="Arial" w:eastAsia="Arial" w:hAnsi="Arial"/>
          <w:sz w:val="16"/>
          <w:szCs w:val="16"/>
          <w:color w:val="auto"/>
        </w:rPr>
      </w:pPr>
    </w:p>
    <w:p>
      <w:pPr>
        <w:ind w:left="900" w:right="6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preliminary prospectus supplement of the Company dated June 6, 2013 relating to the Offering (including the Basic Prospectus that it supplements and the document incorporated by reference therein), together with the Permitted Free Writing Prospectuses listed on Schedule II to the Underwriting Agreement (collectively, the “Disclosure Package”);</w:t>
      </w:r>
    </w:p>
    <w:p>
      <w:pPr>
        <w:spacing w:after="0" w:line="59" w:lineRule="exact"/>
        <w:rPr>
          <w:rFonts w:ascii="Arial" w:cs="Arial" w:eastAsia="Arial" w:hAnsi="Arial"/>
          <w:sz w:val="18"/>
          <w:szCs w:val="18"/>
          <w:color w:val="auto"/>
        </w:rPr>
      </w:pPr>
    </w:p>
    <w:p>
      <w:pPr>
        <w:ind w:left="900" w:right="440" w:hanging="446"/>
        <w:spacing w:after="0" w:line="306"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Basic Prospectus, as supplemented by the prospectus supplement of the Company dated June 6, 2013 relating to the Offering (including the documents incorporated by reference therein), in the form first used to confirm sales of the Shares (or in the form first made available by the Company to the Underwriters to meet requests of purchasers of the Shares under Rule 173 under the Securities Act) (the “Prospectus”);</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executed copy of the Underwriting Agreement;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specimen of the Shares (if any);</w:t>
      </w:r>
    </w:p>
    <w:p>
      <w:pPr>
        <w:sectPr>
          <w:pgSz w:w="11900" w:h="16838" w:orient="portrait"/>
          <w:cols w:equalWidth="0" w:num="1">
            <w:col w:w="11400"/>
          </w:cols>
          <w:pgMar w:left="240" w:top="280" w:right="259" w:bottom="1440" w:gutter="0" w:footer="0" w:header="0"/>
        </w:sectPr>
      </w:pPr>
    </w:p>
    <w:bookmarkStart w:id="43" w:name="page44"/>
    <w:bookmarkEnd w:id="43"/>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copy of the resolutions of the Board of Directors of the Company (the “Board”) adopted on January 15, 2013;</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copy of the Restated Certificate of Incorporation of the Company, certified as of a recent date by the Secretary of State of the State of Delaware;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copy of the Amended and Restated By-Laws of the Company;</w:t>
      </w:r>
    </w:p>
    <w:p>
      <w:pPr>
        <w:spacing w:after="0" w:line="90" w:lineRule="exact"/>
        <w:rPr>
          <w:rFonts w:ascii="Arial" w:cs="Arial" w:eastAsia="Arial" w:hAnsi="Arial"/>
          <w:sz w:val="18"/>
          <w:szCs w:val="18"/>
          <w:color w:val="auto"/>
        </w:rPr>
      </w:pPr>
    </w:p>
    <w:p>
      <w:pPr>
        <w:ind w:left="900" w:right="160" w:hanging="446"/>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copies of the documents filed pursuant to the Securities Exchange Act of 1934, as amended (the “Exchange Act”), and incorporated by reference in the documents referred to in paragraphs (a) through (d), inclusive, above (the “Incorporated Documents”); and</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copies of all certificates and other documents delivered today in connection with the consummation of the Offering.</w:t>
      </w:r>
    </w:p>
    <w:p>
      <w:pPr>
        <w:spacing w:after="0" w:line="171" w:lineRule="exact"/>
        <w:rPr>
          <w:sz w:val="20"/>
          <w:szCs w:val="20"/>
          <w:color w:val="auto"/>
        </w:rPr>
      </w:pPr>
    </w:p>
    <w:p>
      <w:pPr>
        <w:jc w:val="both"/>
        <w:ind w:right="320" w:firstLine="456"/>
        <w:spacing w:after="0" w:line="294" w:lineRule="auto"/>
        <w:rPr>
          <w:sz w:val="20"/>
          <w:szCs w:val="20"/>
          <w:color w:val="auto"/>
        </w:rPr>
      </w:pPr>
      <w:r>
        <w:rPr>
          <w:rFonts w:ascii="Arial" w:cs="Arial" w:eastAsia="Arial" w:hAnsi="Arial"/>
          <w:sz w:val="16"/>
          <w:szCs w:val="16"/>
          <w:color w:val="auto"/>
        </w:rPr>
        <w:t>In addition, I have examined and relied on the originals or copies certified or otherwise identified to my satisfaction of all such corporate records of the Company and such other instruments and certificates of public officials, officers and representatives of the Company and such other persons, and I have made such investigations of law as I have deemed appropriate as a basis for the opinions expressed below. I have assumed that there has been no relevant change or development between the dates as of which the information cited in the preceding sentence was given and the date of this letter and that the information upon which I have relied is accurate and does not omit disclosures necessary to prevent such information from being misleading.</w:t>
      </w:r>
    </w:p>
    <w:p>
      <w:pPr>
        <w:spacing w:after="0" w:line="1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 have assumed the conformity of the documents filed with the Commission via the Electronic Data Gathering, Analysis and Retrieval System (“EDGAR”), except for required EDGAR formatting changes, to physical copies of the documents delivered to the Underwriters and submitted for my examination.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assumptions, qualifications and limitations which are identified in this letter, I advise you that:</w:t>
      </w:r>
    </w:p>
    <w:p>
      <w:pPr>
        <w:spacing w:after="0" w:line="90" w:lineRule="exact"/>
        <w:rPr>
          <w:sz w:val="20"/>
          <w:szCs w:val="20"/>
          <w:color w:val="auto"/>
        </w:rPr>
      </w:pPr>
    </w:p>
    <w:p>
      <w:pPr>
        <w:ind w:left="460" w:right="40" w:firstLine="443"/>
        <w:spacing w:after="0" w:line="256" w:lineRule="auto"/>
        <w:tabs>
          <w:tab w:leader="none" w:pos="110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is validly existing as a corporation and in good standing under the laws of the State of Delaware and is duly qualified to transact business and is in good standing in each jurisdiction in which the conduct of its business or the ownership of its property requires such qualification, except where the failure to be so qualified or be in good standing, individually or in the aggregate, would not have a material adverse effect on the Company and its subsidiaries taken as a whole;</w:t>
      </w:r>
    </w:p>
    <w:p>
      <w:pPr>
        <w:spacing w:after="0" w:line="62" w:lineRule="exact"/>
        <w:rPr>
          <w:rFonts w:ascii="Arial" w:cs="Arial" w:eastAsia="Arial" w:hAnsi="Arial"/>
          <w:sz w:val="18"/>
          <w:szCs w:val="18"/>
          <w:color w:val="auto"/>
        </w:rPr>
      </w:pPr>
    </w:p>
    <w:p>
      <w:pPr>
        <w:ind w:left="460" w:right="20" w:firstLine="443"/>
        <w:spacing w:after="0" w:line="268" w:lineRule="auto"/>
        <w:tabs>
          <w:tab w:leader="none" w:pos="115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authorized, issued and outstanding capital stock of the Company conforms in all material respects as to legal matters to the description thereof contained in the Disclosure Package and the Prospectus;</w:t>
      </w:r>
    </w:p>
    <w:p>
      <w:pPr>
        <w:sectPr>
          <w:pgSz w:w="11900" w:h="16838" w:orient="portrait"/>
          <w:cols w:equalWidth="0" w:num="1">
            <w:col w:w="11420"/>
          </w:cols>
          <w:pgMar w:left="240" w:top="280" w:right="239" w:bottom="1440" w:gutter="0" w:footer="0" w:header="0"/>
        </w:sectPr>
      </w:pPr>
    </w:p>
    <w:bookmarkStart w:id="44" w:name="page45"/>
    <w:bookmarkEnd w:id="44"/>
    <w:p>
      <w:pPr>
        <w:ind w:left="460" w:right="40" w:firstLine="443"/>
        <w:spacing w:after="0" w:line="268" w:lineRule="auto"/>
        <w:tabs>
          <w:tab w:leader="none" w:pos="1205"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Shares have been duly authorized, are validly issued, fully paid and non-assessable and conform in all material respects as to legal matters to the description of the Shares contained in the Prospectus, as amended or supplemented;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Underwriting Agreement has been duly authorized, executed and delivered by the Company;</w:t>
      </w:r>
    </w:p>
    <w:p>
      <w:pPr>
        <w:spacing w:after="0" w:line="90" w:lineRule="exact"/>
        <w:rPr>
          <w:rFonts w:ascii="Arial" w:cs="Arial" w:eastAsia="Arial" w:hAnsi="Arial"/>
          <w:sz w:val="18"/>
          <w:szCs w:val="18"/>
          <w:color w:val="auto"/>
        </w:rPr>
      </w:pPr>
    </w:p>
    <w:p>
      <w:pPr>
        <w:ind w:left="460" w:right="80" w:firstLine="443"/>
        <w:spacing w:after="0" w:line="256" w:lineRule="auto"/>
        <w:tabs>
          <w:tab w:leader="none" w:pos="1147"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authorization, consent or approval of, or registration or filing with, any governmental or public body or regulatory authority is required on the part of the Company for the sale of the Shares by the Selling Shareholders in accordance with the Underwriting Agreement, other than the registration of the Shares under the Securities Act and the Exchange Act, the listing of the Shares and compliance with any laws of any foreign jurisdiction or the state securities or “blue sky” laws of various jurisdictions;</w:t>
      </w:r>
    </w:p>
    <w:p>
      <w:pPr>
        <w:spacing w:after="0" w:line="62" w:lineRule="exact"/>
        <w:rPr>
          <w:rFonts w:ascii="Arial" w:cs="Arial" w:eastAsia="Arial" w:hAnsi="Arial"/>
          <w:sz w:val="18"/>
          <w:szCs w:val="18"/>
          <w:color w:val="auto"/>
        </w:rPr>
      </w:pPr>
    </w:p>
    <w:p>
      <w:pPr>
        <w:ind w:left="460" w:right="20" w:firstLine="443"/>
        <w:spacing w:after="0" w:line="291" w:lineRule="auto"/>
        <w:tabs>
          <w:tab w:leader="none" w:pos="119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sale of the Shares by the Selling Shareholders pursuant to the Underwriting Agreement and compliance by the Company with all of the provisions of the Shares do not and will not contravene any provision of applicable law (except I express no opinion in this paragraph as to compliance with any disclosure requirement or any prohibition against fraud or misrepresentation or as to whether performance of any indemnification or contribution provisions would be permitted) or result in any violation by the Company of any of the terms or provisions of the certificate of incorporation or by-laws of the Company or of any material indenture, mortgage or other agreement or instrument known to me, by which the Company is bound (except that I express no opinion as to compliance with any financial tests or cross-default provision in any such agreement);</w:t>
      </w:r>
    </w:p>
    <w:p>
      <w:pPr>
        <w:spacing w:after="0" w:line="39" w:lineRule="exact"/>
        <w:rPr>
          <w:rFonts w:ascii="Arial" w:cs="Arial" w:eastAsia="Arial" w:hAnsi="Arial"/>
          <w:sz w:val="16"/>
          <w:szCs w:val="16"/>
          <w:color w:val="auto"/>
        </w:rPr>
      </w:pPr>
    </w:p>
    <w:p>
      <w:pPr>
        <w:ind w:left="460" w:firstLine="443"/>
        <w:spacing w:after="0" w:line="256" w:lineRule="auto"/>
        <w:tabs>
          <w:tab w:leader="none" w:pos="12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statements under the captions “Overview of Our Capital Stock” and “Description of Our Common Stock” in the Prospectus and “Business— Legal Proceedings” in the Company’s Annual Report on Form 10-K for the year ended December 31, 2012, in each case insofar as such statements constitute summaries of the legal matters, documents or proceedings referred to therein, fairly present in all material respects the information called for with respect to such legal matters, documents and proceedings; and</w:t>
      </w:r>
    </w:p>
    <w:p>
      <w:pPr>
        <w:spacing w:after="0" w:line="62" w:lineRule="exact"/>
        <w:rPr>
          <w:rFonts w:ascii="Arial" w:cs="Arial" w:eastAsia="Arial" w:hAnsi="Arial"/>
          <w:sz w:val="18"/>
          <w:szCs w:val="18"/>
          <w:color w:val="auto"/>
        </w:rPr>
      </w:pPr>
    </w:p>
    <w:p>
      <w:pPr>
        <w:ind w:left="460" w:right="60" w:firstLine="443"/>
        <w:spacing w:after="0" w:line="332" w:lineRule="auto"/>
        <w:tabs>
          <w:tab w:leader="none" w:pos="1293"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Registration Statement is effective under the Securities Act and, to the best of my knowledge, no stop order suspending the effectiveness of the Registration Statement has been issued under the Securities Act or proceedings therefore initiated or threatened by the Commission.</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With respect to clause (v) above, my opinion is based upon the participation by one or more attorneys, who are members of the General Motors Legal Staff with whom I have worked, in the preparation of the Registration Statement and the Prospectus and review and discussion of the contents thereof and upon my general review and discussion of the answers made and information furnished therein with such attorneys, certain officers of the Company and its auditors, but is without independent check or verification except as stated herein.</w:t>
      </w:r>
    </w:p>
    <w:p>
      <w:pPr>
        <w:sectPr>
          <w:pgSz w:w="11900" w:h="16838" w:orient="portrait"/>
          <w:cols w:equalWidth="0" w:num="1">
            <w:col w:w="11400"/>
          </w:cols>
          <w:pgMar w:left="240" w:top="280" w:right="25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Except as set forth in paragraph (vii) above, I make no representation that I have independently verified the accuracy, completeness or fairness of the statements contained in the Registration Statement or the Prospectus or that the actions taken in connection with the preparation of the Registration Statement or the Prospectus were sufficient to cause the Prospectus or the Registration Statement to be accurate, complete or fair (including the actions described in the next paragraph).</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 have participated in the preparation of the Registration Statement, the Prospectus and the Disclosure Package and I have reviewed the Incorporated Documents. During the course of such preparation, I have examined various documents, including those listed at the beginning of this letter, and have participated in various conferences with representatives of and other counsel to the Company, and with representatives of the independent accountants for the Company and representatives of and counsel to the Managers, at which conferences the contents of the Registration Statement, the Prospectus and the Disclosure Package were reviewed and discussed.</w:t>
      </w:r>
    </w:p>
    <w:p>
      <w:pPr>
        <w:spacing w:after="0" w:line="143"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Based on my participation in the conferences and discussions identified above, my understanding of applicable law and the experience that I have gained in the practice thereunder, I advise you that no fact came to my attention that caused me to conclude that, insofar as relevant to the Offering, (i) on the date of the Underwriting Agreement, the Registration Statement contained an untrue statement of a material fact or omitted to state a material fact required to be stated therein or necessary in order to make the statements therein not misleading, (ii) the Prospectus, as of the date of the Underwriting Agreement or as of the date of this letter, contained or contains an untrue statement of a material fact or omitted or omits to state a material fact necessary in order to make the statements therein, in light of the circumstances under which they were made, not misleading, (iii) as of the effective date of the Registration Statement for purposes of the Offering, either the Registration Statement or the Prospectus appeared on its face not to be responsive in all material respects to the requirements of Form S-3,</w:t>
      </w:r>
    </w:p>
    <w:p>
      <w:pPr>
        <w:ind w:right="60" w:firstLine="8"/>
        <w:spacing w:after="0" w:line="254" w:lineRule="auto"/>
        <w:tabs>
          <w:tab w:leader="none" w:pos="297"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the date of filing, each Incorporated Document (as amended, if such document has been amended) appeared on its face not to be responsive in all material respects to the requirements of the Exchange Act and the applicable rules and regulations of the Commission thereunder, or (v) the Disclosure Package as of the Initial Sale Time contained any untrue statement of a material fact or omitted to state a material fact necessary in order to make the statements therein, in the light of the circumstances under which they were made, not misleading.</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 have assumed for purposes of this letter the following: each document I have reviewed for purposes of this letter is accurate and complete, each such document that is an original is authentic, each such document that is a copy conforms to an authentic original and all signatures on each such document are genuine; that the Underwriting Agreement and every other agreement I have examined for purposes of this letter constitutes a valid and binding obligation of each party to that document and that each such party has satisfied all legal requirements that are applicable to such party to the extent necessary to entitle such party to enforce such agreement (except that I make no such assumption with respect to the Company); and that you have acted in good faith and without notice of any fact which has caused you to reach any conclusion contrary to any of the conclusions provided in this letter.</w:t>
      </w:r>
    </w:p>
    <w:p>
      <w:pPr>
        <w:sectPr>
          <w:pgSz w:w="11900" w:h="16838" w:orient="portrait"/>
          <w:cols w:equalWidth="0" w:num="1">
            <w:col w:w="11420"/>
          </w:cols>
          <w:pgMar w:left="240" w:top="280" w:right="239" w:bottom="1440" w:gutter="0" w:footer="0" w:header="0"/>
        </w:sectPr>
      </w:pPr>
    </w:p>
    <w:bookmarkStart w:id="46" w:name="page47"/>
    <w:bookmarkEnd w:id="46"/>
    <w:p>
      <w:pPr>
        <w:ind w:right="6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preparing this letter I have relied without independent verification upon the following: (i) information contained in certificates obtained from governmental authorities; (ii) factual information represented to be true in the Underwriting Agreement and other documents specifically identified at the beginning of this letter as having been read by me; (iii) factual information provided to me by the other representatives of the Company; and (iv) factual information I have obtained from such other sources as I have deemed reasonable. I have assumed that the information upon which I have relied is accurate and does not omit disclosures necessary to prevent such information from being misleading. For purposes of numbered paragraph (i), I have relied exclusively upon a certificate issued by a governmental authority in the relevant jurisdiction and such opinion is not intended to provide any conclusion or assurance beyond that conveyed by such certificate. I have not undertaken any investigation or search of court records for purposes of this letter.</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 confirm that I do not have knowledge that has caused me to conclude that my reliance and assumptions cited in the two immediately preceding paragraphs are unwarranted. Whenever this letter provides advice about (or based upon) my knowledge of any particular information or about any information which has or has not come to my attention such advice is based entirely on my conscious awareness at the time this letter is delivered on the date it bears.</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 am a member of the Bar of the State of Michigan, and I express no opinion as to the laws of any other jurisdiction, other than the law of the State of Delaware, the law of the State of Michigan and the federal law of the United States. I know that the Underwriting Agreement is stated to be governed by the laws of the State of New York. However, for purposes of rendering this opinion, I have assumed that the Underwriting Agreement is stated to be governed by the laws of the State of Michigan.</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 express no opinion with respect to any state securities or “blue sky” laws or regulations, any foreign laws, statutes, governmental rules or regulations or any laws, statutes governmental rules or regulations which in my experience are not applicable generally to transactions of the kind covered by the Underwriting Agreement. None of the opinions or other advice contained in this letter considers or covers (i) any financial statements or schedules, the notes related thereto, or other financial or accounting data derived therefrom, set forth in (or omitted from) the Registration Statement, the Prospectus, the Disclosure Package or any Incorporated Document or (ii) any rules and regulations of the Financial Industry Regulatory Authority, Inc. relating to the compensation of underwriters.</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My advice on each legal issue addressed in this letter represents my opinion as to how that issue would be resolved were it to be considered by the highest court of the jurisdiction upon whose law my opinion on that issue is based. The manner in which any particular issue would be treated in any actual court case would depend in part on facts and circumstances particular to the case, and this letter is not intended to guarantee the outcome of any legal dispute which may arise in the future.</w:t>
      </w:r>
    </w:p>
    <w:p>
      <w:pPr>
        <w:sectPr>
          <w:pgSz w:w="11900" w:h="16838" w:orient="portrait"/>
          <w:cols w:equalWidth="0" w:num="1">
            <w:col w:w="11420"/>
          </w:cols>
          <w:pgMar w:left="240" w:top="280" w:right="239" w:bottom="1440" w:gutter="0" w:footer="0" w:header="0"/>
        </w:sectPr>
      </w:pPr>
    </w:p>
    <w:bookmarkStart w:id="47" w:name="page48"/>
    <w:bookmarkEnd w:id="47"/>
    <w:p>
      <w:pPr>
        <w:jc w:val="both"/>
        <w:ind w:right="5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My opinion in paragraph (iv) is subject to the reservations and qualifications that enforcement may be limited or affected by bankruptcy, insolvency, reorganization, arrangement, moratorium, or other similar laws relating to or affecting the rights of creditors generally, and by general principles of equity, regardless of whether such enforceability is considered in a proceeding in equity or at law.</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letter speaks as of the time of its delivery on the date it bears. I do not assume any obligation to provide you with any subsequent opinion or advice by reason of any fact about which I did not have knowledge at that time, by reason of any change subsequent to that time in any law, other governmental requirement or interpretation thereof covered by any of my opinions or advice, or for any other reason.</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This letter may be relied upon by the Underwriters and the Selling Shareholders only for the purpose served by the provision in the Underwriting Agreement cited in the initial paragraph of this letter in response to which it has been delivered. Without my written consent: (i) no person other than the Underwriters and the Selling Shareholders may rely on this letter for any purpose; (ii) this letter may not be cited or quoted in any financial statement, prospectus, private placement memorandum or other similar document; (iii) this letter may not be cited or quoted in any other document or communication which might encourage reliance upon this letter by any person or for any purpose excluded by the restrictions in this paragraph; and (iv) copies of this letter may not be furnished to anyone for purposes of encouraging such reliance.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940" w:hanging="932"/>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[Attorney on the Legal Staff]</w:t>
      </w:r>
    </w:p>
    <w:p>
      <w:pPr>
        <w:sectPr>
          <w:pgSz w:w="11900" w:h="16838" w:orient="portrait"/>
          <w:cols w:equalWidth="0" w:num="1">
            <w:col w:w="11400"/>
          </w:cols>
          <w:pgMar w:left="240" w:top="280" w:right="25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COUNSEL TO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 several Underwriters named in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Underwriting Agreement referred to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10179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DEPARTMENT OF THE TREASURY</w:t>
      </w:r>
    </w:p>
    <w:p>
      <w:pPr>
        <w:spacing w:after="0" w:line="15"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BROCK FIDUCIARY, IN ITS CAPACITY AS INDEPENDENT FIDUCIARY AND INVESTMENT ADVISOR TO THE UAW RETIREE MEDICAL BENEFITS TRUST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Selling Shareholders in the Offering</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referred to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 United States Department of the Treasury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1500 Pennsylvania Avenue,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20220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 Brock Fiduciary, in its capacity as independent fiduciary and investment advisor to the UAW Retiree Medical Benefits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622 Third Avenue, Floor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ectPr>
          <w:pgSz w:w="11900" w:h="16838" w:orient="portrait"/>
          <w:cols w:equalWidth="0" w:num="1">
            <w:col w:w="11420"/>
          </w:cols>
          <w:pgMar w:left="240" w:top="27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Ladies and Gentlemen: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issuing this letter in our capacity as special counsel for General Motors Company (the “Company”) in response to the requirements of Article V, paragraph (e) of the Common Stock Offering Underwriting Agreement dated June 6, 2013 (the “Underwriting Agreement”) by and among the Company, Citigroup Global Markets Inc., J.P. Morgan Securities LLC and Morgan Stanley &amp; Co. LLC (the “Managers”) as representatives of the several underwriters named in the Underwriting Agreement, and the Selling Shareholders named in Schedule IV to the Underwriting Agreement. The Underwriting Agreement relates to the offering (the “Offering”) of $0.01 par value common stock of the Company (the “Shares”). Every term which is defined or given a special meaning in the Underwriting Agreement and which is not given a different meaning in this letter has the same meaning whenever it is used in this letter as the meaning it is given in the Underwriting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preparation of this letter, we have among other things read:</w:t>
      </w:r>
    </w:p>
    <w:p>
      <w:pPr>
        <w:spacing w:after="0" w:line="90" w:lineRule="exact"/>
        <w:rPr>
          <w:sz w:val="20"/>
          <w:szCs w:val="20"/>
          <w:color w:val="auto"/>
        </w:rPr>
      </w:pPr>
    </w:p>
    <w:p>
      <w:pPr>
        <w:ind w:left="900" w:right="20" w:hanging="446"/>
        <w:spacing w:after="0" w:line="298"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Registration Statement on Form S-3 (Registration No. 333-188153), filed by the Company with the Securities and Exchange Commission (the “Commission”) under the Securities Act of 1933, as amended (the “Securities Act”) (which registration statement, at the date of the Underwriting Agreement, including the documents incorporated by reference therein and the information deemed to be part of the registration statement at the time of effectiveness pursuant to Rule 430A or Rule 430B under the Securities Act, is herein called the “Registration Statement”);</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prospectus (including the documents incorporated by reference therein) of the Company dated April 26, 2013 (the “Basic Prospectus”);</w:t>
      </w:r>
    </w:p>
    <w:p>
      <w:pPr>
        <w:spacing w:after="0" w:line="113" w:lineRule="exact"/>
        <w:rPr>
          <w:rFonts w:ascii="Arial" w:cs="Arial" w:eastAsia="Arial" w:hAnsi="Arial"/>
          <w:sz w:val="16"/>
          <w:szCs w:val="16"/>
          <w:color w:val="auto"/>
        </w:rPr>
      </w:pPr>
    </w:p>
    <w:p>
      <w:pPr>
        <w:ind w:left="900" w:right="8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preliminary prospectus supplement of the Company dated June 6, 2013 relating to the Offering (including the Basic Prospectus that it supplements and the document incorporated by reference therein), together with the Permitted Free Writing Prospectuses listed on Schedule II to the Underwriting Agreement (collectively, the “Disclosure Package”);</w:t>
      </w:r>
    </w:p>
    <w:p>
      <w:pPr>
        <w:spacing w:after="0" w:line="59" w:lineRule="exact"/>
        <w:rPr>
          <w:rFonts w:ascii="Arial" w:cs="Arial" w:eastAsia="Arial" w:hAnsi="Arial"/>
          <w:sz w:val="18"/>
          <w:szCs w:val="18"/>
          <w:color w:val="auto"/>
        </w:rPr>
      </w:pPr>
    </w:p>
    <w:p>
      <w:pPr>
        <w:ind w:left="900" w:right="460" w:hanging="446"/>
        <w:spacing w:after="0" w:line="306"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Basic Prospectus, as supplemented by the prospectus supplement of the Company dated June 6, 2013 relating to the Offering (including the documents incorporated by reference therein), in the form first used to confirm sales of the Shares (or in the form first made available by the Company to the Underwriters to meet requests of purchasers of the Shares under Rule 173 under the Securities Act) (the “Prospectus”);</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executed copy of the Underwriting Agreement;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specimen of the Shares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copy of the resolutions of the Board of Directors of the Company (the “Board”) adopted on January 15, 2013;</w:t>
      </w:r>
    </w:p>
    <w:p>
      <w:pPr>
        <w:sectPr>
          <w:pgSz w:w="11900" w:h="16838" w:orient="portrait"/>
          <w:cols w:equalWidth="0" w:num="1">
            <w:col w:w="11420"/>
          </w:cols>
          <w:pgMar w:left="240" w:top="280" w:right="239" w:bottom="1440" w:gutter="0" w:footer="0" w:header="0"/>
        </w:sectPr>
      </w:pPr>
    </w:p>
    <w:bookmarkStart w:id="50" w:name="page51"/>
    <w:bookmarkEnd w:id="50"/>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copy of the Restated Certificate of Incorporation of the Company, certified as of a recent date by the Secretary of State of the State of Delaware;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copy of the Amended and Restated By-Laws of the Company;</w:t>
      </w:r>
    </w:p>
    <w:p>
      <w:pPr>
        <w:spacing w:after="0" w:line="90"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copies of the documents filed pursuant to the Securities Exchange Act of 1934, as amended (the “Exchange Act”), and incorporated by reference in the documents referred to in paragraphs (a) through (d), inclusive, above (the “Incorporated Documents”); and</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copies of all certificates and other documents delivered today in connection with the consummation of the Offering.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assumptions, qualifications and limitations which are identified in this letter, we advise you that:</w:t>
      </w:r>
    </w:p>
    <w:p>
      <w:pPr>
        <w:spacing w:after="0" w:line="90" w:lineRule="exact"/>
        <w:rPr>
          <w:sz w:val="20"/>
          <w:szCs w:val="20"/>
          <w:color w:val="auto"/>
        </w:rPr>
      </w:pPr>
    </w:p>
    <w:p>
      <w:pPr>
        <w:ind w:left="460" w:right="520" w:firstLine="443"/>
        <w:spacing w:after="0" w:line="268" w:lineRule="auto"/>
        <w:tabs>
          <w:tab w:leader="none" w:pos="11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authorized capital stock of the Company conforms in all material respects as to legal matters to the description thereof contained in the Disclosure Package and the Prospectus;</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5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Shares have been duly authorized, are validly issued, fully paid and non-assessable and conform in all material respects as to legal matters to the description of the Shares contained in the Prospectus;</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Underwriting Agreement has been duly authorized, executed and delivered by the Company; and</w:t>
      </w:r>
    </w:p>
    <w:p>
      <w:pPr>
        <w:spacing w:after="0" w:line="90" w:lineRule="exact"/>
        <w:rPr>
          <w:rFonts w:ascii="Arial" w:cs="Arial" w:eastAsia="Arial" w:hAnsi="Arial"/>
          <w:sz w:val="18"/>
          <w:szCs w:val="18"/>
          <w:color w:val="auto"/>
        </w:rPr>
      </w:pPr>
    </w:p>
    <w:p>
      <w:pPr>
        <w:ind w:left="460" w:right="100" w:firstLine="443"/>
        <w:spacing w:after="0" w:line="259" w:lineRule="auto"/>
        <w:tabs>
          <w:tab w:leader="none" w:pos="119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statements under the captions “Overview of Our Capital Stock” and “Description of Our Common Stock” in the Prospectus, insofar as such statements constitute summaries of the legal matters, documents or proceedings referred to therein, fairly present in all material respects the information called for with respect to such legal matters, documents and proceedings.</w:t>
      </w: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purpose of our professional engagement was not to establish factual matters, and the preparation of the Registration Statement and the Prospectus involved many determinations of a wholly or partially nonlegal character. We make no representation that we have independently verified the accuracy, completeness or fairness of the Registration Statement or the Prospectus or that the actions taken in connection with the preparation of the Registration Statement or the Prospectus (including the actions described in the next paragraph) were sufficient to cause the Prospectus or the Registration Statement to be accurate, complete or fair. We are not passing upon and do not assume any responsibility for the accuracy, completeness or fairness of the Prospectus or the Registration Statement, except to the extent otherwise explicitly indicated in numbered paragraph (iv) above.</w:t>
      </w:r>
    </w:p>
    <w:p>
      <w:pPr>
        <w:sectPr>
          <w:pgSz w:w="11900" w:h="16838" w:orient="portrait"/>
          <w:cols w:equalWidth="0" w:num="1">
            <w:col w:w="11360"/>
          </w:cols>
          <w:pgMar w:left="240" w:top="280" w:right="299" w:bottom="1440" w:gutter="0" w:footer="0" w:header="0"/>
        </w:sectPr>
      </w:pPr>
    </w:p>
    <w:bookmarkStart w:id="51" w:name="page52"/>
    <w:bookmarkEnd w:id="51"/>
    <w:p>
      <w:pPr>
        <w:ind w:right="10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have participated in the preparation of the Registration Statement, the Prospectus and the Disclosure Package and we have reviewed the Incorporated Documents. During the course of such preparation, we examined various documents, including those listed at the beginning of our letter, and participated in various conferences with representatives of and counsel to the Company, and with representatives of the independent accountants for the Company and representatives of and counsel to the Managers, at which conferences the contents of the Registration Statement, the Prospectus and the Disclosure Package were reviewed and discussed.</w:t>
      </w:r>
    </w:p>
    <w:p>
      <w:pPr>
        <w:spacing w:after="0" w:line="143" w:lineRule="exact"/>
        <w:rPr>
          <w:sz w:val="20"/>
          <w:szCs w:val="20"/>
          <w:color w:val="auto"/>
        </w:rPr>
      </w:pPr>
    </w:p>
    <w:p>
      <w:pPr>
        <w:ind w:right="40" w:firstLine="456"/>
        <w:spacing w:after="0" w:line="301" w:lineRule="auto"/>
        <w:rPr>
          <w:sz w:val="20"/>
          <w:szCs w:val="20"/>
          <w:color w:val="auto"/>
        </w:rPr>
      </w:pPr>
      <w:r>
        <w:rPr>
          <w:rFonts w:ascii="Arial" w:cs="Arial" w:eastAsia="Arial" w:hAnsi="Arial"/>
          <w:sz w:val="15"/>
          <w:szCs w:val="15"/>
          <w:color w:val="auto"/>
        </w:rPr>
        <w:t>Based on our participation in the conferences and discussions identified above, our understanding of applicable law and the experience that we have gained in the practice thereunder, we advise you that no fact came to our attention that caused us to conclude that insofar as relevant to the Offering (i) on the date of the Underwriting Agreement, the Registration Statement contained an untrue statement of a material fact or omitted to state a material fact required to be stated therein or necessary in order to make the statements therein not misleading, (ii) the Prospectus, as of the date of the Underwriting Agreement or as of the date of this letter, contained or contains an untrue statement of a material fact or omitted or omits to state a material fact necessary in order to make the statements therein, in light of the circumstances under which they were made, not misleading, (iii) as of the effective date of the Registration Statement for the purposes of the Offering, either the Registration Statement or the Prospectus appeared on its face not to be responsive in all material respects to the requirements of Form S-3,</w:t>
      </w:r>
    </w:p>
    <w:p>
      <w:pPr>
        <w:spacing w:after="0" w:line="5" w:lineRule="exact"/>
        <w:rPr>
          <w:sz w:val="20"/>
          <w:szCs w:val="20"/>
          <w:color w:val="auto"/>
        </w:rPr>
      </w:pPr>
    </w:p>
    <w:p>
      <w:pPr>
        <w:ind w:right="60" w:firstLine="8"/>
        <w:spacing w:after="0" w:line="254" w:lineRule="auto"/>
        <w:tabs>
          <w:tab w:leader="none" w:pos="297"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the date of filing, each Incorporated Document (as amended, if such document has been amended) appeared on its face not to be responsive in all material respects to the requirements of the Exchange Act and the applicable rules and regulations of the Commission thereunder, or (v) the Disclosure Package as of the Initial Sale Time contained any untrue statement of a material fact or omitted to state a material fact necessary in order to make the statements therein, in the light of the circumstances under which they were made, not misleading.</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Except for the activities described in the immediately preceding section of this letter, we have not undertaken any investigation to determine the facts upon which the advice in this letter is based.</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assumed for purposes of this letter: each document we have reviewed for purposes of this letter is accurate and complete, each such document that is an original is authentic, each such document that is a copy conforms to an authentic original, and all signatures on each such document are genuine; that the Underwriting Agreement and every other agreement we have examined for purposes of this letter constitutes a valid and binding obligation of each party to that document and that each such party has satisfied all legal requirements that are applicable to such party to the extent necessary to entitle such party to enforce such agreement (except that we make no such assumption with respect to the Company); and that you have acted in good faith and without notice of any fact which has caused you to reach any conclusion contrary to any of the advice provided in this letter.</w:t>
      </w:r>
    </w:p>
    <w:p>
      <w:pPr>
        <w:sectPr>
          <w:pgSz w:w="11900" w:h="16838" w:orient="portrait"/>
          <w:cols w:equalWidth="0" w:num="1">
            <w:col w:w="11420"/>
          </w:cols>
          <w:pgMar w:left="240" w:top="280" w:right="239" w:bottom="1440" w:gutter="0" w:footer="0" w:header="0"/>
        </w:sectPr>
      </w:pPr>
    </w:p>
    <w:bookmarkStart w:id="52" w:name="page53"/>
    <w:bookmarkEnd w:id="52"/>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preparing this letter we have relied without independent verification upon: (i) information contained in certificates obtained from governmental authorities; (ii) factual information represented to be true in the Underwriting Agreement, in the other documents specifically identified at the beginning of this letter as having been read by us and in the certificates and other documents executed by the Company and delivered to you in connection with the consummation of the Offering; (iii) the opinion of an attorney on the Legal Staff of the Company with respect to the Offering; (iv) factual information provided to us by the Company or its representatives; and (v) factual information we have obtained from such other sources as we have deemed reasonable. We have assumed that there has been no relevant change or development between the dates as of which the information cited in the preceding sentence was given and the date of this letter and that the information upon which we have relied is accurate and does not omit disclosures necessary to prevent such information from being misleading.</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confirm that we do not have knowledge that has caused us to conclude that our reliance and assumptions cited in the two immediately preceding paragraphs are unwarranted. Whenever this letter provides advice about (or based upon) our knowledge of any particular information or about any information which has or has not come to our attention such advice is based entirely on the conscious awareness at the time this letter is delivered on the date it bears by the lawyers with Jenner &amp; Block LLP at that time who spent substantial time representing the Company in connection with the Offering after consultation with such other attorneys as they deem appropriate.</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advice on every legal issue addressed in this letter is based exclusively on the internal law of New York, the General Corporation Law of the State of Delaware or the federal law of the United States, and represents our opinion as to how that issue would be resolved were it to be considered by the highest court in the jurisdiction which enacted such law. None of the opinions or other advice contained in this letter considers or covers: (i) any foreign or state securities (or “blue sky”) laws or regulations; (ii) any financial statements or schedules, the notes related thereto, or other financial or accounting data derived therefrom, set forth in (or omitted from) the Registration Statement, the Prospectus, the Disclosure Package or any Incorporated Document; (iii) any rules and regulations of the Financial Industry Regulatory Authority, Inc. relating to the compensation of underwriters; or (iv) the rules and regulations of the New York Stock Exchange, Inc. This letter does not cover any other laws, statutes, governmental rules or regulations or decisions which in our experience are not usually considered for or covered by opinions like those contained in this letter or are not generally applicable to transactions of the kind covered by the Underwriting Agreement.</w:t>
      </w:r>
    </w:p>
    <w:p>
      <w:pPr>
        <w:spacing w:after="0" w:line="118"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Our opinion in paragraph (iii) is subject to the reservations and qualifications that enforcement may be limited or affected by bankruptcy, insolvency, reorganization, arrangement, moratorium, or other similar laws relating to or affecting the rights of creditors generally, and by general principles of equity, regardless of whether such enforceability is considered in a proceeding in equity or at law.</w:t>
      </w:r>
    </w:p>
    <w:p>
      <w:pPr>
        <w:sectPr>
          <w:pgSz w:w="11900" w:h="16838" w:orient="portrait"/>
          <w:cols w:equalWidth="0" w:num="1">
            <w:col w:w="11420"/>
          </w:cols>
          <w:pgMar w:left="240" w:top="280" w:right="239" w:bottom="1440" w:gutter="0" w:footer="0" w:header="0"/>
        </w:sectPr>
      </w:pPr>
    </w:p>
    <w:bookmarkStart w:id="53" w:name="page54"/>
    <w:bookmarkEnd w:id="53"/>
    <w:p>
      <w:pPr>
        <w:ind w:right="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letter speaks as of the time of its delivery on the date it bears. We do not assume any obligation to provide you with any subsequent opinion or advice by reason of any fact about which we did not have knowledge at that time, by reason of any change subsequent to that time in any law, other governmental requirement or interpretation thereof covered by any of our opinions or advice, or for any other reason.</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This letter may be relied upon by the Underwriters and the Selling Shareholders only for the purpose served by the provision in the Underwriting Agreement cited in the initial paragraph of this letter in response to which it has been delivered. Without our written consent: (i) no person other than the Underwriters and the Selling Shareholders may rely on this letter for any purpose; (ii) this letter may not be cited or quoted in any financial statement, prospectus, private placement memorandum or other similar document; (iii) this letter may not be cited or quoted in any other document or communication which might encourage reliance upon this letter by any person or for any purpose excluded by the restrictions in this paragraph; and (iv) copies of this letter may not be furnished to anyone for purposes of encouraging such reliance.</w:t>
      </w:r>
    </w:p>
    <w:p>
      <w:pPr>
        <w:spacing w:after="0" w:line="1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Jenner &amp; Block LLP</w:t>
      </w:r>
    </w:p>
    <w:p>
      <w:pPr>
        <w:sectPr>
          <w:pgSz w:w="11900" w:h="16838" w:orient="portrait"/>
          <w:cols w:equalWidth="0" w:num="1">
            <w:col w:w="11380"/>
          </w:cols>
          <w:pgMar w:left="240" w:top="280" w:right="27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A-4</w:t>
      </w:r>
    </w:p>
    <w:p>
      <w:pPr>
        <w:spacing w:after="0" w:line="333"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OPINION OF THE GENERAL COUNSEL OF UAW RETIREE MEDICAL BENEFITS TRUST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 several Underwriters named in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Underwriting Agreement referred to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 am delivering this opinion in my capacity as the General Counsel of UAW Retiree Medical Benefits Trust, a Michigan trust established as a voluntary employees’ beneficiary association (the “VEBA”), and in that capacity have represented the VEBA in connection with the underwriting agreement dated June 6, 2013 (the “Underwriting Agreement”) by and among General Motors Company, a Delaware corporation (the “Company”), the VEBA and a certain other selling shareholder (together with the VEBA, the “Selling Shareholders”) relating to the purchase by you of up to 50,000,000 shares of common stock, par value $0.01 per share (the “Common Stock”) of the Company from the Selling Shareholders, of which up to 20,000,000 shares are to be offered and sold by the VEBA (the “Shares”).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the opinions expressed below, I, or attorneys under my supervision, have reviewed the following documents:</w:t>
      </w:r>
    </w:p>
    <w:p>
      <w:pPr>
        <w:spacing w:after="0" w:line="90" w:lineRule="exact"/>
        <w:rPr>
          <w:sz w:val="20"/>
          <w:szCs w:val="20"/>
          <w:color w:val="auto"/>
        </w:rPr>
      </w:pPr>
    </w:p>
    <w:p>
      <w:pPr>
        <w:ind w:left="700" w:hanging="23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executed copy of the Underwriting Agreement;</w:t>
      </w:r>
    </w:p>
    <w:p>
      <w:pPr>
        <w:spacing w:after="0" w:line="90" w:lineRule="exact"/>
        <w:rPr>
          <w:rFonts w:ascii="Arial" w:cs="Arial" w:eastAsia="Arial" w:hAnsi="Arial"/>
          <w:sz w:val="18"/>
          <w:szCs w:val="18"/>
          <w:color w:val="auto"/>
        </w:rPr>
      </w:pPr>
    </w:p>
    <w:p>
      <w:pPr>
        <w:ind w:right="280" w:firstLine="464"/>
        <w:spacing w:after="0" w:line="268" w:lineRule="auto"/>
        <w:tabs>
          <w:tab w:leader="none" w:pos="7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registration statement on Form S-3 (No. 333-188153) filed on April 26, 2013 by the Company under the Securities Act of 1933, as amended (the “Securities Act”), with the Securities and Exchange Commission (the “Commission”) (such registration statement as</w:t>
      </w:r>
    </w:p>
    <w:p>
      <w:pPr>
        <w:sectPr>
          <w:pgSz w:w="11900" w:h="16838" w:orient="portrait"/>
          <w:cols w:equalWidth="0" w:num="1">
            <w:col w:w="11420"/>
          </w:cols>
          <w:pgMar w:left="240" w:top="274" w:right="239" w:bottom="1440" w:gutter="0" w:footer="0" w:header="0"/>
        </w:sectPr>
      </w:pPr>
    </w:p>
    <w:bookmarkStart w:id="55" w:name="page56"/>
    <w:bookmarkEnd w:id="55"/>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to the time the latest post-effective amendment to it was declared effective, including the information deemed to be a part thereof at the time of such effectiveness, including the documents incorporated by reference therein, collectively being herein referred to as the “Registration Statement”);</w:t>
      </w:r>
    </w:p>
    <w:p>
      <w:pPr>
        <w:spacing w:after="0" w:line="4" w:lineRule="exact"/>
        <w:rPr>
          <w:sz w:val="20"/>
          <w:szCs w:val="20"/>
          <w:color w:val="auto"/>
        </w:rPr>
      </w:pPr>
    </w:p>
    <w:p>
      <w:pPr>
        <w:ind w:left="700" w:hanging="23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prospectus dated April 26, 2013 filed as part of the Registration Statement;</w:t>
      </w:r>
    </w:p>
    <w:p>
      <w:pPr>
        <w:spacing w:after="0" w:line="90" w:lineRule="exact"/>
        <w:rPr>
          <w:rFonts w:ascii="Arial" w:cs="Arial" w:eastAsia="Arial" w:hAnsi="Arial"/>
          <w:sz w:val="18"/>
          <w:szCs w:val="18"/>
          <w:color w:val="auto"/>
        </w:rPr>
      </w:pPr>
    </w:p>
    <w:p>
      <w:pPr>
        <w:ind w:right="520" w:firstLine="464"/>
        <w:spacing w:after="0" w:line="268" w:lineRule="auto"/>
        <w:tabs>
          <w:tab w:leader="none" w:pos="7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preliminary prospectus supplement dated June 6, 2013 relating to the Shares filed with the Commission pursuant to Rule 424(b)(7) under the Securities Act;</w:t>
      </w:r>
    </w:p>
    <w:p>
      <w:pPr>
        <w:spacing w:after="0" w:line="50" w:lineRule="exact"/>
        <w:rPr>
          <w:rFonts w:ascii="Arial" w:cs="Arial" w:eastAsia="Arial" w:hAnsi="Arial"/>
          <w:sz w:val="18"/>
          <w:szCs w:val="18"/>
          <w:color w:val="auto"/>
        </w:rPr>
      </w:pPr>
    </w:p>
    <w:p>
      <w:pPr>
        <w:ind w:left="700" w:hanging="23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prospectus supplement dated June 6, 2013 filed with the Commission pursuant to Rule 424(b)(7) under the Securities Act;</w:t>
      </w:r>
    </w:p>
    <w:p>
      <w:pPr>
        <w:spacing w:after="0" w:line="90" w:lineRule="exact"/>
        <w:rPr>
          <w:rFonts w:ascii="Arial" w:cs="Arial" w:eastAsia="Arial" w:hAnsi="Arial"/>
          <w:sz w:val="18"/>
          <w:szCs w:val="18"/>
          <w:color w:val="auto"/>
        </w:rPr>
      </w:pPr>
    </w:p>
    <w:p>
      <w:pPr>
        <w:ind w:right="40" w:firstLine="464"/>
        <w:spacing w:after="0" w:line="259" w:lineRule="auto"/>
        <w:tabs>
          <w:tab w:leader="none" w:pos="67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Trust Agreement dated October 16, 2008, and amended and restated on December 3, 2009, by and among Robert Naftaly, Olena Berg-Lacy, David Baker Lewis, Teresa Ghilarducci, Marianne Udow-Phillips, Ed Welch, Ron Gettelfinger, General Holiefield, Robert King, Cal Rapson, Daniel Sherrick and State Street Bank and Trust Company (the “Trust Agreement”);</w:t>
      </w:r>
    </w:p>
    <w:p>
      <w:pPr>
        <w:spacing w:after="0" w:line="59" w:lineRule="exact"/>
        <w:rPr>
          <w:rFonts w:ascii="Arial" w:cs="Arial" w:eastAsia="Arial" w:hAnsi="Arial"/>
          <w:sz w:val="18"/>
          <w:szCs w:val="18"/>
          <w:color w:val="auto"/>
        </w:rPr>
      </w:pPr>
    </w:p>
    <w:p>
      <w:pPr>
        <w:ind w:left="720" w:hanging="256"/>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specimen of the Common Stock; and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documents delivered to you by the Company at the closing pursuant to the Underwriting Agreement.</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addition, I or attorneys under my supervision have reviewed the originals or copies certified or otherwise identified to my or their satisfaction of all such records of the VEBA and such other documents, certificates of public officials, officers and representatives of the VEBA, and I or attorneys under my supervision have made such investigations of law, as I have deemed appropriate as a basis for the opinions expressed below.</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rendering the opinions expressed below, I have assumed the authenticity of all documents submitted to me as originals and the conformity to the originals of all documents submitted to me as copies. In addition, I have assumed and have not verified (i) the accuracy as to factual matters of each document I have reviewed; and (ii) that the Shares conform to the specimen thereof that I have reviewed.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the foregoing, and subject to the further assumptions and qualifications set forth below, it is my opinion that:</w:t>
      </w:r>
    </w:p>
    <w:p>
      <w:pPr>
        <w:spacing w:after="0" w:line="90" w:lineRule="exact"/>
        <w:rPr>
          <w:sz w:val="20"/>
          <w:szCs w:val="20"/>
          <w:color w:val="auto"/>
        </w:rPr>
      </w:pPr>
    </w:p>
    <w:p>
      <w:pPr>
        <w:ind w:right="480" w:firstLine="464"/>
        <w:spacing w:after="0" w:line="268" w:lineRule="auto"/>
        <w:tabs>
          <w:tab w:leader="none" w:pos="6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execution and delivery of the Underwriting Agreement have been duly authorized by all necessary action of the VEBA, and the Underwriting Agreement has been duly executed and delivered by the VEBA.</w:t>
      </w:r>
    </w:p>
    <w:p>
      <w:pPr>
        <w:spacing w:after="0" w:line="50" w:lineRule="exact"/>
        <w:rPr>
          <w:rFonts w:ascii="Arial" w:cs="Arial" w:eastAsia="Arial" w:hAnsi="Arial"/>
          <w:sz w:val="18"/>
          <w:szCs w:val="18"/>
          <w:color w:val="auto"/>
        </w:rPr>
      </w:pPr>
    </w:p>
    <w:p>
      <w:pPr>
        <w:jc w:val="both"/>
        <w:ind w:right="280" w:firstLine="464"/>
        <w:spacing w:after="0" w:line="259" w:lineRule="auto"/>
        <w:tabs>
          <w:tab w:leader="none" w:pos="6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sale of the Shares by the VEBA to the Underwriters pursuant to the Underwriting Agreement does not, and the performance by the VEBA of its obligations in the Underwriting Agreement will not, (a) require any consent, approval, authorization, registration or qualification of or with any governmental authority of the State of Michigan that in my</w:t>
      </w:r>
    </w:p>
    <w:p>
      <w:pPr>
        <w:sectPr>
          <w:pgSz w:w="11900" w:h="16838" w:orient="portrait"/>
          <w:cols w:equalWidth="0" w:num="1">
            <w:col w:w="11380"/>
          </w:cols>
          <w:pgMar w:left="240" w:top="280" w:right="279" w:bottom="1440" w:gutter="0" w:footer="0" w:header="0"/>
        </w:sectPr>
      </w:pPr>
    </w:p>
    <w:bookmarkStart w:id="56" w:name="page57"/>
    <w:bookmarkEnd w:id="5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experience normally would be applicable with respect to such sale or performance, except such as have been obtained or effected under the Securities Act and the Securities Exchange Act of 1934, as amended (but I express no opinion relating to any state securities or Blue Sky laws); (b) result in a violation of the Trust Agreement; (c) to the best of my knowledge, result in a breach of any of the terms and provisions of, or constitute a default under, any material agreement of the VEBA, or a violation of any material judgment, decree or order applicable to the VEBA; or (d) result in a violation of any Michigan State law or published rule or regulation thereunder that in my experience normally would be applicable to general business entities with respect to such sale or performance (but I express no opinion relating to any state securities or Blue Sky laws).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foregoing opinions are limited to the law of the State of Michigan.</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 am furnishing this opinion letter to you, as Managers for the Underwriters, solely for the benefit of the Underwriters in their capacity as such in connection with the offering of the Shares. This opinion letter is not to be relied on by or furnished to any other person or used, circulated, quoted or otherwise referred to for any other purpose. I assume no obligation to advise you, or to make any investigations, as to any legal developments or factual matters arising subsequent to the date hereof that might affect the opinions expressed herein.</w:t>
      </w:r>
    </w:p>
    <w:p>
      <w:pPr>
        <w:spacing w:after="0" w:line="26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UAW RETIREE MEDICAL BENEFITS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10795</wp:posOffset>
            </wp:positionV>
            <wp:extent cx="24612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Linda D. Denomme, General Counsel</w:t>
      </w:r>
    </w:p>
    <w:p>
      <w:pPr>
        <w:sectPr>
          <w:pgSz w:w="11900" w:h="16838" w:orient="portrait"/>
          <w:cols w:equalWidth="0" w:num="1">
            <w:col w:w="11420"/>
          </w:cols>
          <w:pgMar w:left="240" w:top="2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A-5</w:t>
      </w:r>
    </w:p>
    <w:p>
      <w:pPr>
        <w:spacing w:after="0" w:line="33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OPINION OF COUNSEL TO UAW RETIREE MEDICAL BENEFITS TRUST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 several Underwriters named in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Underwriting Agreement referred to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60" w:firstLine="913"/>
        <w:spacing w:after="0" w:line="291" w:lineRule="auto"/>
        <w:rPr>
          <w:sz w:val="20"/>
          <w:szCs w:val="20"/>
          <w:color w:val="auto"/>
        </w:rPr>
      </w:pPr>
      <w:r>
        <w:rPr>
          <w:rFonts w:ascii="Arial" w:cs="Arial" w:eastAsia="Arial" w:hAnsi="Arial"/>
          <w:sz w:val="16"/>
          <w:szCs w:val="16"/>
          <w:color w:val="auto"/>
        </w:rPr>
        <w:t>We have acted as special New York counsel to the UAW Retiree Medical Benefits Trust, a Michigan trust established as a voluntary employees’ beneficiary association (the “VEBA”), in connection with the purchase by you and the other several underwriters named in Schedule III to the Underwriting Agreement referred to below (the “Underwriters”) from the VEBA and a certain other selling shareholder (together with the VEBA, the “Selling Shareholders”) of 50,000,000 shares of the Common Stock, par value $0.01 per share (the “Common Stock”) of General Motors Company, a Delaware corporation (the “Company”), 20,000,000 shares of which are being sold by the VEBA pursuant to the terms of the Underwriting Agreement dated June 6, 2013 (the “Underwriting Agreement”) by and among the Company, the Selling Shareholders and you, as Representatives of the several Underwriters.</w:t>
      </w:r>
    </w:p>
    <w:p>
      <w:pPr>
        <w:spacing w:after="0" w:line="120"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This opinion is being delivered to you pursuant to Article V of the Underwriting Agreement. Capitalized terms used, and not otherwise defined, in this opinion letter have the respective meanings set forth in the Underwriting Agreement.</w:t>
      </w:r>
    </w:p>
    <w:p>
      <w:pPr>
        <w:spacing w:after="0" w:line="132"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In rendering the opinions expressed below, we have examined originals, or copies certified or otherwise identified to our satisfaction, of such corporate records and agreements and other instruments, certificates of public officials, certificates of officers and representatives of the Company and the VEBA and other documents as we have deemed necessary as a basis for the opinions hereinafter expressed, including the following:</w:t>
      </w:r>
    </w:p>
    <w:p>
      <w:pPr>
        <w:sectPr>
          <w:pgSz w:w="11900" w:h="16838" w:orient="portrait"/>
          <w:cols w:equalWidth="0" w:num="1">
            <w:col w:w="11420"/>
          </w:cols>
          <w:pgMar w:left="240" w:top="274" w:right="239" w:bottom="1440" w:gutter="0" w:footer="0" w:header="0"/>
        </w:sectPr>
      </w:pPr>
    </w:p>
    <w:bookmarkStart w:id="58" w:name="page59"/>
    <w:bookmarkEnd w:id="58"/>
    <w:p>
      <w:pPr>
        <w:ind w:firstLine="921"/>
        <w:spacing w:after="0" w:line="256" w:lineRule="auto"/>
        <w:tabs>
          <w:tab w:leader="none" w:pos="1123"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registration statement on Form S-3 (No. 333-188153) filed on April 26, 2013 by the Company under the Securities Act of 1933, as amended (the “Securities Act”), with the Securities and Exchange Commission (such registration statement as amended to the time the latest post-effective amendment to it was declared effective, including the information deemed to be a part thereof at the time of such effectiveness, including the documents incorporated by reference therein, collectively being herein referred to as the “Registration Statement”);</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prospectus dated April 26, 2013 filed as part of the Registration Statement;</w:t>
      </w:r>
    </w:p>
    <w:p>
      <w:pPr>
        <w:spacing w:after="0" w:line="90" w:lineRule="exact"/>
        <w:rPr>
          <w:rFonts w:ascii="Arial" w:cs="Arial" w:eastAsia="Arial" w:hAnsi="Arial"/>
          <w:sz w:val="18"/>
          <w:szCs w:val="18"/>
          <w:color w:val="auto"/>
        </w:rPr>
      </w:pPr>
    </w:p>
    <w:p>
      <w:pPr>
        <w:ind w:left="1220" w:hanging="299"/>
        <w:spacing w:after="0"/>
        <w:tabs>
          <w:tab w:leader="none" w:pos="12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preliminary prospectus supplement dated June 6, 2013 relating to the Shares filed with the Commission pursuant to Rule 424(b)(7) under the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Securities Act;</w:t>
      </w:r>
    </w:p>
    <w:p>
      <w:pPr>
        <w:spacing w:after="0" w:line="83" w:lineRule="exact"/>
        <w:rPr>
          <w:rFonts w:ascii="Arial" w:cs="Arial" w:eastAsia="Arial" w:hAnsi="Arial"/>
          <w:sz w:val="15"/>
          <w:szCs w:val="15"/>
          <w:color w:val="auto"/>
        </w:rPr>
      </w:pPr>
    </w:p>
    <w:p>
      <w:pPr>
        <w:ind w:left="1220" w:hanging="299"/>
        <w:spacing w:after="0"/>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prospectus supplement dated June 6, 2013 filed with the Commission pursuant to Rule 424(b)(7) under the Securities Act;</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Underwriting Agreement;</w:t>
      </w:r>
    </w:p>
    <w:p>
      <w:pPr>
        <w:spacing w:after="0" w:line="90" w:lineRule="exact"/>
        <w:rPr>
          <w:rFonts w:ascii="Arial" w:cs="Arial" w:eastAsia="Arial" w:hAnsi="Arial"/>
          <w:sz w:val="18"/>
          <w:szCs w:val="18"/>
          <w:color w:val="auto"/>
        </w:rPr>
      </w:pPr>
    </w:p>
    <w:p>
      <w:pPr>
        <w:ind w:left="1220" w:hanging="299"/>
        <w:spacing w:after="0"/>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documents delivered to you by the Company and the VEBA at the closing pursuant to the Underwriting Agreement; and</w:t>
      </w:r>
    </w:p>
    <w:p>
      <w:pPr>
        <w:spacing w:after="0" w:line="90" w:lineRule="exact"/>
        <w:rPr>
          <w:rFonts w:ascii="Arial" w:cs="Arial" w:eastAsia="Arial" w:hAnsi="Arial"/>
          <w:sz w:val="18"/>
          <w:szCs w:val="18"/>
          <w:color w:val="auto"/>
        </w:rPr>
      </w:pPr>
    </w:p>
    <w:p>
      <w:pPr>
        <w:ind w:right="160" w:firstLine="921"/>
        <w:spacing w:after="0" w:line="268" w:lineRule="auto"/>
        <w:tabs>
          <w:tab w:leader="none" w:pos="1259"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specimen stock certificate of the Company, certified by the transfer agent of the Company referred to below to be true and complete, used to evidence the Common Stock.</w:t>
      </w:r>
    </w:p>
    <w:p>
      <w:pPr>
        <w:spacing w:after="0" w:line="132"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In our examination we have assumed the genuineness of all signatures, the authenticity of all documents submitted to us as originals, the conformity with the original documents of all documents submitted to us as copies and the authenticity of the originals of such latter documents. We have relied upon representations and certifications as to factual matters by officers and representatives of the Company, the VEBA, Computershare Trust Company, N.A., in its capacity as the Company’s registrar and transfer agent with respect to the Common Stock (the “Transfer Agent”) and other appropriate persons, statements contained in the Registration Statement and the representations made by the Underwriters, the Selling Shareholders and the Company in or pursuant to the Underwriting Agreement.</w:t>
      </w:r>
    </w:p>
    <w:p>
      <w:pPr>
        <w:spacing w:after="0" w:line="144"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In our examination of the documents referred to above we have assumed, with your permission and without independent investigation, that each party to the documents reviewed by us is duly organized and validly existing under the laws of the jurisdiction of its organization and has full power and authority (corporate or other) to execute, deliver and perform its obligations under such documents, such documents have been duly authorized by all necessary action on the part of the parties thereto, such documents have been duly executed and delivered by such parties and are valid, binding and enforceable obligations of such parties and the Shares sold by the VEBA conform to the specimen certificate for Common Stock we have reviewed.</w:t>
      </w:r>
    </w:p>
    <w:p>
      <w:pPr>
        <w:sectPr>
          <w:pgSz w:w="11900" w:h="16838" w:orient="portrait"/>
          <w:cols w:equalWidth="0" w:num="1">
            <w:col w:w="11400"/>
          </w:cols>
          <w:pgMar w:left="240" w:top="280" w:right="259" w:bottom="1440" w:gutter="0" w:footer="0" w:header="0"/>
        </w:sectPr>
      </w:pPr>
    </w:p>
    <w:bookmarkStart w:id="59" w:name="page60"/>
    <w:bookmarkEnd w:id="59"/>
    <w:p>
      <w:pPr>
        <w:ind w:right="7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upon and subject to the foregoing, and subject also to the assumptions and qualifications set forth below, and having regard to legal considerations we deem relevant, we are of the opinion that:</w:t>
      </w:r>
    </w:p>
    <w:p>
      <w:pPr>
        <w:spacing w:after="0" w:line="132" w:lineRule="exact"/>
        <w:rPr>
          <w:sz w:val="20"/>
          <w:szCs w:val="20"/>
          <w:color w:val="auto"/>
        </w:rPr>
      </w:pPr>
    </w:p>
    <w:p>
      <w:pPr>
        <w:ind w:right="220" w:firstLine="464"/>
        <w:spacing w:after="0" w:line="306" w:lineRule="auto"/>
        <w:tabs>
          <w:tab w:leader="none" w:pos="632" w:val="left"/>
        </w:tabs>
        <w:numPr>
          <w:ilvl w:val="1"/>
          <w:numId w:val="41"/>
        </w:numPr>
        <w:rPr>
          <w:rFonts w:ascii="Arial" w:cs="Arial" w:eastAsia="Arial" w:hAnsi="Arial"/>
          <w:sz w:val="16"/>
          <w:szCs w:val="16"/>
          <w:color w:val="auto"/>
        </w:rPr>
      </w:pPr>
      <w:r>
        <w:rPr>
          <w:rFonts w:ascii="Arial" w:cs="Arial" w:eastAsia="Arial" w:hAnsi="Arial"/>
          <w:sz w:val="16"/>
          <w:szCs w:val="16"/>
          <w:color w:val="auto"/>
        </w:rPr>
        <w:t>No Governmental Approval is required for the VEBA to execute and deliver the Underwriting Agreement and for the sale of the Shares by the VEBA thereunder, except such as (i) have been made or obtained prior to the date hereof, (ii) may be required under state securities or “blue sky” laws of any jurisdiction, as to which we express no opinion or (iii) may be required under Section 16 of the Securities Exchange Act of 1934, as amended.</w:t>
      </w:r>
    </w:p>
    <w:p>
      <w:pPr>
        <w:spacing w:after="0" w:line="106" w:lineRule="exact"/>
        <w:rPr>
          <w:rFonts w:ascii="Arial" w:cs="Arial" w:eastAsia="Arial" w:hAnsi="Arial"/>
          <w:sz w:val="16"/>
          <w:szCs w:val="16"/>
          <w:color w:val="auto"/>
        </w:rPr>
      </w:pPr>
    </w:p>
    <w:p>
      <w:pPr>
        <w:jc w:val="both"/>
        <w:ind w:right="160" w:firstLine="464"/>
        <w:spacing w:after="0" w:line="259" w:lineRule="auto"/>
        <w:tabs>
          <w:tab w:leader="none" w:pos="632" w:val="left"/>
        </w:tabs>
        <w:numPr>
          <w:ilvl w:val="1"/>
          <w:numId w:val="41"/>
        </w:numPr>
        <w:rPr>
          <w:rFonts w:ascii="Arial" w:cs="Arial" w:eastAsia="Arial" w:hAnsi="Arial"/>
          <w:sz w:val="18"/>
          <w:szCs w:val="18"/>
          <w:color w:val="auto"/>
        </w:rPr>
      </w:pPr>
      <w:r>
        <w:rPr>
          <w:rFonts w:ascii="Arial" w:cs="Arial" w:eastAsia="Arial" w:hAnsi="Arial"/>
          <w:sz w:val="18"/>
          <w:szCs w:val="18"/>
          <w:color w:val="auto"/>
        </w:rPr>
        <w:t>Neither the execution and delivery by the VEBA of the Underwriting Agreement, the sale of the Shares by the VEBA thereunder, nor the performance by the VEBA of its obligations in the Underwriting Agreement results in a breach or violation of any Applicable Law (but we express no opinion relating to the United States federal securities laws or any state securities or “blue sky” laws of any jurisidction).</w:t>
      </w:r>
    </w:p>
    <w:p>
      <w:pPr>
        <w:spacing w:after="0" w:line="59" w:lineRule="exact"/>
        <w:rPr>
          <w:rFonts w:ascii="Arial" w:cs="Arial" w:eastAsia="Arial" w:hAnsi="Arial"/>
          <w:sz w:val="18"/>
          <w:szCs w:val="18"/>
          <w:color w:val="auto"/>
        </w:rPr>
      </w:pPr>
    </w:p>
    <w:p>
      <w:pPr>
        <w:ind w:right="20" w:firstLine="464"/>
        <w:spacing w:after="0" w:line="302" w:lineRule="auto"/>
        <w:tabs>
          <w:tab w:leader="none" w:pos="632" w:val="left"/>
        </w:tabs>
        <w:numPr>
          <w:ilvl w:val="1"/>
          <w:numId w:val="41"/>
        </w:numPr>
        <w:rPr>
          <w:rFonts w:ascii="Arial" w:cs="Arial" w:eastAsia="Arial" w:hAnsi="Arial"/>
          <w:sz w:val="15"/>
          <w:szCs w:val="15"/>
          <w:color w:val="auto"/>
        </w:rPr>
      </w:pPr>
      <w:r>
        <w:rPr>
          <w:rFonts w:ascii="Arial" w:cs="Arial" w:eastAsia="Arial" w:hAnsi="Arial"/>
          <w:sz w:val="15"/>
          <w:szCs w:val="15"/>
          <w:color w:val="auto"/>
        </w:rPr>
        <w:t>Upon payment for the Shares to be sold by the VEBA pursuant to the Underwriting Agreement, delivery of such Shares, as directed by the Underwriters, to Cede &amp; Co. or such other nominee as may be designated by DTC, registration of such Shares in the name of Cede &amp; Co. or such other nominee and the crediting of such Shares on the books of DTC to securities accounts of the Underwriters (assuming that neither DTC nor any such Underwriter has notice of any adverse claim (within the meaning of Section 8-105 of the Uniform Commercial Code as in effect in the State of New York, the “UCC”) to such Shares),</w:t>
      </w:r>
    </w:p>
    <w:p>
      <w:pPr>
        <w:spacing w:after="0" w:line="2" w:lineRule="exact"/>
        <w:rPr>
          <w:rFonts w:ascii="Arial" w:cs="Arial" w:eastAsia="Arial" w:hAnsi="Arial"/>
          <w:sz w:val="15"/>
          <w:szCs w:val="15"/>
          <w:color w:val="auto"/>
        </w:rPr>
      </w:pPr>
    </w:p>
    <w:p>
      <w:pPr>
        <w:ind w:right="20" w:firstLine="8"/>
        <w:spacing w:after="0" w:line="302" w:lineRule="auto"/>
        <w:tabs>
          <w:tab w:leader="none" w:pos="288" w:val="left"/>
        </w:tabs>
        <w:numPr>
          <w:ilvl w:val="0"/>
          <w:numId w:val="42"/>
        </w:numPr>
        <w:rPr>
          <w:rFonts w:ascii="Arial" w:cs="Arial" w:eastAsia="Arial" w:hAnsi="Arial"/>
          <w:sz w:val="16"/>
          <w:szCs w:val="16"/>
          <w:color w:val="auto"/>
        </w:rPr>
      </w:pPr>
      <w:r>
        <w:rPr>
          <w:rFonts w:ascii="Arial" w:cs="Arial" w:eastAsia="Arial" w:hAnsi="Arial"/>
          <w:sz w:val="16"/>
          <w:szCs w:val="16"/>
          <w:color w:val="auto"/>
        </w:rPr>
        <w:t>DTC shall be a “protected purchaser” of such Shares within the meaning of Section 8-303 of the UCC, (B) under Section 8-501 of the UCC, the Underwriters will acquire a valid security entitlement (as defined in Section 8-102(a)(17) of the UCC) in respect of such Shares and (C) no action based on any “adverse claim”, within the meaning of Section 8-102 of the UCC, to such Shares may be asserted against the Underwriters with respect to such security entitlement.</w:t>
      </w:r>
    </w:p>
    <w:p>
      <w:pPr>
        <w:spacing w:after="0" w:line="109"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With respect to paragraph 3 above, we assume that when such payment, delivery and crediting occur, (x) such Shares will have been registered in the name of Cede &amp; Co. or another nominee designated by DTC, in each case on the Company’s share registry in accordance with its certificate of incorporation, bylaws and Applicable Law, (y) DTC will be registered as a “clearing corporation” within the meaning of Section 8-102 of the UCC and (z) appropriate entries to the accounts of the several Underwriters on the records of DTC will have been made pursuant to the UCC. We also assume that each endorsement, instruction and entitlement order, as such terms are defined in Section 8-102(a) of the UCC, is effective in accordance with Section 8-107 of the UCC. Also, with respect to paragraph 3 above, we express no opinion as to the effect of any rule adopted by any clearing corporation, as defined in Section 8-102(a) of the UCC, governing rights and obligations among such clearing corporation and its participants.</w:t>
      </w:r>
    </w:p>
    <w:p>
      <w:pPr>
        <w:sectPr>
          <w:pgSz w:w="11900" w:h="16838" w:orient="portrait"/>
          <w:cols w:equalWidth="0" w:num="1">
            <w:col w:w="11400"/>
          </w:cols>
          <w:pgMar w:left="240" w:top="280" w:right="259" w:bottom="1440" w:gutter="0" w:footer="0" w:header="0"/>
        </w:sectPr>
      </w:pPr>
    </w:p>
    <w:bookmarkStart w:id="60" w:name="page61"/>
    <w:bookmarkEnd w:id="60"/>
    <w:p>
      <w:pPr>
        <w:ind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purposes of this opinion, (i) the term “Applicable Law” means laws, rules and regulations of any Governmental Authority which, in our experience, are normally applicable to the type of transactions contemplated by the Underwriting Agreement; (ii) the term “Governmental Authority” means any United States federal or State of New York administrative, judicial or other governmental agency, authority, tribunal or body; and (iii) the term “Governmental Approval” means any consent, authorization, approval or order of, or registration, qualification or filing with, any Governmental Authority under Applicable Law.</w:t>
      </w:r>
    </w:p>
    <w:p>
      <w:pPr>
        <w:spacing w:after="0" w:line="113"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The foregoing opinions are limited to matters involving the law of the State of New York and the federal law of the United States. This opinion is furnished to you in your capacity as the Representatives of the Underwriters, and is solely for the benefit of the Underwriters in connection with the closing of the sale of the Shares by the VEBA under the Underwriting Agreement occurring today and may not be used, quoted, relied upon or otherwise referred to by any other person or for any other purpose without our express written consent in each instance. We disclaim any obligation to update anything herein for events occurring after the date hereof.</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420"/>
          </w:cols>
          <w:pgMar w:left="240" w:top="2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COUNSEL FOR THE UNDERWRITERS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 several Underwriters named in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Underwriting Agreement referred to below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acted as counsel for you and the other several Underwriters named in Schedule III to the Underwriting Agreement dated June 6, 2013 (the “Underwriting Agreement”) with General Motors Company, a Delaware corporation (the “Company”), and the selling stockholders named in Schedule IV thereto (the “Selling Stockholders”) under which you and such other Underwriters have severally agreed to purchase from the Selling Stockholders an aggregate of 50,000,000 shares (the “Shares”) of common stock, par value $0.01 per share of the Company.</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have examined originals or copies of such documents, corporate records, certificates of public officials and other instruments as we have deemed necessary or advisable for the purpose of rendering this opinion.</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also reviewed the Company’s registration statement on Form S-3 (File No. 333-188153) (including the documents incorporated by reference therein (the “Incorporated Documents”)) filed with the Securities and Exchange Commission (the “Commission”) pursuant to the provisions of the Securities Act of 1933, as amended (the “Act”), relating to the registration of securities (the “Shelf Securities”) to be sold from time to time by the Selling Stockholders, and have participated in the preparation of the preliminary prospectus supplement dated June 6, 2013 relating to the Shares, the free writing prospectus dated June 5, 2013 filed under Rule 433 under the Exchange Act, the free writing prospectus dated June 6, 2013 filed</w:t>
      </w:r>
    </w:p>
    <w:p>
      <w:pPr>
        <w:sectPr>
          <w:pgSz w:w="11900" w:h="16838" w:orient="portrait"/>
          <w:cols w:equalWidth="0" w:num="1">
            <w:col w:w="11420"/>
          </w:cols>
          <w:pgMar w:left="240" w:top="274" w:right="239" w:bottom="1440" w:gutter="0" w:footer="0" w:header="0"/>
        </w:sectPr>
      </w:pPr>
    </w:p>
    <w:bookmarkStart w:id="62" w:name="page63"/>
    <w:bookmarkEnd w:id="62"/>
    <w:p>
      <w:pPr>
        <w:ind w:right="4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Rule 433 under the Exchange Act and the prospectus supplement dated June 6, 2013 relating to the Shares (the “Prospectus Supplement”). The registration statement became effective under the Act upon the filing of the registration statement with the Commission on April 26, 2013 pursuant to Rule 462(e). The registration statement at the date of the Underwriting Agreement, including the Incorporated Documents and the information deemed to be part of the registration statement at the time of effectiveness pursuant to Rule 430B under the Act, is hereinafter referred to as the “Registration Statement,” and the related prospectus (including the Incorporated Documents) dated April 26, 2013 relating to the Shelf Securities is hereinafter referred to as the “Basic Prospectus.” The Basic Prospectus, as supplemented by the Prospectus Supplement, in the form first used to confirm sales of the Shares (or in the form first made available by the Company to the Underwriters to meet requests of purchasers of the Shares under Rule 173 under the Act), is hereinafter referred to as the “Prospectus.”</w:t>
      </w:r>
    </w:p>
    <w:p>
      <w:pPr>
        <w:spacing w:after="0" w:line="105" w:lineRule="exact"/>
        <w:rPr>
          <w:sz w:val="20"/>
          <w:szCs w:val="20"/>
          <w:color w:val="auto"/>
        </w:rPr>
      </w:pPr>
    </w:p>
    <w:p>
      <w:pPr>
        <w:ind w:right="180" w:firstLine="456"/>
        <w:spacing w:after="0" w:line="302" w:lineRule="auto"/>
        <w:rPr>
          <w:sz w:val="20"/>
          <w:szCs w:val="20"/>
          <w:color w:val="auto"/>
        </w:rPr>
      </w:pPr>
      <w:r>
        <w:rPr>
          <w:rFonts w:ascii="Arial" w:cs="Arial" w:eastAsia="Arial" w:hAnsi="Arial"/>
          <w:sz w:val="15"/>
          <w:szCs w:val="15"/>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with or submitted to the Commission through its Electronic Data Gathering, Analysis and Retrieval (“EDGAR”) system (except for required EDGAR formatting changes) conform to the versions of such documents reviewed by us prior to such formatting, (iv) all signatures on all documents that we reviewed are genuine,</w:t>
      </w:r>
    </w:p>
    <w:p>
      <w:pPr>
        <w:spacing w:after="0" w:line="3" w:lineRule="exact"/>
        <w:rPr>
          <w:sz w:val="20"/>
          <w:szCs w:val="20"/>
          <w:color w:val="auto"/>
        </w:rPr>
      </w:pPr>
    </w:p>
    <w:p>
      <w:pPr>
        <w:ind w:firstLine="8"/>
        <w:spacing w:after="0" w:line="255" w:lineRule="auto"/>
        <w:tabs>
          <w:tab w:leader="none" w:pos="249"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44"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Based upon the foregoing, and subject to the additional assumptions and qualifications set forth below, we are of the opinion that the Underwriting Agreement has been duly authorized, executed and delivered by the Company.</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considered the statements included in the Prospectus under the captions “Overview of Our Capital Stock,” “Description of Our Common Stock” and “Underwriting” insofar as they summarize provisions of the certificate of incorporation and by-laws of the Company and the Underwriting Agreement. In our opinion, such statements fairly summarize these provisions in all material respects.</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are members of the Bar of the State of New York, and the foregoing opinion is limited to the laws of the State of New York, the federal laws of the United States of America and the General Corporation Law of the State of Delaware, except that we express no opinion as to any law, rule or regulation that is applicable to the Company, the Underwriting Agreement or Shares or such transactions solely because such law, rule or regulation is part of a regulatory regime applicable to any party to the Underwriting Agreement or any of its affiliates due to the specific assets or business of such party or such affiliate.</w:t>
      </w:r>
    </w:p>
    <w:p>
      <w:pPr>
        <w:sectPr>
          <w:pgSz w:w="11900" w:h="16838" w:orient="portrait"/>
          <w:cols w:equalWidth="0" w:num="1">
            <w:col w:w="11400"/>
          </w:cols>
          <w:pgMar w:left="240" w:top="280" w:right="259" w:bottom="1440" w:gutter="0" w:footer="0" w:header="0"/>
        </w:sectPr>
      </w:pPr>
    </w:p>
    <w:bookmarkStart w:id="63" w:name="page64"/>
    <w:bookmarkEnd w:id="63"/>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opinion is rendered solely to you and the other several Underwriters in connection with the Underwriting Agreement. This opinion may not be relied upon by you for any other purpose or relied upon by any other person (including any person acquiring Shares from the several Underwriters) or furnished to any other person without our prior written consent.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280"/>
          </w:cols>
          <w:pgMar w:left="240" w:top="280" w:right="37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B-2</w:t>
      </w:r>
    </w:p>
    <w:p>
      <w:pPr>
        <w:spacing w:after="0" w:line="33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RULE 10B-5 STATEMENT OF COUNSEL FOR THE UNDERWRITERS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 several Underwriters named in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Underwriting Agreement referred to below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acted as counsel for you and the other several Underwriters named in Schedule III to the Underwriting Agreement dated June 6, 2013 (the “Underwriting Agreement”) with General Motors Company, a Delaware corporation (the “Company”), and the selling stockholders named in Schedule IV thereto (the “Selling Stockholders”) under which you and such other Underwriters have severally agreed to purchase from the Selling Stockholders an aggregate of 50,000,000 shares (the “Shares”) of common stock, par value $0.01 per share of the Company.</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also reviewed the Company’s registration statement on Form S-3 (File No. 333-188153) (including the documents incorporated by reference therein (the “Incorporated Documents”)) filed with the Securities and Exchange Commission (the “Commission”) pursuant to the provisions of the Securities Act of 1933, as amended (the “Act”), relating to the registration of securities (the “Shelf Securities”) to be sold from time to time by the Selling Stockholders and have participated in the preparation of the preliminary prospectus supplement dated June 6, 2013 (the “Preliminary Prospectus Supplement”) relating to the Shares, the free writing prospectus dated June 5, 2013 filed under Rule 433 under the Exchange Act, the free writing prospectus dated June 6, 2013 filed under Rule 433 under the Exchange Act and the prospectus supplement dated June 6, 2013 relating to the Shares (the “Prospectus Supplement”). The registration statement at the date of the Underwriting Agreement, including the Incorporated Documents and the information deemed to be part of the registration statement at the time of</w:t>
      </w:r>
    </w:p>
    <w:p>
      <w:pPr>
        <w:sectPr>
          <w:pgSz w:w="11900" w:h="16838" w:orient="portrait"/>
          <w:cols w:equalWidth="0" w:num="1">
            <w:col w:w="11420"/>
          </w:cols>
          <w:pgMar w:left="240" w:top="274" w:right="239" w:bottom="1440" w:gutter="0" w:footer="0" w:header="0"/>
        </w:sectPr>
      </w:pPr>
    </w:p>
    <w:bookmarkStart w:id="65" w:name="page66"/>
    <w:bookmarkEnd w:id="65"/>
    <w:p>
      <w:pPr>
        <w:ind w:right="4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effectiveness pursuant to Rule 430B under the Act, is hereinafter referred to as the “Registration Statement,” and the related prospectus (including the Incorporated Documents) dated April 26, 2013 relating to the Shelf Securities is hereinafter referred to as the “Basic Prospectus.” The Basic Prospectus, as supplemented by the Preliminary Prospectus Supplement, together with the free writing prospectuses and other information set forth in Schedule II to the Underwriting Agreement for the Shares are hereinafter referred to as the “Disclosure Package.” The Basic Prospectus, as supplemented by the Prospectus Supplement, in the form first used to confirm sales of the Shares (or in the form first made available by the Company to the Underwriters to meet requests of purchasers of the Shares under Rule 173 under the Act), is hereinafter referred to as the “Prospectus.”</w:t>
      </w:r>
    </w:p>
    <w:p>
      <w:pPr>
        <w:spacing w:after="0" w:line="12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without independent inquiry or investigation, assumed that all documents filed with or submitted to the Commission through its Electronic Data Gathering, Analysis and Retrieval (“EDGAR”) system (except for required EDGAR formatting changes) conform to the versions of such documents reviewed by us prior to such formatting.</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primary purpose of our professional engagement was not to establish or confirm factual matters or financial, accounting or quantitative information. Furthermore, many determinations involved in the preparation of the Registration Statement, the Disclosure Package and the Prospectus are of a wholly or partially non-legal character or relate to legal matters outside the scope of our opinion separately delivered to you today in respect of certain matters under the laws of the State of New York, the federal laws of the United States of America and the General Corporation Law of the State of Delaware. As a result, we are not passing upon, and do not assume any responsibility for, the accuracy, completeness or fairness of the statements contained in the Registration Statement, the Disclosure Package or the Prospectus, and we have not ourselves checked the accuracy, completeness or fairness of, or otherwise verified, the information furnished in such documents (except to the extent expressly set forth in our opinion letter separately delivered to you today as to statements included in the Prospectus under the captions “Overview of Our Capital Stock,” “Description of Our Common Stock” and “Underwriting”). However, in the course of our acting as counsel to you in connection with the review of the Registration Statement, the Disclosure Package and the Prospectus, we have generally reviewed and discussed with your representatives and with certain officers and employees of, and counsel and independent public accountants for, the Company the information furnished, whether or not subject to our check and verification. We have also reviewed and relied upon certain corporate records and documents, letters from counsel and accountants and oral and written statements of officers and other representatives of the Company and others as to the existence and consequence of certain factual and other matters.</w:t>
      </w:r>
    </w:p>
    <w:p>
      <w:pPr>
        <w:spacing w:after="0" w:line="12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On the basis of the information gained in the course of the performance of the services rendered above, but without independent check or verification except as stated above:</w:t>
      </w:r>
    </w:p>
    <w:p>
      <w:pPr>
        <w:spacing w:after="0" w:line="51" w:lineRule="exact"/>
        <w:rPr>
          <w:sz w:val="20"/>
          <w:szCs w:val="20"/>
          <w:color w:val="auto"/>
        </w:rPr>
      </w:pPr>
    </w:p>
    <w:p>
      <w:pPr>
        <w:ind w:right="160" w:firstLine="464"/>
        <w:spacing w:after="0" w:line="268" w:lineRule="auto"/>
        <w:tabs>
          <w:tab w:leader="none" w:pos="66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Registration Statement and the Prospectus appear on their face to be appropriately responsive in all material respects to the requirements of the Act and the applicable rules and regulations of the Commission thereunder; and</w:t>
      </w:r>
    </w:p>
    <w:p>
      <w:pPr>
        <w:sectPr>
          <w:pgSz w:w="11900" w:h="16838" w:orient="portrait"/>
          <w:cols w:equalWidth="0" w:num="1">
            <w:col w:w="11420"/>
          </w:cols>
          <w:pgMar w:left="240" w:top="280" w:right="239" w:bottom="1440" w:gutter="0" w:footer="0" w:header="0"/>
        </w:sectPr>
      </w:pPr>
    </w:p>
    <w:bookmarkStart w:id="66" w:name="page67"/>
    <w:bookmarkEnd w:id="6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(ii) nothing has come to our attention that causes us to believe that, insofar as relevant to the offering of the Shares:</w:t>
      </w:r>
    </w:p>
    <w:p>
      <w:pPr>
        <w:spacing w:after="0" w:line="90" w:lineRule="exact"/>
        <w:rPr>
          <w:sz w:val="20"/>
          <w:szCs w:val="20"/>
          <w:color w:val="auto"/>
        </w:rPr>
      </w:pPr>
    </w:p>
    <w:p>
      <w:pPr>
        <w:ind w:right="140" w:firstLine="464"/>
        <w:spacing w:after="0" w:line="268"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the date of the Underwriting Agreement, the Registration Statement contained any untrue statement of a material fact or omitted to state a material fact required to be stated therein or necessary to make the statements therein not misleading,</w:t>
      </w:r>
    </w:p>
    <w:p>
      <w:pPr>
        <w:spacing w:after="0" w:line="50" w:lineRule="exact"/>
        <w:rPr>
          <w:rFonts w:ascii="Arial" w:cs="Arial" w:eastAsia="Arial" w:hAnsi="Arial"/>
          <w:sz w:val="18"/>
          <w:szCs w:val="18"/>
          <w:color w:val="auto"/>
        </w:rPr>
      </w:pPr>
    </w:p>
    <w:p>
      <w:pPr>
        <w:ind w:right="540" w:firstLine="464"/>
        <w:spacing w:after="0" w:line="332" w:lineRule="auto"/>
        <w:tabs>
          <w:tab w:leader="none" w:pos="705" w:val="left"/>
        </w:tabs>
        <w:numPr>
          <w:ilvl w:val="0"/>
          <w:numId w:val="45"/>
        </w:numPr>
        <w:rPr>
          <w:rFonts w:ascii="Arial" w:cs="Arial" w:eastAsia="Arial" w:hAnsi="Arial"/>
          <w:sz w:val="16"/>
          <w:szCs w:val="16"/>
          <w:color w:val="auto"/>
        </w:rPr>
      </w:pPr>
      <w:r>
        <w:rPr>
          <w:rFonts w:ascii="Arial" w:cs="Arial" w:eastAsia="Arial" w:hAnsi="Arial"/>
          <w:sz w:val="16"/>
          <w:szCs w:val="16"/>
          <w:color w:val="auto"/>
        </w:rPr>
        <w:t>at 4:30 P.M. New York City time on June 6, 2013, the Disclosure Package contained any untrue statement of a material fact or omitted to state a material fact necessary in order to make the statements therein, in the light of the circumstances under which they were made, not misleading, or</w:t>
      </w:r>
    </w:p>
    <w:p>
      <w:pPr>
        <w:spacing w:after="0" w:line="4" w:lineRule="exact"/>
        <w:rPr>
          <w:rFonts w:ascii="Arial" w:cs="Arial" w:eastAsia="Arial" w:hAnsi="Arial"/>
          <w:sz w:val="16"/>
          <w:szCs w:val="16"/>
          <w:color w:val="auto"/>
        </w:rPr>
      </w:pPr>
    </w:p>
    <w:p>
      <w:pPr>
        <w:ind w:right="260" w:firstLine="464"/>
        <w:spacing w:after="0" w:line="259"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Prospectus as of the date of the Underwriting Agreement or as of the date hereof contained or contains any untrue statement of a material fact or omitted or omits to state a material fact necessary in order to make the statements therein, in the light of the circumstances under which they were made, not misleading.</w:t>
      </w:r>
    </w:p>
    <w:p>
      <w:pPr>
        <w:spacing w:after="0" w:line="14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providing this letter to you and the other several Underwriters, we have not been called to pass upon, and we express no view regarding, the financial statements or financial schedules or other financial or accounting data included in the Registration Statement, the Disclosure Package or the Prospectus. In addition, we express no view as to the conveyance of the Disclosure Package or the information contained therein to investors.</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letter is delivered solely to you and the other several Underwriters in connection with the Underwriting Agreement. This letter may not be relied upon by you for any other purpose or relied upon by any other person (including any person acquiring Shares from the several Underwriters) or furnished to any other person without our prior written consent.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360"/>
          </w:cols>
          <w:pgMar w:left="240" w:top="280" w:right="29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SELLING SHAREHOLDER LOCK-UP AGREEMENT</w:t>
      </w:r>
    </w:p>
    <w:p>
      <w:pPr>
        <w:spacing w:after="0" w:line="177"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June 6,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Managers for the several Underwriters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undersigned understands that each of Citigroup Global Markets Inc., J.P. Morgan Securities LLC and Morgan Stanley &amp; Co. LLC (the “Managers”), on behalf of itself and the Underwriters (as defined below), proposes to enter into an Underwriting Agreement (the “Underwriting Agreement”) with General Motors Company, a Delaware corporation (the “Company”), and the other Selling Shareholders named therein, providing for the public offering (the “Public Offering”) by the several Underwriters, including the Managers (the “Underwriters”), of 50,000,000 shares of the $0.01 par value common stock of the Company (the “Common Shares”). Capitalized terms used but not defined herein shall have the meanings ascribed to such terms in the Underwriting Agreement.</w:t>
      </w:r>
    </w:p>
    <w:p>
      <w:pPr>
        <w:spacing w:after="0" w:line="1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consideration of the Underwriters’ agreement to purchase and make the Public Offering of the Common Shares, and for other good and valuable consideration, the receipt and sufficiency of which are hereby acknowledged, the undersigned hereby agrees that, without the prior written consent of the Managers, the undersigned will not, during the period commencing on the date on which the Underwriting Agreement is executed by the Company and each of the Managers and ending 30 days after the date of the final prospectus supplement relating to the Public Offering, (1) offer, pledge, sell, contract to sell, sell any option or contract to purchase, purchase any option or contract to sell, grant any option, right or warrant to purchase, or</w:t>
      </w:r>
    </w:p>
    <w:p>
      <w:pPr>
        <w:sectPr>
          <w:pgSz w:w="11900" w:h="16838" w:orient="portrait"/>
          <w:cols w:equalWidth="0" w:num="1">
            <w:col w:w="11420"/>
          </w:cols>
          <w:pgMar w:left="240" w:top="274" w:right="239" w:bottom="1440" w:gutter="0" w:footer="0" w:header="0"/>
        </w:sectPr>
      </w:pPr>
    </w:p>
    <w:bookmarkStart w:id="68" w:name="page69"/>
    <w:bookmarkEnd w:id="6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otherwise transfer or dispose of, directly or indirectly, any Common Shares or any securities convertible into or exercisable or exchangeable for Common Shares (including without limitation, Common Shares or any securities convertible into or exercisable or exchangeable for Common Shares which may be deemed to be beneficially owned by the undersigned in accordance with the rules and regulations of the Securities and Exchange Commission and securities which may be issued upon exercise of a stock option or warrant); (2) enter into any swap or other agreement that transfers, in whole or in part, any of the economic consequences of ownership of Common Shares or such other securities convertible into or exercisable or exchangeable for Common Shares, whether any such transaction described in clause (1) or (2) above is to be settled by delivery of Common Shares or such other securities, in cash or otherwise; or (3) make any demand for or exercise any right with respect to the registration of any Common Shares or any security convertible into or exercisable or exchangeable for Common Shares, in each case other than (A) the Common Shares to be sold by the undersigned pursuant to the Underwriting Agreement, (B) sales, transfers or other dispositions of Common Shares or any securities convertible into or exercisable or exchangeable for Common Shares pursuant to sales plans pursuant to Rule 10b5-1 under the Securities Exchange Act of 1934 (the “Exchange Act”), (C) if the undersigned is a natural person, transfers of Common Shares or any securities convertible into or exercisable or exchangeable for Common Shares to any beneficiary of the undersigned pursuant to a will or other testamentary document or applicable laws of descent, (D) transfers of Common Shares or any securities convertible into or exercisable or exchangeable for Common Shares as a bona fide gift or gifts, (E) if the undersigned is a natural person, transfers of Common Shares or any securities convertible into or exercisable or exchangeable for Common Shares to any trust, partnership or limited liability company for the direct or indirect benefit of the undersigned or the immediate family of the undersigned, (F) distributions of Common Shares to members, limited partners, stockholders or creditors of the undersigned, and (G) transfers of Common Shares or any securities convertible into or exercisable or exchangeable for Common Shares to (i) the Company or (ii) a corporation, partnership, limited liability company, government organization or entity, or other entity that is a controlled or managed affiliate of the undersigned or controls or manages the undersigned or is under common control with the undersigned; provided that in the case of any transfer or distribution pursuant to clause (C), (D), (E), (F) or (G), each such transferee shall execute and deliver to the Managers a lock-up letter in the form of this paragraph for the remainder of the lock-up period. As used herein, the term “immediate family” shall mean any relationship by blood, marriage or adoption, not more remote than first cousin.</w:t>
      </w:r>
    </w:p>
    <w:p>
      <w:pPr>
        <w:spacing w:after="0" w:line="12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the restrictions set forth herein shall not prevent the undersigned from entering into sales plans pursuant to Rule 10b5-1 under the Exchange Act on or after the date hereof.</w:t>
      </w:r>
    </w:p>
    <w:p>
      <w:pPr>
        <w:spacing w:after="0" w:line="13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ectPr>
          <w:pgSz w:w="11900" w:h="16838" w:orient="portrait"/>
          <w:cols w:equalWidth="0" w:num="1">
            <w:col w:w="11400"/>
          </w:cols>
          <w:pgMar w:left="240" w:top="280" w:right="259" w:bottom="1440" w:gutter="0" w:footer="0" w:header="0"/>
        </w:sectPr>
      </w:pPr>
    </w:p>
    <w:bookmarkStart w:id="69" w:name="page70"/>
    <w:bookmarkEnd w:id="69"/>
    <w:p>
      <w:pPr>
        <w:ind w:right="8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undersigned hereby represents and warrants that the undersigned has full power and authority to enter into this Letter Agreement. All authority herein conferred or agreed to be conferred and any obligations of the undersigned shall be binding upon the successors or assigns of the undersigned.</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undersigned understands that, if the Underwriting Agreement does not become effective, or if such Underwriting Agreement (other than the provisions thereof which survive termination) shall terminate or be terminated prior to payment for and delivery of the Shares to be sold thereunder, the undersigned shall be released from all obligations under this Letter Agreement.</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undersigned understands that the Underwriters are entering into the Underwriting Agreement and proceeding with the Public Offering in reliance upon this Letter Agreement.</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This Letter Agreement and any claim, controversy or dispute arising under or related to this Letter Agreement shall be governed by and construed in accordance with the laws of the State of New York, without regard to the conflict of laws principles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Very truly yours,</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lowerLetter"/>
      <w:start w:val="4"/>
    </w:lvl>
  </w:abstractNum>
  <w:abstractNum w:abstractNumId="2">
    <w:nsid w:val="75A2A8D4"/>
    <w:multiLevelType w:val="hybridMultilevel"/>
    <w:lvl w:ilvl="0">
      <w:lvlJc w:val="left"/>
      <w:lvlText w:val="(%1)"/>
      <w:numFmt w:val="lowerLetter"/>
      <w:start w:val="1"/>
    </w:lvl>
  </w:abstractNum>
  <w:abstractNum w:abstractNumId="3">
    <w:nsid w:val="8EDBDAB"/>
    <w:multiLevelType w:val="hybridMultilevel"/>
    <w:lvl w:ilvl="0">
      <w:lvlJc w:val="left"/>
      <w:lvlText w:val="(%1)"/>
      <w:numFmt w:val="lowerLetter"/>
      <w:start w:val="2"/>
    </w:lvl>
  </w:abstractNum>
  <w:abstractNum w:abstractNumId="4">
    <w:nsid w:val="79838CB2"/>
    <w:multiLevelType w:val="hybridMultilevel"/>
    <w:lvl w:ilvl="0">
      <w:lvlJc w:val="left"/>
      <w:lvlText w:val="(%1)"/>
      <w:numFmt w:val="lowerLetter"/>
      <w:start w:val="9"/>
    </w:lvl>
  </w:abstractNum>
  <w:abstractNum w:abstractNumId="5">
    <w:nsid w:val="4353D0CD"/>
    <w:multiLevelType w:val="hybridMultilevel"/>
    <w:lvl w:ilvl="0">
      <w:lvlJc w:val="left"/>
      <w:lvlText w:val="(%1)"/>
      <w:numFmt w:val="lowerLetter"/>
      <w:start w:val="1"/>
    </w:lvl>
  </w:abstractNum>
  <w:abstractNum w:abstractNumId="6">
    <w:nsid w:val="B03E0C6"/>
    <w:multiLevelType w:val="hybridMultilevel"/>
    <w:lvl w:ilvl="0">
      <w:lvlJc w:val="left"/>
      <w:lvlText w:val="(%1)"/>
      <w:numFmt w:val="lowerLetter"/>
      <w:start w:val="4"/>
    </w:lvl>
  </w:abstractNum>
  <w:abstractNum w:abstractNumId="7">
    <w:nsid w:val="189A769B"/>
    <w:multiLevelType w:val="hybridMultilevel"/>
    <w:lvl w:ilvl="0">
      <w:lvlJc w:val="left"/>
      <w:lvlText w:val="(%1)"/>
      <w:numFmt w:val="lowerLetter"/>
      <w:start w:val="10"/>
    </w:lvl>
  </w:abstractNum>
  <w:abstractNum w:abstractNumId="8">
    <w:nsid w:val="54E49EB4"/>
    <w:multiLevelType w:val="hybridMultilevel"/>
    <w:lvl w:ilvl="0">
      <w:lvlJc w:val="left"/>
      <w:lvlText w:val="(%1)"/>
      <w:numFmt w:val="lowerLetter"/>
      <w:start w:val="13"/>
    </w:lvl>
  </w:abstractNum>
  <w:abstractNum w:abstractNumId="9">
    <w:nsid w:val="71F32454"/>
    <w:multiLevelType w:val="hybridMultilevel"/>
    <w:lvl w:ilvl="0">
      <w:lvlJc w:val="left"/>
      <w:lvlText w:val="(%1)"/>
      <w:numFmt w:val="lowerLetter"/>
      <w:start w:val="1"/>
    </w:lvl>
  </w:abstractNum>
  <w:abstractNum w:abstractNumId="10">
    <w:nsid w:val="2CA88611"/>
    <w:multiLevelType w:val="hybridMultilevel"/>
    <w:lvl w:ilvl="0">
      <w:lvlJc w:val="left"/>
      <w:lvlText w:val="(%1)"/>
      <w:numFmt w:val="lowerLetter"/>
      <w:start w:val="5"/>
    </w:lvl>
  </w:abstractNum>
  <w:abstractNum w:abstractNumId="11">
    <w:nsid w:val="836C40E"/>
    <w:multiLevelType w:val="hybridMultilevel"/>
    <w:lvl w:ilvl="0">
      <w:lvlJc w:val="left"/>
      <w:lvlText w:val="(%1)"/>
      <w:numFmt w:val="lowerRoman"/>
      <w:start w:val="1"/>
    </w:lvl>
  </w:abstractNum>
  <w:abstractNum w:abstractNumId="12">
    <w:nsid w:val="2901D82"/>
    <w:multiLevelType w:val="hybridMultilevel"/>
    <w:lvl w:ilvl="0">
      <w:lvlJc w:val="left"/>
      <w:lvlText w:val="(%1)"/>
      <w:numFmt w:val="lowerLetter"/>
      <w:start w:val="10"/>
    </w:lvl>
  </w:abstractNum>
  <w:abstractNum w:abstractNumId="13">
    <w:nsid w:val="3A95F874"/>
    <w:multiLevelType w:val="hybridMultilevel"/>
    <w:lvl w:ilvl="0">
      <w:lvlJc w:val="left"/>
      <w:lvlText w:val="%1"/>
      <w:numFmt w:val="lowerLetter"/>
      <w:start w:val="1"/>
    </w:lvl>
    <w:lvl w:ilvl="1">
      <w:lvlJc w:val="left"/>
      <w:lvlText w:val="(%2)"/>
      <w:numFmt w:val="lowerLetter"/>
      <w:start w:val="13"/>
    </w:lvl>
  </w:abstractNum>
  <w:abstractNum w:abstractNumId="14">
    <w:nsid w:val="8138641"/>
    <w:multiLevelType w:val="hybridMultilevel"/>
    <w:lvl w:ilvl="0">
      <w:lvlJc w:val="left"/>
      <w:lvlText w:val="(%1)"/>
      <w:numFmt w:val="lowerLetter"/>
      <w:start w:val="9"/>
    </w:lvl>
    <w:lvl w:ilvl="1">
      <w:lvlJc w:val="left"/>
      <w:lvlText w:val="(%2)"/>
      <w:numFmt w:val="lowerLetter"/>
      <w:start w:val="16"/>
    </w:lvl>
  </w:abstractNum>
  <w:abstractNum w:abstractNumId="15">
    <w:nsid w:val="1E7FF521"/>
    <w:multiLevelType w:val="hybridMultilevel"/>
    <w:lvl w:ilvl="0">
      <w:lvlJc w:val="left"/>
      <w:lvlText w:val="(%1)"/>
      <w:numFmt w:val="lowerLetter"/>
      <w:start w:val="18"/>
    </w:lvl>
  </w:abstractNum>
  <w:abstractNum w:abstractNumId="16">
    <w:nsid w:val="7C3DBD3D"/>
    <w:multiLevelType w:val="hybridMultilevel"/>
    <w:lvl w:ilvl="0">
      <w:lvlJc w:val="left"/>
      <w:lvlText w:val="%1"/>
      <w:numFmt w:val="lowerLetter"/>
      <w:start w:val="1"/>
    </w:lvl>
    <w:lvl w:ilvl="1">
      <w:lvlJc w:val="left"/>
      <w:lvlText w:val="(%2)"/>
      <w:numFmt w:val="lowerLetter"/>
      <w:start w:val="23"/>
    </w:lvl>
  </w:abstractNum>
  <w:abstractNum w:abstractNumId="17">
    <w:nsid w:val="737B8DDC"/>
    <w:multiLevelType w:val="hybridMultilevel"/>
    <w:lvl w:ilvl="0">
      <w:lvlJc w:val="left"/>
      <w:lvlText w:val="(%1)"/>
      <w:numFmt w:val="lowerLetter"/>
      <w:start w:val="9"/>
    </w:lvl>
    <w:lvl w:ilvl="1">
      <w:lvlJc w:val="left"/>
      <w:lvlText w:val="(%2)"/>
      <w:numFmt w:val="lowerLetter"/>
      <w:start w:val="26"/>
    </w:lvl>
  </w:abstractNum>
  <w:abstractNum w:abstractNumId="18">
    <w:nsid w:val="6CEAF087"/>
    <w:multiLevelType w:val="hybridMultilevel"/>
    <w:lvl w:ilvl="0">
      <w:lvlJc w:val="left"/>
      <w:lvlText w:val="(%1)"/>
      <w:numFmt w:val="lowerLetter"/>
      <w:start w:val="27"/>
    </w:lvl>
  </w:abstractNum>
  <w:abstractNum w:abstractNumId="19">
    <w:nsid w:val="22221A70"/>
    <w:multiLevelType w:val="hybridMultilevel"/>
    <w:lvl w:ilvl="0">
      <w:lvlJc w:val="left"/>
      <w:lvlText w:val="(%1)"/>
      <w:numFmt w:val="lowerLetter"/>
      <w:start w:val="29"/>
    </w:lvl>
  </w:abstractNum>
  <w:abstractNum w:abstractNumId="20">
    <w:nsid w:val="4516DDE9"/>
    <w:multiLevelType w:val="hybridMultilevel"/>
    <w:lvl w:ilvl="0">
      <w:lvlJc w:val="left"/>
      <w:lvlText w:val="(%1)"/>
      <w:numFmt w:val="lowerLetter"/>
      <w:start w:val="31"/>
    </w:lvl>
  </w:abstractNum>
  <w:abstractNum w:abstractNumId="21">
    <w:nsid w:val="3006C83E"/>
    <w:multiLevelType w:val="hybridMultilevel"/>
    <w:lvl w:ilvl="0">
      <w:lvlJc w:val="left"/>
      <w:lvlText w:val="(%1)"/>
      <w:numFmt w:val="lowerRoman"/>
      <w:start w:val="3"/>
    </w:lvl>
  </w:abstractNum>
  <w:abstractNum w:abstractNumId="22">
    <w:nsid w:val="614FD4A1"/>
    <w:multiLevelType w:val="hybridMultilevel"/>
    <w:lvl w:ilvl="0">
      <w:lvlJc w:val="left"/>
      <w:lvlText w:val="(%1)"/>
      <w:numFmt w:val="lowerRoman"/>
      <w:start w:val="8"/>
    </w:lvl>
  </w:abstractNum>
  <w:abstractNum w:abstractNumId="23">
    <w:nsid w:val="419AC241"/>
    <w:multiLevelType w:val="hybridMultilevel"/>
    <w:lvl w:ilvl="0">
      <w:lvlJc w:val="left"/>
      <w:lvlText w:val="(%1)"/>
      <w:numFmt w:val="lowerRoman"/>
      <w:start w:val="2"/>
    </w:lvl>
  </w:abstractNum>
  <w:abstractNum w:abstractNumId="24">
    <w:nsid w:val="5577F8E1"/>
    <w:multiLevelType w:val="hybridMultilevel"/>
    <w:lvl w:ilvl="0">
      <w:lvlJc w:val="left"/>
      <w:lvlText w:val="(%1)"/>
      <w:numFmt w:val="lowerRoman"/>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lowerLetter"/>
      <w:start w:val="1"/>
    </w:lvl>
  </w:abstractNum>
  <w:abstractNum w:abstractNumId="27">
    <w:nsid w:val="3804823E"/>
    <w:multiLevelType w:val="hybridMultilevel"/>
    <w:lvl w:ilvl="0">
      <w:lvlJc w:val="left"/>
      <w:lvlText w:val="(%1)"/>
      <w:numFmt w:val="lowerLetter"/>
      <w:start w:val="7"/>
    </w:lvl>
  </w:abstractNum>
  <w:abstractNum w:abstractNumId="28">
    <w:nsid w:val="77465F01"/>
    <w:multiLevelType w:val="hybridMultilevel"/>
    <w:lvl w:ilvl="0">
      <w:lvlJc w:val="left"/>
      <w:lvlText w:val="(%1)"/>
      <w:numFmt w:val="lowerRoman"/>
      <w:start w:val="1"/>
    </w:lvl>
  </w:abstractNum>
  <w:abstractNum w:abstractNumId="29">
    <w:nsid w:val="7724C67E"/>
    <w:multiLevelType w:val="hybridMultilevel"/>
    <w:lvl w:ilvl="0">
      <w:lvlJc w:val="left"/>
      <w:lvlText w:val="(%1)"/>
      <w:numFmt w:val="lowerRoman"/>
      <w:start w:val="3"/>
    </w:lvl>
  </w:abstractNum>
  <w:abstractNum w:abstractNumId="30">
    <w:nsid w:val="5C482A97"/>
    <w:multiLevelType w:val="hybridMultilevel"/>
    <w:lvl w:ilvl="0">
      <w:lvlJc w:val="left"/>
      <w:lvlText w:val="(%1)"/>
      <w:numFmt w:val="lowerRoman"/>
      <w:start w:val="4"/>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1)"/>
      <w:numFmt w:val="lowerLetter"/>
      <w:start w:val="1"/>
    </w:lvl>
  </w:abstractNum>
  <w:abstractNum w:abstractNumId="33">
    <w:nsid w:val="51EAD36B"/>
    <w:multiLevelType w:val="hybridMultilevel"/>
    <w:lvl w:ilvl="0">
      <w:lvlJc w:val="left"/>
      <w:lvlText w:val="(%1)"/>
      <w:numFmt w:val="lowerLetter"/>
      <w:start w:val="8"/>
    </w:lvl>
  </w:abstractNum>
  <w:abstractNum w:abstractNumId="34">
    <w:nsid w:val="2D517796"/>
    <w:multiLevelType w:val="hybridMultilevel"/>
    <w:lvl w:ilvl="0">
      <w:lvlJc w:val="left"/>
      <w:lvlText w:val="(%1)"/>
      <w:numFmt w:val="lowerRoman"/>
      <w:start w:val="1"/>
    </w:lvl>
  </w:abstractNum>
  <w:abstractNum w:abstractNumId="35">
    <w:nsid w:val="580BD78F"/>
    <w:multiLevelType w:val="hybridMultilevel"/>
    <w:lvl w:ilvl="0">
      <w:lvlJc w:val="left"/>
      <w:lvlText w:val="(%1)"/>
      <w:numFmt w:val="lowerRoman"/>
      <w:start w:val="4"/>
    </w:lvl>
  </w:abstractNum>
  <w:abstractNum w:abstractNumId="36">
    <w:nsid w:val="153EA438"/>
    <w:multiLevelType w:val="hybridMultilevel"/>
    <w:lvl w:ilvl="0">
      <w:lvlJc w:val="left"/>
      <w:lvlText w:val="(%1)"/>
      <w:numFmt w:val="lowerLetter"/>
      <w:start w:val="1"/>
    </w:lvl>
  </w:abstractNum>
  <w:abstractNum w:abstractNumId="37">
    <w:nsid w:val="3855585C"/>
    <w:multiLevelType w:val="hybridMultilevel"/>
    <w:lvl w:ilvl="0">
      <w:lvlJc w:val="left"/>
      <w:lvlText w:val="(%1)"/>
      <w:numFmt w:val="lowerLetter"/>
      <w:start w:val="3"/>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lowerRoman"/>
      <w:start w:val="1"/>
    </w:lvl>
  </w:abstractNum>
  <w:abstractNum w:abstractNumId="40">
    <w:nsid w:val="2A487CB0"/>
    <w:multiLevelType w:val="hybridMultilevel"/>
    <w:lvl w:ilvl="0">
      <w:lvlJc w:val="left"/>
      <w:lvlText w:val="%1"/>
      <w:numFmt w:val="upperLetter"/>
      <w:start w:val="1"/>
    </w:lvl>
    <w:lvl w:ilvl="1">
      <w:lvlJc w:val="left"/>
      <w:lvlText w:val="%2."/>
      <w:numFmt w:val="decimal"/>
      <w:start w:val="1"/>
    </w:lvl>
  </w:abstractNum>
  <w:abstractNum w:abstractNumId="41">
    <w:nsid w:val="1D4ED43B"/>
    <w:multiLevelType w:val="hybridMultilevel"/>
    <w:lvl w:ilvl="0">
      <w:lvlJc w:val="left"/>
      <w:lvlText w:val="(%1)"/>
      <w:numFmt w:val="upperLetter"/>
      <w:start w:val="1"/>
    </w:lvl>
    <w:lvl w:ilvl="1">
      <w:lvlJc w:val="left"/>
      <w:lvlText w:val="%2"/>
      <w:numFmt w:val="decimal"/>
      <w:start w:val="1"/>
    </w:lvl>
  </w:abstractNum>
  <w:abstractNum w:abstractNumId="42">
    <w:nsid w:val="725A06FB"/>
    <w:multiLevelType w:val="hybridMultilevel"/>
    <w:lvl w:ilvl="0">
      <w:lvlJc w:val="left"/>
      <w:lvlText w:val="(%1)"/>
      <w:numFmt w:val="lowerRoman"/>
      <w:start w:val="5"/>
    </w:lvl>
  </w:abstractNum>
  <w:abstractNum w:abstractNumId="43">
    <w:nsid w:val="2CD89A32"/>
    <w:multiLevelType w:val="hybridMultilevel"/>
    <w:lvl w:ilvl="0">
      <w:lvlJc w:val="left"/>
      <w:lvlText w:val="(%1)"/>
      <w:numFmt w:val="lowerRoman"/>
      <w:start w:val="1"/>
    </w:lvl>
  </w:abstractNum>
  <w:abstractNum w:abstractNumId="44">
    <w:nsid w:val="57E4CC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2019-12-07T20:22:25Z</dcterms:created>
  <dcterms:modified xsi:type="dcterms:W3CDTF">2019-12-07T20:22:25Z</dcterms:modified>
</cp:coreProperties>
</file>