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28, 2025</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On January 28, 2025, General Motors Company (GM) issued a news release and supplemental materials on the subject of its 2024 fourth quarter and full year consolidated earnings. The news release and supplemental materials are attached as Exhibit 99.1.</w:t>
      </w:r>
    </w:p>
    <w:p>
      <w:pPr>
        <w:spacing w:after="0" w:line="18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2024 fourth quarter and full year consolidated earnings release are available on GM's website at www.gm.com/investors/earnings-releases.html.</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7"/>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January 28, 2025</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January 28, 2025</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Jan. 28, 2025, at 6:30 a.m. ET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Releases Full-Year and Fourth-Quarter 2024 Results and 2025 Guidance</w:t>
      </w:r>
    </w:p>
    <w:p>
      <w:pPr>
        <w:spacing w:after="0" w:line="22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(NYSE: GM) today reported full-year 2024 net income attributable to shareholders of $ 6.0 billion and EBIT-adjusted of $14.9 billion. Fourth-quarter 2024 net income attributable to shareholders was a loss of $3.0 billion and EBIT-adjusted was $2.5 billion.</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Fourth quarter net income was reduced by more than $5 billion in special charges driven primarily by $4 billion of non-cash restructuring charges and impairment of our interests in certain China Joint Ventures, and $0.5 billion in charges related to the decision to stop funding the Cruise robotaxi business.</w:t>
      </w:r>
    </w:p>
    <w:p>
      <w:pPr>
        <w:spacing w:after="0" w:line="19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chart below summarizes GM's 2024 financial guidance and 2024 results, as well as the company's 2025 guidance, which is for a year of strong financial performance.</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Final 2024 Guidance</w:t>
            </w:r>
          </w:p>
        </w:tc>
        <w:tc>
          <w:tcPr>
            <w:tcW w:w="1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2024 Results</w:t>
            </w:r>
          </w:p>
        </w:tc>
        <w:tc>
          <w:tcPr>
            <w:tcW w:w="30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2025 Guidance</w:t>
            </w:r>
          </w:p>
        </w:tc>
      </w:tr>
      <w:tr>
        <w:trPr>
          <w:trHeight w:val="210"/>
        </w:trPr>
        <w:tc>
          <w:tcPr>
            <w:tcW w:w="406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340" w:type="dxa"/>
            <w:vAlign w:val="bottom"/>
          </w:tcPr>
          <w:p>
            <w:pPr>
              <w:spacing w:after="0"/>
              <w:rPr>
                <w:sz w:val="20"/>
                <w:szCs w:val="20"/>
                <w:color w:val="auto"/>
              </w:rPr>
            </w:pPr>
            <w:r>
              <w:rPr>
                <w:rFonts w:ascii="Arial" w:cs="Arial" w:eastAsia="Arial" w:hAnsi="Arial"/>
                <w:sz w:val="16"/>
                <w:szCs w:val="16"/>
                <w:color w:val="auto"/>
              </w:rPr>
              <w:t>$10.4 billion - $11.1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$6.0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$11.2 billion - $12.5 billion</w:t>
            </w: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EBIT-adjusted</w:t>
            </w:r>
          </w:p>
        </w:tc>
        <w:tc>
          <w:tcPr>
            <w:tcW w:w="2340" w:type="dxa"/>
            <w:vAlign w:val="bottom"/>
          </w:tcPr>
          <w:p>
            <w:pPr>
              <w:spacing w:after="0"/>
              <w:rPr>
                <w:sz w:val="20"/>
                <w:szCs w:val="20"/>
                <w:color w:val="auto"/>
              </w:rPr>
            </w:pPr>
            <w:r>
              <w:rPr>
                <w:rFonts w:ascii="Arial" w:cs="Arial" w:eastAsia="Arial" w:hAnsi="Arial"/>
                <w:sz w:val="16"/>
                <w:szCs w:val="16"/>
                <w:color w:val="auto"/>
              </w:rPr>
              <w:t>$14.0 billion - $15.0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$14.9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$13.7 billion - $15.7 billion</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340" w:type="dxa"/>
            <w:vAlign w:val="bottom"/>
          </w:tcPr>
          <w:p>
            <w:pPr>
              <w:spacing w:after="0"/>
              <w:rPr>
                <w:sz w:val="20"/>
                <w:szCs w:val="20"/>
                <w:color w:val="auto"/>
              </w:rPr>
            </w:pPr>
            <w:r>
              <w:rPr>
                <w:rFonts w:ascii="Arial" w:cs="Arial" w:eastAsia="Arial" w:hAnsi="Arial"/>
                <w:sz w:val="16"/>
                <w:szCs w:val="16"/>
                <w:color w:val="auto"/>
              </w:rPr>
              <w:t>$22.0 billion - $24.0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$23.9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$21.0 billion - $24.0 billion</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340" w:type="dxa"/>
            <w:vAlign w:val="bottom"/>
          </w:tcPr>
          <w:p>
            <w:pPr>
              <w:spacing w:after="0"/>
              <w:rPr>
                <w:sz w:val="20"/>
                <w:szCs w:val="20"/>
                <w:color w:val="auto"/>
              </w:rPr>
            </w:pPr>
            <w:r>
              <w:rPr>
                <w:rFonts w:ascii="Arial" w:cs="Arial" w:eastAsia="Arial" w:hAnsi="Arial"/>
                <w:sz w:val="16"/>
                <w:szCs w:val="16"/>
                <w:color w:val="auto"/>
              </w:rPr>
              <w:t>$12.5 billion - $13.5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$14.0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$11.0 billion - $13.0 billion</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EPS-diluted</w:t>
            </w:r>
          </w:p>
        </w:tc>
        <w:tc>
          <w:tcPr>
            <w:tcW w:w="2340" w:type="dxa"/>
            <w:vAlign w:val="bottom"/>
          </w:tcPr>
          <w:p>
            <w:pPr>
              <w:spacing w:after="0"/>
              <w:rPr>
                <w:sz w:val="20"/>
                <w:szCs w:val="20"/>
                <w:color w:val="auto"/>
              </w:rPr>
            </w:pPr>
            <w:r>
              <w:rPr>
                <w:rFonts w:ascii="Arial" w:cs="Arial" w:eastAsia="Arial" w:hAnsi="Arial"/>
                <w:sz w:val="16"/>
                <w:szCs w:val="16"/>
                <w:color w:val="auto"/>
              </w:rPr>
              <w:t>$9.14 - $9.64</w:t>
            </w:r>
          </w:p>
        </w:tc>
        <w:tc>
          <w:tcPr>
            <w:tcW w:w="1720" w:type="dxa"/>
            <w:vAlign w:val="bottom"/>
          </w:tcPr>
          <w:p>
            <w:pPr>
              <w:ind w:left="460"/>
              <w:spacing w:after="0"/>
              <w:rPr>
                <w:sz w:val="20"/>
                <w:szCs w:val="20"/>
                <w:color w:val="auto"/>
              </w:rPr>
            </w:pPr>
            <w:r>
              <w:rPr>
                <w:rFonts w:ascii="Arial" w:cs="Arial" w:eastAsia="Arial" w:hAnsi="Arial"/>
                <w:sz w:val="16"/>
                <w:szCs w:val="16"/>
                <w:color w:val="auto"/>
              </w:rPr>
              <w:t>$6.37</w:t>
            </w:r>
          </w:p>
        </w:tc>
        <w:tc>
          <w:tcPr>
            <w:tcW w:w="3080" w:type="dxa"/>
            <w:vAlign w:val="bottom"/>
          </w:tcPr>
          <w:p>
            <w:pPr>
              <w:ind w:left="320"/>
              <w:spacing w:after="0"/>
              <w:rPr>
                <w:sz w:val="20"/>
                <w:szCs w:val="20"/>
                <w:color w:val="auto"/>
              </w:rPr>
            </w:pPr>
            <w:r>
              <w:rPr>
                <w:rFonts w:ascii="Arial" w:cs="Arial" w:eastAsia="Arial" w:hAnsi="Arial"/>
                <w:sz w:val="16"/>
                <w:szCs w:val="16"/>
                <w:color w:val="auto"/>
              </w:rPr>
              <w:t>$11.00 - $12.00</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EPS-diluted-adjusted</w:t>
            </w:r>
          </w:p>
        </w:tc>
        <w:tc>
          <w:tcPr>
            <w:tcW w:w="2340" w:type="dxa"/>
            <w:vAlign w:val="bottom"/>
          </w:tcPr>
          <w:p>
            <w:pPr>
              <w:spacing w:after="0"/>
              <w:rPr>
                <w:sz w:val="20"/>
                <w:szCs w:val="20"/>
                <w:color w:val="auto"/>
              </w:rPr>
            </w:pPr>
            <w:r>
              <w:rPr>
                <w:rFonts w:ascii="Arial" w:cs="Arial" w:eastAsia="Arial" w:hAnsi="Arial"/>
                <w:sz w:val="16"/>
                <w:szCs w:val="16"/>
                <w:color w:val="auto"/>
              </w:rPr>
              <w:t>$10.00 - $10.50</w:t>
            </w:r>
          </w:p>
        </w:tc>
        <w:tc>
          <w:tcPr>
            <w:tcW w:w="1720" w:type="dxa"/>
            <w:vAlign w:val="bottom"/>
          </w:tcPr>
          <w:p>
            <w:pPr>
              <w:ind w:left="460"/>
              <w:spacing w:after="0"/>
              <w:rPr>
                <w:sz w:val="20"/>
                <w:szCs w:val="20"/>
                <w:color w:val="auto"/>
              </w:rPr>
            </w:pPr>
            <w:r>
              <w:rPr>
                <w:rFonts w:ascii="Arial" w:cs="Arial" w:eastAsia="Arial" w:hAnsi="Arial"/>
                <w:sz w:val="16"/>
                <w:szCs w:val="16"/>
                <w:color w:val="auto"/>
              </w:rPr>
              <w:t>$10.60</w:t>
            </w:r>
          </w:p>
        </w:tc>
        <w:tc>
          <w:tcPr>
            <w:tcW w:w="3080" w:type="dxa"/>
            <w:vAlign w:val="bottom"/>
          </w:tcPr>
          <w:p>
            <w:pPr>
              <w:ind w:left="320"/>
              <w:spacing w:after="0"/>
              <w:rPr>
                <w:sz w:val="20"/>
                <w:szCs w:val="20"/>
                <w:color w:val="auto"/>
              </w:rPr>
            </w:pPr>
            <w:r>
              <w:rPr>
                <w:rFonts w:ascii="Arial" w:cs="Arial" w:eastAsia="Arial" w:hAnsi="Arial"/>
                <w:sz w:val="16"/>
                <w:szCs w:val="16"/>
                <w:color w:val="auto"/>
              </w:rPr>
              <w:t>$11.00 - $12.00</w:t>
            </w:r>
          </w:p>
        </w:tc>
      </w:tr>
    </w:tbl>
    <w:p>
      <w:pPr>
        <w:spacing w:after="0" w:line="19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GM's 2025 financial guidance assumes a stable policy environment in North America and an estimated benefit of $0.5 billion from reduced year-over-year expenses at Cruise. The financial guidance also includes anticipated capital spending of $10.0 billion - $11.0 billion, inclusive of investments in the company's battery cell manufacturing joint ventures.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3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GM Chair and CEO Mary Barra and GM Chief Financial Officer Paul Jacobson will host a conference call for the investment community at 8:30 a.m. ET today to discuss these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22"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10" w:lineRule="exact"/>
        <w:rPr>
          <w:rFonts w:ascii="Arial" w:cs="Arial" w:eastAsia="Arial" w:hAnsi="Arial"/>
          <w:sz w:val="22"/>
          <w:szCs w:val="22"/>
          <w:color w:val="auto"/>
        </w:rPr>
      </w:pPr>
    </w:p>
    <w:p>
      <w:pPr>
        <w:ind w:left="640" w:hanging="308"/>
        <w:spacing w:after="0" w:line="228"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1" w:lineRule="exact"/>
        <w:rPr>
          <w:rFonts w:ascii="Arial" w:cs="Arial" w:eastAsia="Arial" w:hAnsi="Arial"/>
          <w:sz w:val="22"/>
          <w:szCs w:val="22"/>
          <w:color w:val="auto"/>
        </w:rPr>
      </w:pPr>
    </w:p>
    <w:p>
      <w:pPr>
        <w:ind w:left="640" w:hanging="308"/>
        <w:spacing w:after="0" w:line="209"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07" w:lineRule="exact"/>
        <w:rPr>
          <w:sz w:val="20"/>
          <w:szCs w:val="20"/>
          <w:color w:val="auto"/>
        </w:rPr>
      </w:pPr>
    </w:p>
    <w:p>
      <w:pPr>
        <w:ind w:right="1040"/>
        <w:spacing w:after="0" w:line="271" w:lineRule="auto"/>
        <w:rPr>
          <w:sz w:val="20"/>
          <w:szCs w:val="20"/>
          <w:color w:val="auto"/>
        </w:rPr>
      </w:pPr>
      <w:r>
        <w:rPr>
          <w:rFonts w:ascii="Arial" w:cs="Arial" w:eastAsia="Arial" w:hAnsi="Arial"/>
          <w:sz w:val="18"/>
          <w:szCs w:val="18"/>
          <w:color w:val="auto"/>
        </w:rPr>
        <w:t>Visit the GM Investor Relations website to download the company’s earnings deck and GM Chair and CEO Mary Barra’s letter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140" w:type="dxa"/>
            <w:vAlign w:val="bottom"/>
            <w:vMerge w:val="restart"/>
          </w:tcPr>
          <w:p>
            <w:pPr>
              <w:spacing w:after="0"/>
              <w:rPr>
                <w:sz w:val="20"/>
                <w:szCs w:val="20"/>
                <w:color w:val="auto"/>
              </w:rPr>
            </w:pPr>
            <w:r>
              <w:rPr>
                <w:rFonts w:ascii="Arial" w:cs="Arial" w:eastAsia="Arial" w:hAnsi="Arial"/>
                <w:sz w:val="16"/>
                <w:szCs w:val="16"/>
                <w:i w:val="1"/>
                <w:iCs w:val="1"/>
                <w:color w:val="auto"/>
              </w:rPr>
              <w:t>$M except per share amounts</w:t>
            </w:r>
          </w:p>
        </w:tc>
        <w:tc>
          <w:tcPr>
            <w:tcW w:w="1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5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Change</w:t>
            </w:r>
          </w:p>
        </w:tc>
        <w:tc>
          <w:tcPr>
            <w:tcW w:w="15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1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December 31, 2024</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47,702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42,980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4,722</w:t>
            </w:r>
          </w:p>
        </w:tc>
        <w:tc>
          <w:tcPr>
            <w:tcW w:w="1500" w:type="dxa"/>
            <w:vAlign w:val="bottom"/>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6"/>
                <w:szCs w:val="16"/>
                <w:color w:val="auto"/>
              </w:rPr>
              <w:t>Net income (loss) attributable to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(2,961)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2,102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(5,063)</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2,509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1,757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752</w:t>
            </w:r>
          </w:p>
        </w:tc>
        <w:tc>
          <w:tcPr>
            <w:tcW w:w="1500" w:type="dxa"/>
            <w:vAlign w:val="bottom"/>
          </w:tcPr>
          <w:p>
            <w:pPr>
              <w:jc w:val="right"/>
              <w:spacing w:after="0"/>
              <w:rPr>
                <w:sz w:val="20"/>
                <w:szCs w:val="20"/>
                <w:color w:val="auto"/>
              </w:rPr>
            </w:pPr>
            <w:r>
              <w:rPr>
                <w:rFonts w:ascii="Arial" w:cs="Arial" w:eastAsia="Arial" w:hAnsi="Arial"/>
                <w:sz w:val="16"/>
                <w:szCs w:val="16"/>
                <w:color w:val="auto"/>
              </w:rPr>
              <w:t>42.8 %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Net income margin</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(11.1) ppts</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EBIT-adjusted margin</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1.2 ppts</w:t>
            </w:r>
          </w:p>
        </w:tc>
        <w:tc>
          <w:tcPr>
            <w:tcW w:w="1500" w:type="dxa"/>
            <w:vAlign w:val="bottom"/>
          </w:tcPr>
          <w:p>
            <w:pPr>
              <w:jc w:val="right"/>
              <w:spacing w:after="0"/>
              <w:rPr>
                <w:sz w:val="20"/>
                <w:szCs w:val="20"/>
                <w:color w:val="auto"/>
              </w:rPr>
            </w:pPr>
            <w:r>
              <w:rPr>
                <w:rFonts w:ascii="Arial" w:cs="Arial" w:eastAsia="Arial" w:hAnsi="Arial"/>
                <w:sz w:val="16"/>
                <w:szCs w:val="16"/>
                <w:color w:val="auto"/>
              </w:rPr>
              <w:t>29.3 %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4,765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4,688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77</w:t>
            </w:r>
          </w:p>
        </w:tc>
        <w:tc>
          <w:tcPr>
            <w:tcW w:w="1500" w:type="dxa"/>
            <w:vAlign w:val="bottom"/>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1,823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1,341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482</w:t>
            </w:r>
          </w:p>
        </w:tc>
        <w:tc>
          <w:tcPr>
            <w:tcW w:w="1500" w:type="dxa"/>
            <w:vAlign w:val="bottom"/>
          </w:tcPr>
          <w:p>
            <w:pPr>
              <w:jc w:val="right"/>
              <w:spacing w:after="0"/>
              <w:rPr>
                <w:sz w:val="20"/>
                <w:szCs w:val="20"/>
                <w:color w:val="auto"/>
              </w:rPr>
            </w:pPr>
            <w:r>
              <w:rPr>
                <w:rFonts w:ascii="Arial" w:cs="Arial" w:eastAsia="Arial" w:hAnsi="Arial"/>
                <w:sz w:val="16"/>
                <w:szCs w:val="16"/>
                <w:color w:val="auto"/>
              </w:rPr>
              <w:t>35.9 %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EPS-diluted(a)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1.59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(3.23)</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EPS-diluted-adjusted(a)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1.92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1.24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0.68</w:t>
            </w:r>
          </w:p>
        </w:tc>
        <w:tc>
          <w:tcPr>
            <w:tcW w:w="1500" w:type="dxa"/>
            <w:vAlign w:val="bottom"/>
          </w:tcPr>
          <w:p>
            <w:pPr>
              <w:jc w:val="right"/>
              <w:spacing w:after="0"/>
              <w:rPr>
                <w:sz w:val="20"/>
                <w:szCs w:val="20"/>
                <w:color w:val="auto"/>
              </w:rPr>
            </w:pPr>
            <w:r>
              <w:rPr>
                <w:rFonts w:ascii="Arial" w:cs="Arial" w:eastAsia="Arial" w:hAnsi="Arial"/>
                <w:sz w:val="16"/>
                <w:szCs w:val="16"/>
                <w:color w:val="auto"/>
              </w:rPr>
              <w:t>54.8 %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GMNA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2,274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2,011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263</w:t>
            </w:r>
          </w:p>
        </w:tc>
        <w:tc>
          <w:tcPr>
            <w:tcW w:w="1500" w:type="dxa"/>
            <w:vAlign w:val="bottom"/>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5.7 %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0.1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GMI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269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(48)</w:t>
            </w:r>
          </w:p>
        </w:tc>
        <w:tc>
          <w:tcPr>
            <w:tcW w:w="150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China equity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(4,060)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93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(4,153)</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719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707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12</w:t>
            </w:r>
          </w:p>
        </w:tc>
        <w:tc>
          <w:tcPr>
            <w:tcW w:w="150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EPS-diluted and EPS-diluted-adjusted include a $0.02 and $(0.05) impact from revaluation on equity investments in the three months ended December 31, 2024 and 2023.</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120" w:type="dxa"/>
            <w:vAlign w:val="bottom"/>
            <w:vMerge w:val="restart"/>
          </w:tcPr>
          <w:p>
            <w:pPr>
              <w:spacing w:after="0"/>
              <w:rPr>
                <w:sz w:val="20"/>
                <w:szCs w:val="20"/>
                <w:color w:val="auto"/>
              </w:rPr>
            </w:pPr>
            <w:r>
              <w:rPr>
                <w:rFonts w:ascii="Arial" w:cs="Arial" w:eastAsia="Arial" w:hAnsi="Arial"/>
                <w:sz w:val="16"/>
                <w:szCs w:val="16"/>
                <w:i w:val="1"/>
                <w:iCs w:val="1"/>
                <w:color w:val="auto"/>
              </w:rPr>
              <w:t>$M except per share amounts</w:t>
            </w:r>
          </w:p>
        </w:tc>
        <w:tc>
          <w:tcPr>
            <w:tcW w:w="1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79"/>
              <w:spacing w:after="0"/>
              <w:rPr>
                <w:sz w:val="20"/>
                <w:szCs w:val="20"/>
                <w:color w:val="auto"/>
              </w:rPr>
            </w:pPr>
            <w:r>
              <w:rPr>
                <w:rFonts w:ascii="Arial" w:cs="Arial" w:eastAsia="Arial" w:hAnsi="Arial"/>
                <w:sz w:val="16"/>
                <w:szCs w:val="16"/>
                <w:b w:val="1"/>
                <w:bCs w:val="1"/>
                <w:color w:val="auto"/>
              </w:rPr>
              <w:t>Years Ended</w:t>
            </w:r>
          </w:p>
        </w:tc>
        <w:tc>
          <w:tcPr>
            <w:tcW w:w="300" w:type="dxa"/>
            <w:vAlign w:val="bottom"/>
          </w:tcPr>
          <w:p>
            <w:pPr>
              <w:spacing w:after="0"/>
              <w:rPr>
                <w:sz w:val="18"/>
                <w:szCs w:val="18"/>
                <w:color w:val="auto"/>
              </w:rPr>
            </w:pPr>
          </w:p>
        </w:tc>
        <w:tc>
          <w:tcPr>
            <w:tcW w:w="15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Change</w:t>
            </w:r>
          </w:p>
        </w:tc>
        <w:tc>
          <w:tcPr>
            <w:tcW w:w="15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187,442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171,842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15,600</w:t>
            </w:r>
          </w:p>
        </w:tc>
        <w:tc>
          <w:tcPr>
            <w:tcW w:w="1500" w:type="dxa"/>
            <w:vAlign w:val="bottom"/>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6,008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10,127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(4,119)</w:t>
            </w:r>
          </w:p>
        </w:tc>
        <w:tc>
          <w:tcPr>
            <w:tcW w:w="1500" w:type="dxa"/>
            <w:vAlign w:val="bottom"/>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14,934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12,357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2,577</w:t>
            </w:r>
          </w:p>
        </w:tc>
        <w:tc>
          <w:tcPr>
            <w:tcW w:w="1500" w:type="dxa"/>
            <w:vAlign w:val="bottom"/>
          </w:tcPr>
          <w:p>
            <w:pPr>
              <w:jc w:val="right"/>
              <w:spacing w:after="0"/>
              <w:rPr>
                <w:sz w:val="20"/>
                <w:szCs w:val="20"/>
                <w:color w:val="auto"/>
              </w:rPr>
            </w:pPr>
            <w:r>
              <w:rPr>
                <w:rFonts w:ascii="Arial" w:cs="Arial" w:eastAsia="Arial" w:hAnsi="Arial"/>
                <w:sz w:val="16"/>
                <w:szCs w:val="16"/>
                <w:color w:val="auto"/>
              </w:rPr>
              <w:t>20.9 %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Net income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5.9 %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(2.7) ppts</w:t>
            </w:r>
          </w:p>
        </w:tc>
        <w:tc>
          <w:tcPr>
            <w:tcW w:w="1500" w:type="dxa"/>
            <w:vAlign w:val="bottom"/>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EBIT-adjusted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7.2 %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0.8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23,939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20,828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3,111</w:t>
            </w:r>
          </w:p>
        </w:tc>
        <w:tc>
          <w:tcPr>
            <w:tcW w:w="1500" w:type="dxa"/>
            <w:vAlign w:val="bottom"/>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14,045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11,666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2,379</w:t>
            </w:r>
          </w:p>
        </w:tc>
        <w:tc>
          <w:tcPr>
            <w:tcW w:w="1500" w:type="dxa"/>
            <w:vAlign w:val="bottom"/>
          </w:tcPr>
          <w:p>
            <w:pPr>
              <w:jc w:val="right"/>
              <w:spacing w:after="0"/>
              <w:rPr>
                <w:sz w:val="20"/>
                <w:szCs w:val="20"/>
                <w:color w:val="auto"/>
              </w:rPr>
            </w:pPr>
            <w:r>
              <w:rPr>
                <w:rFonts w:ascii="Arial" w:cs="Arial" w:eastAsia="Arial" w:hAnsi="Arial"/>
                <w:sz w:val="16"/>
                <w:szCs w:val="16"/>
                <w:color w:val="auto"/>
              </w:rPr>
              <w:t>20.4 %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EPS-diluted(a)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6.37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7.32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(0.95)</w:t>
            </w:r>
          </w:p>
        </w:tc>
        <w:tc>
          <w:tcPr>
            <w:tcW w:w="15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EPS-diluted-adjusted(a)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10.60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7.68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2.92</w:t>
            </w:r>
          </w:p>
        </w:tc>
        <w:tc>
          <w:tcPr>
            <w:tcW w:w="1500" w:type="dxa"/>
            <w:vAlign w:val="bottom"/>
          </w:tcPr>
          <w:p>
            <w:pPr>
              <w:jc w:val="right"/>
              <w:spacing w:after="0"/>
              <w:rPr>
                <w:sz w:val="20"/>
                <w:szCs w:val="20"/>
                <w:color w:val="auto"/>
              </w:rPr>
            </w:pPr>
            <w:r>
              <w:rPr>
                <w:rFonts w:ascii="Arial" w:cs="Arial" w:eastAsia="Arial" w:hAnsi="Arial"/>
                <w:sz w:val="16"/>
                <w:szCs w:val="16"/>
                <w:color w:val="auto"/>
              </w:rPr>
              <w:t>38.0 %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GMNA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14,528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12,306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2,222</w:t>
            </w:r>
          </w:p>
        </w:tc>
        <w:tc>
          <w:tcPr>
            <w:tcW w:w="1500" w:type="dxa"/>
            <w:vAlign w:val="bottom"/>
          </w:tcPr>
          <w:p>
            <w:pPr>
              <w:jc w:val="right"/>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9.2 %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8.7 %</w:t>
            </w:r>
          </w:p>
        </w:tc>
        <w:tc>
          <w:tcPr>
            <w:tcW w:w="30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0.5 ppts</w:t>
            </w:r>
          </w:p>
        </w:tc>
        <w:tc>
          <w:tcPr>
            <w:tcW w:w="150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GMI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1,210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(907)</w:t>
            </w:r>
          </w:p>
        </w:tc>
        <w:tc>
          <w:tcPr>
            <w:tcW w:w="150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China equity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(4,407)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446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(4,853)</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2,965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2,985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15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EPS-diluted and EPS-diluted-adjusted include a $(0.11) and $(0.10) impact from revaluation on equity investments in the years ended December 31, 2024 and 2023.</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1440" w:right="379" w:bottom="1440" w:gutter="0" w:footer="0" w:header="0"/>
        </w:sectPr>
      </w:pPr>
    </w:p>
    <w:bookmarkStart w:id="5" w:name="page6"/>
    <w:bookmarkEnd w:id="5"/>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driving the future of transportation, leveraging advanced technology to build safer, smarter, and lower</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 cars, trucks, and SUVs. GM’s Buick, Cadillac, Chevrolet, and GMC brands offer a broad portfolio of innovative gasoline-powered vehicles and the industry’s widest range of EVs, as we move to an all-electric future. Learn more at GM.com.</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272"/>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3"/>
                <w:szCs w:val="23"/>
                <w:color w:val="auto"/>
              </w:rPr>
            </w:pPr>
          </w:p>
        </w:tc>
        <w:tc>
          <w:tcPr>
            <w:tcW w:w="1780" w:type="dxa"/>
            <w:vAlign w:val="bottom"/>
            <w:tcBorders>
              <w:top w:val="single" w:sz="8" w:color="0563C1"/>
            </w:tcBorders>
          </w:tcPr>
          <w:p>
            <w:pPr>
              <w:spacing w:after="0"/>
              <w:rPr>
                <w:sz w:val="23"/>
                <w:szCs w:val="23"/>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looking statements” within the meaning of the U.S. federal securities laws. Forward-looking statements are any statements other than statements of historical fact and represent our current judgment about possible future events. In making these statements, we rely upon</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2024 Guidance Reconciliations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under U.S. GAAP to expected EBIT-adjusted (dollars in billions):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2024</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3200" w:type="dxa"/>
            <w:vAlign w:val="bottom"/>
          </w:tcPr>
          <w:p>
            <w:pPr>
              <w:jc w:val="right"/>
              <w:spacing w:after="0"/>
              <w:rPr>
                <w:sz w:val="20"/>
                <w:szCs w:val="20"/>
                <w:color w:val="auto"/>
              </w:rPr>
            </w:pPr>
            <w:r>
              <w:rPr>
                <w:rFonts w:ascii="Arial" w:cs="Arial" w:eastAsia="Arial" w:hAnsi="Arial"/>
                <w:sz w:val="16"/>
                <w:szCs w:val="16"/>
                <w:color w:val="auto"/>
              </w:rPr>
              <w:t>$ 10.4-11.1</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Income tax expense</w:t>
            </w:r>
          </w:p>
        </w:tc>
        <w:tc>
          <w:tcPr>
            <w:tcW w:w="3200" w:type="dxa"/>
            <w:vAlign w:val="bottom"/>
          </w:tcPr>
          <w:p>
            <w:pPr>
              <w:jc w:val="right"/>
              <w:spacing w:after="0"/>
              <w:rPr>
                <w:sz w:val="20"/>
                <w:szCs w:val="20"/>
                <w:color w:val="auto"/>
              </w:rPr>
            </w:pPr>
            <w:r>
              <w:rPr>
                <w:rFonts w:ascii="Arial" w:cs="Arial" w:eastAsia="Arial" w:hAnsi="Arial"/>
                <w:sz w:val="16"/>
                <w:szCs w:val="16"/>
                <w:color w:val="auto"/>
              </w:rPr>
              <w:t>2.4-2.7</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Automotive interest income, net</w:t>
            </w:r>
          </w:p>
        </w:tc>
        <w:tc>
          <w:tcPr>
            <w:tcW w:w="32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Adjustments(a)</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EBIT-adjusted</w:t>
            </w:r>
          </w:p>
        </w:tc>
        <w:tc>
          <w:tcPr>
            <w:tcW w:w="3200" w:type="dxa"/>
            <w:vAlign w:val="bottom"/>
          </w:tcPr>
          <w:p>
            <w:pPr>
              <w:jc w:val="right"/>
              <w:spacing w:after="0"/>
              <w:rPr>
                <w:sz w:val="20"/>
                <w:szCs w:val="20"/>
                <w:color w:val="auto"/>
              </w:rPr>
            </w:pPr>
            <w:r>
              <w:rPr>
                <w:rFonts w:ascii="Arial" w:cs="Arial" w:eastAsia="Arial" w:hAnsi="Arial"/>
                <w:sz w:val="16"/>
                <w:szCs w:val="16"/>
                <w:color w:val="auto"/>
              </w:rPr>
              <w:t>$ 14.0-15.0</w:t>
            </w:r>
          </w:p>
        </w:tc>
      </w:tr>
    </w:tbl>
    <w:p>
      <w:pPr>
        <w:spacing w:after="0" w:line="200" w:lineRule="exact"/>
        <w:rPr>
          <w:sz w:val="20"/>
          <w:szCs w:val="20"/>
          <w:color w:val="auto"/>
        </w:rPr>
      </w:pPr>
    </w:p>
    <w:p>
      <w:pPr>
        <w:spacing w:after="0" w:line="35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under U.S. GAAP to expected adjusted automotive free cash flow (dollars in billions):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2024</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3200" w:type="dxa"/>
            <w:vAlign w:val="bottom"/>
          </w:tcPr>
          <w:p>
            <w:pPr>
              <w:jc w:val="right"/>
              <w:spacing w:after="0"/>
              <w:rPr>
                <w:sz w:val="20"/>
                <w:szCs w:val="20"/>
                <w:color w:val="auto"/>
              </w:rPr>
            </w:pPr>
            <w:r>
              <w:rPr>
                <w:rFonts w:ascii="Arial" w:cs="Arial" w:eastAsia="Arial" w:hAnsi="Arial"/>
                <w:sz w:val="16"/>
                <w:szCs w:val="16"/>
                <w:color w:val="auto"/>
              </w:rPr>
              <w:t>$ 22.0-24.0</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3200" w:type="dxa"/>
            <w:vAlign w:val="bottom"/>
          </w:tcPr>
          <w:p>
            <w:pPr>
              <w:jc w:val="right"/>
              <w:spacing w:after="0"/>
              <w:rPr>
                <w:sz w:val="20"/>
                <w:szCs w:val="20"/>
                <w:color w:val="auto"/>
              </w:rPr>
            </w:pPr>
            <w:r>
              <w:rPr>
                <w:rFonts w:ascii="Arial" w:cs="Arial" w:eastAsia="Arial" w:hAnsi="Arial"/>
                <w:sz w:val="16"/>
                <w:szCs w:val="16"/>
                <w:color w:val="auto"/>
              </w:rPr>
              <w:t>10.0-11.0</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Adjustments(a)</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3200" w:type="dxa"/>
            <w:vAlign w:val="bottom"/>
          </w:tcPr>
          <w:p>
            <w:pPr>
              <w:jc w:val="right"/>
              <w:spacing w:after="0"/>
              <w:rPr>
                <w:sz w:val="20"/>
                <w:szCs w:val="20"/>
                <w:color w:val="auto"/>
              </w:rPr>
            </w:pPr>
            <w:r>
              <w:rPr>
                <w:rFonts w:ascii="Arial" w:cs="Arial" w:eastAsia="Arial" w:hAnsi="Arial"/>
                <w:sz w:val="16"/>
                <w:szCs w:val="16"/>
                <w:color w:val="auto"/>
              </w:rPr>
              <w:t>$ 12.5-13.5</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EPS-diluted under U.S. GAAP to expected EPS-diluted-adjusted: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2024</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3200" w:type="dxa"/>
            <w:vAlign w:val="bottom"/>
          </w:tcPr>
          <w:p>
            <w:pPr>
              <w:jc w:val="right"/>
              <w:spacing w:after="0"/>
              <w:rPr>
                <w:sz w:val="20"/>
                <w:szCs w:val="20"/>
                <w:color w:val="auto"/>
              </w:rPr>
            </w:pPr>
            <w:r>
              <w:rPr>
                <w:rFonts w:ascii="Arial" w:cs="Arial" w:eastAsia="Arial" w:hAnsi="Arial"/>
                <w:sz w:val="16"/>
                <w:szCs w:val="16"/>
                <w:color w:val="auto"/>
              </w:rPr>
              <w:t>$ 9.14-9.64</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Adjustments(a)</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EPS-diluted-adjusted</w:t>
            </w:r>
          </w:p>
        </w:tc>
        <w:tc>
          <w:tcPr>
            <w:tcW w:w="3200" w:type="dxa"/>
            <w:vAlign w:val="bottom"/>
          </w:tcPr>
          <w:p>
            <w:pPr>
              <w:jc w:val="right"/>
              <w:spacing w:after="0"/>
              <w:rPr>
                <w:sz w:val="20"/>
                <w:szCs w:val="20"/>
                <w:color w:val="auto"/>
              </w:rPr>
            </w:pPr>
            <w:r>
              <w:rPr>
                <w:rFonts w:ascii="Arial" w:cs="Arial" w:eastAsia="Arial" w:hAnsi="Arial"/>
                <w:sz w:val="16"/>
                <w:szCs w:val="16"/>
                <w:color w:val="auto"/>
              </w:rPr>
              <w:t>$ 10.00-10.50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1" w:lineRule="exact"/>
        <w:rPr>
          <w:sz w:val="20"/>
          <w:szCs w:val="20"/>
          <w:color w:val="auto"/>
        </w:rPr>
      </w:pPr>
    </w:p>
    <w:p>
      <w:pPr>
        <w:ind w:left="340" w:hanging="332"/>
        <w:spacing w:after="0" w:line="283"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Adjustments as of September 30, 2024. See our Quarterly Report on Form 10-Q for the quarter ended September 30, 2024, for full details. We do not consider the potential future impact of adjustments on our expected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2025 Guidance Reconciliations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under U.S. GAAP to expected EBIT-adjusted (dollars in billions):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2025</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3200" w:type="dxa"/>
            <w:vAlign w:val="bottom"/>
          </w:tcPr>
          <w:p>
            <w:pPr>
              <w:jc w:val="right"/>
              <w:spacing w:after="0"/>
              <w:rPr>
                <w:sz w:val="20"/>
                <w:szCs w:val="20"/>
                <w:color w:val="auto"/>
              </w:rPr>
            </w:pPr>
            <w:r>
              <w:rPr>
                <w:rFonts w:ascii="Arial" w:cs="Arial" w:eastAsia="Arial" w:hAnsi="Arial"/>
                <w:sz w:val="16"/>
                <w:szCs w:val="16"/>
                <w:color w:val="auto"/>
              </w:rPr>
              <w:t>$ 11.2-12.5</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Income tax expense</w:t>
            </w:r>
          </w:p>
        </w:tc>
        <w:tc>
          <w:tcPr>
            <w:tcW w:w="3200" w:type="dxa"/>
            <w:vAlign w:val="bottom"/>
          </w:tcPr>
          <w:p>
            <w:pPr>
              <w:jc w:val="right"/>
              <w:spacing w:after="0"/>
              <w:rPr>
                <w:sz w:val="20"/>
                <w:szCs w:val="20"/>
                <w:color w:val="auto"/>
              </w:rPr>
            </w:pPr>
            <w:r>
              <w:rPr>
                <w:rFonts w:ascii="Arial" w:cs="Arial" w:eastAsia="Arial" w:hAnsi="Arial"/>
                <w:sz w:val="16"/>
                <w:szCs w:val="16"/>
                <w:color w:val="auto"/>
              </w:rPr>
              <w:t>2.5-3.2</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Automotive interest income, net</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EBIT-adjusted(a)</w:t>
            </w:r>
          </w:p>
        </w:tc>
        <w:tc>
          <w:tcPr>
            <w:tcW w:w="3200" w:type="dxa"/>
            <w:vAlign w:val="bottom"/>
          </w:tcPr>
          <w:p>
            <w:pPr>
              <w:jc w:val="right"/>
              <w:spacing w:after="0"/>
              <w:rPr>
                <w:sz w:val="20"/>
                <w:szCs w:val="20"/>
                <w:color w:val="auto"/>
              </w:rPr>
            </w:pPr>
            <w:r>
              <w:rPr>
                <w:rFonts w:ascii="Arial" w:cs="Arial" w:eastAsia="Arial" w:hAnsi="Arial"/>
                <w:sz w:val="16"/>
                <w:szCs w:val="16"/>
                <w:color w:val="auto"/>
              </w:rPr>
              <w:t>$ 13.7-15.7</w:t>
            </w:r>
          </w:p>
        </w:tc>
      </w:tr>
    </w:tbl>
    <w:p>
      <w:pPr>
        <w:spacing w:after="0" w:line="200" w:lineRule="exact"/>
        <w:rPr>
          <w:sz w:val="20"/>
          <w:szCs w:val="20"/>
          <w:color w:val="auto"/>
        </w:rPr>
      </w:pPr>
    </w:p>
    <w:p>
      <w:pPr>
        <w:spacing w:after="0" w:line="35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under U.S. GAAP to expected adjusted automotive free cash flow (dollars in billions):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2025</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3200" w:type="dxa"/>
            <w:vAlign w:val="bottom"/>
          </w:tcPr>
          <w:p>
            <w:pPr>
              <w:jc w:val="right"/>
              <w:spacing w:after="0"/>
              <w:rPr>
                <w:sz w:val="20"/>
                <w:szCs w:val="20"/>
                <w:color w:val="auto"/>
              </w:rPr>
            </w:pPr>
            <w:r>
              <w:rPr>
                <w:rFonts w:ascii="Arial" w:cs="Arial" w:eastAsia="Arial" w:hAnsi="Arial"/>
                <w:sz w:val="16"/>
                <w:szCs w:val="16"/>
                <w:color w:val="auto"/>
              </w:rPr>
              <w:t>$ 21.0-24.0</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10.0-11.0</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Adjusted automotive free cash flow(a)</w:t>
            </w:r>
          </w:p>
        </w:tc>
        <w:tc>
          <w:tcPr>
            <w:tcW w:w="3200" w:type="dxa"/>
            <w:vAlign w:val="bottom"/>
          </w:tcPr>
          <w:p>
            <w:pPr>
              <w:jc w:val="right"/>
              <w:spacing w:after="0"/>
              <w:rPr>
                <w:sz w:val="20"/>
                <w:szCs w:val="20"/>
                <w:color w:val="auto"/>
              </w:rPr>
            </w:pPr>
            <w:r>
              <w:rPr>
                <w:rFonts w:ascii="Arial" w:cs="Arial" w:eastAsia="Arial" w:hAnsi="Arial"/>
                <w:sz w:val="16"/>
                <w:szCs w:val="16"/>
                <w:color w:val="auto"/>
              </w:rPr>
              <w:t>$ 11.0-13.0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do not consider the potential future impact of adjustments on our expected financial results.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(In millions) (Unaudited)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Year Ended December 31, 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Year Ended December 31, 2023</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Automotive</w:t>
            </w:r>
          </w:p>
        </w:tc>
        <w:tc>
          <w:tcPr>
            <w:tcW w:w="6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58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18"/>
              <w:spacing w:after="0"/>
              <w:rPr>
                <w:sz w:val="20"/>
                <w:szCs w:val="20"/>
                <w:color w:val="auto"/>
              </w:rPr>
            </w:pPr>
            <w:r>
              <w:rPr>
                <w:rFonts w:ascii="Arial" w:cs="Arial" w:eastAsia="Arial" w:hAnsi="Arial"/>
                <w:sz w:val="11"/>
                <w:szCs w:val="11"/>
                <w:b w:val="1"/>
                <w:bCs w:val="1"/>
                <w:color w:val="auto"/>
                <w:w w:val="96"/>
              </w:rPr>
              <w:t>Combined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60" w:type="dxa"/>
            <w:vAlign w:val="bottom"/>
            <w:gridSpan w:val="2"/>
          </w:tcPr>
          <w:p>
            <w:pPr>
              <w:jc w:val="center"/>
              <w:ind w:right="20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4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157,667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157,658</w:t>
            </w:r>
          </w:p>
        </w:tc>
        <w:tc>
          <w:tcPr>
            <w:tcW w:w="0" w:type="dxa"/>
            <w:vAlign w:val="bottom"/>
          </w:tcPr>
          <w:p>
            <w:pPr>
              <w:spacing w:after="0"/>
              <w:rPr>
                <w:sz w:val="1"/>
                <w:szCs w:val="1"/>
                <w:color w:val="auto"/>
              </w:rPr>
            </w:pPr>
          </w:p>
        </w:tc>
      </w:tr>
      <w:tr>
        <w:trPr>
          <w:trHeight w:val="171"/>
        </w:trPr>
        <w:tc>
          <w:tcPr>
            <w:tcW w:w="1700" w:type="dxa"/>
            <w:vAlign w:val="bottom"/>
          </w:tcPr>
          <w:p>
            <w:pPr>
              <w:ind w:left="140"/>
              <w:spacing w:after="0"/>
              <w:rPr>
                <w:sz w:val="20"/>
                <w:szCs w:val="20"/>
                <w:color w:val="auto"/>
              </w:rPr>
            </w:pPr>
            <w:r>
              <w:rPr>
                <w:rFonts w:ascii="Arial" w:cs="Arial" w:eastAsia="Arial" w:hAnsi="Arial"/>
                <w:sz w:val="13"/>
                <w:szCs w:val="13"/>
                <w:color w:val="auto"/>
              </w:rPr>
              <w:t>GM Financial</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15,875</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15,836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14,225</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14,184</w:t>
            </w:r>
          </w:p>
        </w:tc>
        <w:tc>
          <w:tcPr>
            <w:tcW w:w="0" w:type="dxa"/>
            <w:vAlign w:val="bottom"/>
          </w:tcPr>
          <w:p>
            <w:pPr>
              <w:spacing w:after="0"/>
              <w:rPr>
                <w:sz w:val="1"/>
                <w:szCs w:val="1"/>
                <w:color w:val="auto"/>
              </w:rPr>
            </w:pPr>
          </w:p>
        </w:tc>
      </w:tr>
      <w:tr>
        <w:trPr>
          <w:trHeight w:val="174"/>
        </w:trPr>
        <w:tc>
          <w:tcPr>
            <w:tcW w:w="1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5"/>
              </w:rPr>
              <w:t>Total net sales and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171,605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15,875</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187,442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157,667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14,225</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171,842</w:t>
            </w:r>
          </w:p>
        </w:tc>
        <w:tc>
          <w:tcPr>
            <w:tcW w:w="0" w:type="dxa"/>
            <w:vAlign w:val="bottom"/>
          </w:tcPr>
          <w:p>
            <w:pPr>
              <w:spacing w:after="0"/>
              <w:rPr>
                <w:sz w:val="1"/>
                <w:szCs w:val="1"/>
                <w:color w:val="auto"/>
              </w:rPr>
            </w:pPr>
          </w:p>
        </w:tc>
      </w:tr>
      <w:tr>
        <w:trPr>
          <w:trHeight w:val="154"/>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00" w:type="dxa"/>
            <w:vAlign w:val="bottom"/>
            <w:shd w:val="clear" w:color="auto" w:fill="CCEEFF"/>
          </w:tcPr>
          <w:p>
            <w:pPr>
              <w:ind w:left="140"/>
              <w:spacing w:after="0" w:line="133" w:lineRule="exact"/>
              <w:rPr>
                <w:sz w:val="20"/>
                <w:szCs w:val="20"/>
                <w:color w:val="auto"/>
              </w:rPr>
            </w:pPr>
            <w:r>
              <w:rPr>
                <w:rFonts w:ascii="Arial" w:cs="Arial" w:eastAsia="Arial" w:hAnsi="Arial"/>
                <w:sz w:val="13"/>
                <w:szCs w:val="13"/>
                <w:color w:val="auto"/>
              </w:rPr>
              <w:t>Automotive and other cost</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148,501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2,566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151,065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138,254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141,330</w:t>
            </w:r>
          </w:p>
        </w:tc>
        <w:tc>
          <w:tcPr>
            <w:tcW w:w="0" w:type="dxa"/>
            <w:vAlign w:val="bottom"/>
          </w:tcPr>
          <w:p>
            <w:pPr>
              <w:spacing w:after="0"/>
              <w:rPr>
                <w:sz w:val="1"/>
                <w:szCs w:val="1"/>
                <w:color w:val="auto"/>
              </w:rPr>
            </w:pPr>
          </w:p>
        </w:tc>
      </w:tr>
      <w:tr>
        <w:trPr>
          <w:trHeight w:val="131"/>
        </w:trPr>
        <w:tc>
          <w:tcPr>
            <w:tcW w:w="1700" w:type="dxa"/>
            <w:vAlign w:val="bottom"/>
          </w:tcPr>
          <w:p>
            <w:pPr>
              <w:ind w:left="140"/>
              <w:spacing w:after="0" w:line="131" w:lineRule="exact"/>
              <w:rPr>
                <w:sz w:val="20"/>
                <w:szCs w:val="20"/>
                <w:color w:val="auto"/>
              </w:rPr>
            </w:pPr>
            <w:r>
              <w:rPr>
                <w:rFonts w:ascii="Arial" w:cs="Arial" w:eastAsia="Arial" w:hAnsi="Arial"/>
                <w:sz w:val="13"/>
                <w:szCs w:val="13"/>
                <w:color w:val="auto"/>
              </w:rPr>
              <w:t>GM Financial interest,</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tcPr>
          <w:p>
            <w:pPr>
              <w:ind w:left="300"/>
              <w:spacing w:after="0" w:line="126" w:lineRule="exact"/>
              <w:rPr>
                <w:sz w:val="20"/>
                <w:szCs w:val="20"/>
                <w:color w:val="auto"/>
              </w:rPr>
            </w:pPr>
            <w:r>
              <w:rPr>
                <w:rFonts w:ascii="Arial" w:cs="Arial" w:eastAsia="Arial" w:hAnsi="Arial"/>
                <w:sz w:val="13"/>
                <w:szCs w:val="13"/>
                <w:color w:val="auto"/>
              </w:rPr>
              <w:t>operating and other</w:t>
            </w:r>
          </w:p>
        </w:tc>
        <w:tc>
          <w:tcPr>
            <w:tcW w:w="18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12,974</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12,972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11,376</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11,374</w:t>
            </w:r>
          </w:p>
        </w:tc>
        <w:tc>
          <w:tcPr>
            <w:tcW w:w="0" w:type="dxa"/>
            <w:vAlign w:val="bottom"/>
          </w:tcPr>
          <w:p>
            <w:pPr>
              <w:spacing w:after="0"/>
              <w:rPr>
                <w:sz w:val="1"/>
                <w:szCs w:val="1"/>
                <w:color w:val="auto"/>
              </w:rPr>
            </w:pPr>
          </w:p>
        </w:tc>
      </w:tr>
      <w:tr>
        <w:trPr>
          <w:trHeight w:val="171"/>
        </w:trPr>
        <w:tc>
          <w:tcPr>
            <w:tcW w:w="1700" w:type="dxa"/>
            <w:vAlign w:val="bottom"/>
          </w:tcPr>
          <w:p>
            <w:pPr>
              <w:ind w:left="300"/>
              <w:spacing w:after="0"/>
              <w:rPr>
                <w:sz w:val="20"/>
                <w:szCs w:val="20"/>
                <w:color w:val="auto"/>
              </w:rPr>
            </w:pPr>
            <w:r>
              <w:rPr>
                <w:rFonts w:ascii="Arial" w:cs="Arial" w:eastAsia="Arial" w:hAnsi="Arial"/>
                <w:sz w:val="13"/>
                <w:szCs w:val="13"/>
                <w:color w:val="auto"/>
              </w:rPr>
              <w:t>expenses</w:t>
            </w: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Automotive and other</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selling, general and</w:t>
            </w:r>
          </w:p>
        </w:tc>
        <w:tc>
          <w:tcPr>
            <w:tcW w:w="1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9,898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10,621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9,349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9,840</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administrative expense</w:t>
            </w:r>
          </w:p>
        </w:tc>
        <w:tc>
          <w:tcPr>
            <w:tcW w:w="1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7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costs and expenses</w:t>
            </w:r>
          </w:p>
        </w:tc>
        <w:tc>
          <w:tcPr>
            <w:tcW w:w="1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158,399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3,293</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12,974</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174,658</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147,603</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3,581</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11,376</w:t>
            </w:r>
          </w:p>
        </w:tc>
        <w:tc>
          <w:tcPr>
            <w:tcW w:w="10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162,544</w:t>
            </w: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13,206</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3"/>
                <w:szCs w:val="13"/>
                <w:color w:val="auto"/>
                <w:w w:val="97"/>
              </w:rPr>
              <w:t>(3,479)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9,298</w:t>
            </w: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911</w:t>
            </w: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Interest income and other</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non-operating income, net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w:t>
            </w: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3"/>
                <w:szCs w:val="13"/>
                <w:color w:val="auto"/>
              </w:rPr>
              <w:t>Equity income (loss)</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15"/>
        </w:trPr>
        <w:tc>
          <w:tcPr>
            <w:tcW w:w="170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Income (loss) before income</w:t>
            </w: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9,065</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3"/>
                <w:szCs w:val="13"/>
                <w:color w:val="auto"/>
                <w:w w:val="97"/>
              </w:rPr>
              <w:t>(3,405)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10,403</w:t>
            </w:r>
          </w:p>
        </w:tc>
        <w:tc>
          <w:tcPr>
            <w:tcW w:w="0" w:type="dxa"/>
            <w:vAlign w:val="bottom"/>
          </w:tcPr>
          <w:p>
            <w:pPr>
              <w:spacing w:after="0"/>
              <w:rPr>
                <w:sz w:val="1"/>
                <w:szCs w:val="1"/>
                <w:color w:val="auto"/>
              </w:rPr>
            </w:pPr>
          </w:p>
        </w:tc>
      </w:tr>
      <w:tr>
        <w:trPr>
          <w:trHeight w:val="171"/>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8"/>
              </w:rPr>
              <w:t>Income tax expense (benefit)</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9,840</w:t>
            </w:r>
          </w:p>
        </w:tc>
        <w:tc>
          <w:tcPr>
            <w:tcW w:w="0" w:type="dxa"/>
            <w:vAlign w:val="bottom"/>
          </w:tcPr>
          <w:p>
            <w:pPr>
              <w:spacing w:after="0"/>
              <w:rPr>
                <w:sz w:val="1"/>
                <w:szCs w:val="1"/>
                <w:color w:val="auto"/>
              </w:rPr>
            </w:pPr>
          </w:p>
        </w:tc>
      </w:tr>
      <w:tr>
        <w:trPr>
          <w:trHeight w:val="131"/>
        </w:trPr>
        <w:tc>
          <w:tcPr>
            <w:tcW w:w="1700" w:type="dxa"/>
            <w:vAlign w:val="bottom"/>
          </w:tcPr>
          <w:p>
            <w:pPr>
              <w:ind w:left="20"/>
              <w:spacing w:after="0" w:line="131" w:lineRule="exact"/>
              <w:rPr>
                <w:sz w:val="20"/>
                <w:szCs w:val="20"/>
                <w:color w:val="auto"/>
              </w:rPr>
            </w:pPr>
            <w:r>
              <w:rPr>
                <w:rFonts w:ascii="Arial" w:cs="Arial" w:eastAsia="Arial" w:hAnsi="Arial"/>
                <w:sz w:val="13"/>
                <w:szCs w:val="13"/>
                <w:color w:val="auto"/>
                <w:w w:val="98"/>
              </w:rPr>
              <w:t>Net loss (income) attributable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 noncontrolling interests</w:t>
            </w: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17"/>
        </w:trPr>
        <w:tc>
          <w:tcPr>
            <w:tcW w:w="170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6,008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10,127</w:t>
            </w:r>
          </w:p>
        </w:tc>
        <w:tc>
          <w:tcPr>
            <w:tcW w:w="0" w:type="dxa"/>
            <w:vAlign w:val="bottom"/>
          </w:tcPr>
          <w:p>
            <w:pPr>
              <w:spacing w:after="0"/>
              <w:rPr>
                <w:sz w:val="1"/>
                <w:szCs w:val="1"/>
                <w:color w:val="auto"/>
              </w:rPr>
            </w:pPr>
          </w:p>
        </w:tc>
      </w:tr>
      <w:tr>
        <w:trPr>
          <w:trHeight w:val="16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 common</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7,189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10,022</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9"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Certain columns and rows may not add due to rounding.</w:t>
      </w:r>
    </w:p>
    <w:p>
      <w:pPr>
        <w:sectPr>
          <w:pgSz w:w="11900" w:h="16838" w:orient="portrait"/>
          <w:cols w:equalWidth="0" w:num="1">
            <w:col w:w="11080"/>
          </w:cols>
          <w:pgMar w:left="320" w:top="36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080"/>
          </w:cols>
          <w:pgMar w:left="320" w:top="368" w:right="49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ind w:left="6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2760" w:type="dxa"/>
            <w:vAlign w:val="bottom"/>
            <w:gridSpan w:val="4"/>
          </w:tcPr>
          <w:p>
            <w:pPr>
              <w:jc w:val="right"/>
              <w:ind w:right="981"/>
              <w:spacing w:after="0"/>
              <w:rPr>
                <w:sz w:val="20"/>
                <w:szCs w:val="20"/>
                <w:color w:val="auto"/>
              </w:rPr>
            </w:pPr>
            <w:r>
              <w:rPr>
                <w:rFonts w:ascii="Arial" w:cs="Arial" w:eastAsia="Arial" w:hAnsi="Arial"/>
                <w:sz w:val="13"/>
                <w:szCs w:val="13"/>
                <w:b w:val="1"/>
                <w:bCs w:val="1"/>
                <w:color w:val="auto"/>
              </w:rPr>
              <w:t>Years Ended</w:t>
            </w:r>
          </w:p>
        </w:tc>
      </w:tr>
      <w:tr>
        <w:trPr>
          <w:trHeight w:val="169"/>
        </w:trPr>
        <w:tc>
          <w:tcPr>
            <w:tcW w:w="5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5"/>
              </w:rPr>
              <w:t>December 31, 2023</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5"/>
              </w:rPr>
              <w:t>December 31, 2023</w:t>
            </w:r>
          </w:p>
        </w:tc>
      </w:tr>
      <w:tr>
        <w:trPr>
          <w:trHeight w:val="200"/>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10,127</w:t>
            </w:r>
          </w:p>
        </w:tc>
      </w:tr>
      <w:tr>
        <w:trPr>
          <w:trHeight w:val="215"/>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Adjustments(a)</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35"/>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w:t>
            </w:r>
          </w:p>
        </w:tc>
      </w:tr>
      <w:tr>
        <w:trPr>
          <w:trHeight w:val="108"/>
        </w:trPr>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common stockholders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10,022</w:t>
            </w:r>
          </w:p>
        </w:tc>
      </w:tr>
      <w:tr>
        <w:trPr>
          <w:trHeight w:val="108"/>
        </w:trPr>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 – diluted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r>
      <w:tr>
        <w:trPr>
          <w:trHeight w:val="95"/>
        </w:trPr>
        <w:tc>
          <w:tcPr>
            <w:tcW w:w="5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r>
      <w:tr>
        <w:trPr>
          <w:trHeight w:val="215"/>
        </w:trPr>
        <w:tc>
          <w:tcPr>
            <w:tcW w:w="5360" w:type="dxa"/>
            <w:vAlign w:val="bottom"/>
          </w:tcPr>
          <w:p>
            <w:pPr>
              <w:ind w:left="180"/>
              <w:spacing w:after="0"/>
              <w:rPr>
                <w:sz w:val="20"/>
                <w:szCs w:val="20"/>
                <w:color w:val="auto"/>
              </w:rPr>
            </w:pPr>
            <w:r>
              <w:rPr>
                <w:rFonts w:ascii="Arial" w:cs="Arial" w:eastAsia="Arial" w:hAnsi="Arial"/>
                <w:sz w:val="16"/>
                <w:szCs w:val="16"/>
                <w:color w:val="auto"/>
              </w:rPr>
              <w:t>Potentially dilutive securities(b)</w:t>
            </w:r>
          </w:p>
        </w:tc>
        <w:tc>
          <w:tcPr>
            <w:tcW w:w="1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line="26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 $1.2 billion return from the preferred shareholders related to the redemption of Cruise preferred shares from noncontrolling interest holders and an insignificant amount in participating securities income from a subsidiary in the three months ended December 31, 2024 and for the year ended December 31, 2024.</w:t>
      </w:r>
    </w:p>
    <w:p>
      <w:pPr>
        <w:ind w:left="340" w:hanging="332"/>
        <w:spacing w:after="0" w:line="284"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restricted stock units (RSUs) and performance stock units at December 31, 2024 and outstanding stock options and RSUs at December 31, 2023, were excluded from the computation of diluted EPS because the securities would have had an antidilutive effect.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36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December 31, 2024</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December 31, 2023</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Cruise</w:t>
            </w:r>
          </w:p>
        </w:tc>
        <w:tc>
          <w:tcPr>
            <w:tcW w:w="10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9"/>
                <w:szCs w:val="9"/>
                <w:b w:val="1"/>
                <w:bCs w:val="1"/>
                <w:color w:val="auto"/>
              </w:rPr>
              <w:t>GM Financial</w:t>
            </w:r>
          </w:p>
        </w:tc>
        <w:tc>
          <w:tcPr>
            <w:tcW w:w="144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Combined</w:t>
            </w: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Cruise</w:t>
            </w:r>
          </w:p>
        </w:tc>
        <w:tc>
          <w:tcPr>
            <w:tcW w:w="10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9"/>
                <w:szCs w:val="9"/>
                <w:b w:val="1"/>
                <w:bCs w:val="1"/>
                <w:color w:val="auto"/>
              </w:rPr>
              <w:t>GM Financial</w:t>
            </w:r>
          </w:p>
        </w:tc>
        <w:tc>
          <w:tcPr>
            <w:tcW w:w="144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20" w:type="dxa"/>
            <w:vAlign w:val="bottom"/>
          </w:tcPr>
          <w:p>
            <w:pPr>
              <w:spacing w:after="0"/>
              <w:rPr>
                <w:sz w:val="11"/>
                <w:szCs w:val="11"/>
                <w:color w:val="auto"/>
              </w:rPr>
            </w:pPr>
          </w:p>
        </w:tc>
        <w:tc>
          <w:tcPr>
            <w:tcW w:w="600" w:type="dxa"/>
            <w:vAlign w:val="bottom"/>
          </w:tcPr>
          <w:p>
            <w:pPr>
              <w:jc w:val="right"/>
              <w:ind w:right="77"/>
              <w:spacing w:after="0"/>
              <w:rPr>
                <w:sz w:val="20"/>
                <w:szCs w:val="20"/>
                <w:color w:val="auto"/>
              </w:rPr>
            </w:pPr>
            <w:r>
              <w:rPr>
                <w:rFonts w:ascii="Arial" w:cs="Arial" w:eastAsia="Arial" w:hAnsi="Arial"/>
                <w:sz w:val="9"/>
                <w:szCs w:val="9"/>
                <w:b w:val="1"/>
                <w:bCs w:val="1"/>
                <w:color w:val="auto"/>
                <w:w w:val="99"/>
              </w:rPr>
              <w:t>Combined</w:t>
            </w:r>
          </w:p>
        </w:tc>
        <w:tc>
          <w:tcPr>
            <w:tcW w:w="0" w:type="dxa"/>
            <w:vAlign w:val="bottom"/>
          </w:tcPr>
          <w:p>
            <w:pPr>
              <w:spacing w:after="0"/>
              <w:rPr>
                <w:sz w:val="1"/>
                <w:szCs w:val="1"/>
                <w:color w:val="auto"/>
              </w:rPr>
            </w:pPr>
          </w:p>
        </w:tc>
      </w:tr>
      <w:tr>
        <w:trPr>
          <w:trHeight w:val="22"/>
        </w:trPr>
        <w:tc>
          <w:tcPr>
            <w:tcW w:w="2220" w:type="dxa"/>
            <w:vAlign w:val="bottom"/>
            <w:vMerge w:val="restart"/>
          </w:tcPr>
          <w:p>
            <w:pPr>
              <w:ind w:left="86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18,853</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7,265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7,265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7,613</w:t>
            </w: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Accounts and notes receivable,</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12,378</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GM Financial receivables, net(e)</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46,760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46,362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39,246</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39,076</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16,461</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assets(b)</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4,799</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7,238</w:t>
            </w: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58,640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108,545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51,624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101,618</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Financial receivables, net(d)</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46,750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46,474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45,043</w:t>
            </w:r>
          </w:p>
        </w:tc>
        <w:tc>
          <w:tcPr>
            <w:tcW w:w="0" w:type="dxa"/>
            <w:vAlign w:val="bottom"/>
          </w:tcPr>
          <w:p>
            <w:pPr>
              <w:spacing w:after="0"/>
              <w:rPr>
                <w:sz w:val="1"/>
                <w:szCs w:val="1"/>
                <w:color w:val="auto"/>
              </w:rPr>
            </w:pPr>
          </w:p>
        </w:tc>
      </w:tr>
      <w:tr>
        <w:trPr>
          <w:trHeight w:val="131"/>
        </w:trPr>
        <w:tc>
          <w:tcPr>
            <w:tcW w:w="2220" w:type="dxa"/>
            <w:vAlign w:val="bottom"/>
          </w:tcPr>
          <w:p>
            <w:pPr>
              <w:ind w:left="140"/>
              <w:spacing w:after="0" w:line="131" w:lineRule="exact"/>
              <w:rPr>
                <w:sz w:val="20"/>
                <w:szCs w:val="20"/>
                <w:color w:val="auto"/>
              </w:rPr>
            </w:pPr>
            <w:r>
              <w:rPr>
                <w:rFonts w:ascii="Arial" w:cs="Arial" w:eastAsia="Arial" w:hAnsi="Arial"/>
                <w:sz w:val="13"/>
                <w:szCs w:val="13"/>
                <w:color w:val="auto"/>
              </w:rPr>
              <w:t>Equity in net assets 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2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1,206</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8,943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1,670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10,613</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51,904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50,321</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Goodwill and intangible assets, net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1,339</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1,354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4,862</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Equipment on operating leases, net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21,149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(1,795)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21,254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21,722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(1,106)</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22,339</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assets(c)</w:t>
            </w: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7,686</w:t>
            </w:r>
          </w:p>
        </w:tc>
        <w:tc>
          <w:tcPr>
            <w:tcW w:w="0" w:type="dxa"/>
            <w:vAlign w:val="bottom"/>
          </w:tcPr>
          <w:p>
            <w:pPr>
              <w:spacing w:after="0"/>
              <w:rPr>
                <w:sz w:val="1"/>
                <w:szCs w:val="1"/>
                <w:color w:val="auto"/>
              </w:rPr>
            </w:pPr>
          </w:p>
        </w:tc>
      </w:tr>
      <w:tr>
        <w:trPr>
          <w:trHeight w:val="164"/>
        </w:trPr>
        <w:tc>
          <w:tcPr>
            <w:tcW w:w="2220" w:type="dxa"/>
            <w:vAlign w:val="bottom"/>
            <w:tcBorders>
              <w:bottom w:val="single" w:sz="8" w:color="CCEEFF"/>
            </w:tcBorders>
          </w:tcPr>
          <w:p>
            <w:pPr>
              <w:ind w:left="140"/>
              <w:spacing w:after="0" w:line="146" w:lineRule="exact"/>
              <w:rPr>
                <w:sz w:val="20"/>
                <w:szCs w:val="20"/>
                <w:color w:val="auto"/>
              </w:rPr>
            </w:pPr>
            <w:r>
              <w:rPr>
                <w:rFonts w:ascii="Arial" w:cs="Arial" w:eastAsia="Arial" w:hAnsi="Arial"/>
                <w:sz w:val="13"/>
                <w:szCs w:val="13"/>
                <w:color w:val="auto"/>
              </w:rPr>
              <w:t>Total non-current assets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90,756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80,516</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171,216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90,430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79,156</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171,446</w:t>
            </w:r>
          </w:p>
        </w:tc>
        <w:tc>
          <w:tcPr>
            <w:tcW w:w="0" w:type="dxa"/>
            <w:vAlign w:val="bottom"/>
          </w:tcPr>
          <w:p>
            <w:pPr>
              <w:spacing w:after="0"/>
              <w:rPr>
                <w:sz w:val="1"/>
                <w:szCs w:val="1"/>
                <w:color w:val="auto"/>
              </w:rPr>
            </w:pPr>
          </w:p>
        </w:tc>
      </w:tr>
      <w:tr>
        <w:trPr>
          <w:trHeight w:val="194"/>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141,374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139,156</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279,761</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140,546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130,780</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273,064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Accounts payable (principally trade)</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25,680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28,114</w:t>
            </w:r>
          </w:p>
        </w:tc>
        <w:tc>
          <w:tcPr>
            <w:tcW w:w="0" w:type="dxa"/>
            <w:vAlign w:val="bottom"/>
          </w:tcPr>
          <w:p>
            <w:pPr>
              <w:spacing w:after="0"/>
              <w:rPr>
                <w:sz w:val="1"/>
                <w:szCs w:val="1"/>
                <w:color w:val="auto"/>
              </w:rPr>
            </w:pPr>
          </w:p>
        </w:tc>
      </w:tr>
      <w:tr>
        <w:trPr>
          <w:trHeight w:val="131"/>
        </w:trPr>
        <w:tc>
          <w:tcPr>
            <w:tcW w:w="2220" w:type="dxa"/>
            <w:vAlign w:val="bottom"/>
          </w:tcPr>
          <w:p>
            <w:pPr>
              <w:ind w:left="140"/>
              <w:spacing w:after="0" w:line="131" w:lineRule="exact"/>
              <w:rPr>
                <w:sz w:val="20"/>
                <w:szCs w:val="20"/>
                <w:color w:val="auto"/>
              </w:rPr>
            </w:pPr>
            <w:r>
              <w:rPr>
                <w:rFonts w:ascii="Arial" w:cs="Arial" w:eastAsia="Arial" w:hAnsi="Arial"/>
                <w:sz w:val="13"/>
                <w:szCs w:val="13"/>
                <w:color w:val="auto"/>
              </w:rPr>
              <w:t>Short-term debt and current portion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20" w:type="dxa"/>
            <w:vAlign w:val="bottom"/>
          </w:tcPr>
          <w:p>
            <w:pPr>
              <w:ind w:left="300"/>
              <w:spacing w:after="0"/>
              <w:rPr>
                <w:sz w:val="20"/>
                <w:szCs w:val="20"/>
                <w:color w:val="auto"/>
              </w:rPr>
            </w:pPr>
            <w:r>
              <w:rPr>
                <w:rFonts w:ascii="Arial" w:cs="Arial" w:eastAsia="Arial" w:hAnsi="Arial"/>
                <w:sz w:val="13"/>
                <w:szCs w:val="13"/>
                <w:color w:val="auto"/>
              </w:rPr>
              <w:t>of long-term debt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Automotive(a)(e)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71"/>
        </w:trPr>
        <w:tc>
          <w:tcPr>
            <w:tcW w:w="2220" w:type="dxa"/>
            <w:vAlign w:val="bottom"/>
          </w:tcPr>
          <w:p>
            <w:pPr>
              <w:ind w:left="260"/>
              <w:spacing w:after="0"/>
              <w:rPr>
                <w:sz w:val="20"/>
                <w:szCs w:val="20"/>
                <w:color w:val="auto"/>
              </w:rPr>
            </w:pPr>
            <w:r>
              <w:rPr>
                <w:rFonts w:ascii="Arial" w:cs="Arial" w:eastAsia="Arial" w:hAnsi="Arial"/>
                <w:sz w:val="13"/>
                <w:szCs w:val="13"/>
                <w:color w:val="auto"/>
              </w:rPr>
              <w:t>GM Financial</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37,291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37,291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38,540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38,540</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Cruise(e)</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Accrued liabilities(b)</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24,949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5,661</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31,154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21,468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5,741</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27,364</w:t>
            </w: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43,666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96,265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45,417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94,445</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260"/>
              <w:spacing w:after="0"/>
              <w:rPr>
                <w:sz w:val="20"/>
                <w:szCs w:val="20"/>
                <w:color w:val="auto"/>
              </w:rPr>
            </w:pPr>
            <w:r>
              <w:rPr>
                <w:rFonts w:ascii="Arial" w:cs="Arial" w:eastAsia="Arial" w:hAnsi="Arial"/>
                <w:sz w:val="13"/>
                <w:szCs w:val="13"/>
                <w:color w:val="auto"/>
              </w:rPr>
              <w:t>Automotive(c)</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13,288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15,979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15,985</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GM Financial</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66,788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66,788</w:t>
            </w:r>
          </w:p>
        </w:tc>
        <w:tc>
          <w:tcPr>
            <w:tcW w:w="0" w:type="dxa"/>
            <w:vAlign w:val="bottom"/>
          </w:tcPr>
          <w:p>
            <w:pPr>
              <w:spacing w:after="0"/>
              <w:rPr>
                <w:sz w:val="1"/>
                <w:szCs w:val="1"/>
                <w:color w:val="auto"/>
              </w:rPr>
            </w:pPr>
          </w:p>
        </w:tc>
      </w:tr>
      <w:tr>
        <w:trPr>
          <w:trHeight w:val="171"/>
        </w:trPr>
        <w:tc>
          <w:tcPr>
            <w:tcW w:w="2220" w:type="dxa"/>
            <w:vAlign w:val="bottom"/>
          </w:tcPr>
          <w:p>
            <w:pPr>
              <w:ind w:left="260"/>
              <w:spacing w:after="0"/>
              <w:rPr>
                <w:sz w:val="20"/>
                <w:szCs w:val="20"/>
                <w:color w:val="auto"/>
              </w:rPr>
            </w:pPr>
            <w:r>
              <w:rPr>
                <w:rFonts w:ascii="Arial" w:cs="Arial" w:eastAsia="Arial" w:hAnsi="Arial"/>
                <w:sz w:val="13"/>
                <w:szCs w:val="13"/>
                <w:color w:val="auto"/>
              </w:rPr>
              <w:t>Cruise(d)</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Postretirement benefits other than</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pensions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4,345</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Pensions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6,680</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16,515</w:t>
            </w:r>
          </w:p>
        </w:tc>
        <w:tc>
          <w:tcPr>
            <w:tcW w:w="0" w:type="dxa"/>
            <w:vAlign w:val="bottom"/>
          </w:tcPr>
          <w:p>
            <w:pPr>
              <w:spacing w:after="0"/>
              <w:rPr>
                <w:sz w:val="1"/>
                <w:szCs w:val="1"/>
                <w:color w:val="auto"/>
              </w:rPr>
            </w:pPr>
          </w:p>
        </w:tc>
      </w:tr>
      <w:tr>
        <w:trPr>
          <w:trHeight w:val="164"/>
        </w:trPr>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liabilities</w:t>
            </w: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37,686</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79,885</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117,906</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40,444</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69,409</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110,312</w:t>
            </w: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123,551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114,826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204,757</w:t>
            </w:r>
          </w:p>
        </w:tc>
        <w:tc>
          <w:tcPr>
            <w:tcW w:w="0" w:type="dxa"/>
            <w:vAlign w:val="bottom"/>
          </w:tcPr>
          <w:p>
            <w:pPr>
              <w:spacing w:after="0"/>
              <w:rPr>
                <w:sz w:val="1"/>
                <w:szCs w:val="1"/>
                <w:color w:val="auto"/>
              </w:rPr>
            </w:pPr>
          </w:p>
        </w:tc>
      </w:tr>
      <w:tr>
        <w:trPr>
          <w:trHeight w:val="131"/>
        </w:trPr>
        <w:tc>
          <w:tcPr>
            <w:tcW w:w="2220" w:type="dxa"/>
            <w:vAlign w:val="bottom"/>
          </w:tcPr>
          <w:p>
            <w:pPr>
              <w:ind w:left="140"/>
              <w:spacing w:after="0" w:line="131" w:lineRule="exact"/>
              <w:rPr>
                <w:sz w:val="20"/>
                <w:szCs w:val="20"/>
                <w:color w:val="auto"/>
              </w:rPr>
            </w:pPr>
            <w:r>
              <w:rPr>
                <w:rFonts w:ascii="Arial" w:cs="Arial" w:eastAsia="Arial" w:hAnsi="Arial"/>
                <w:sz w:val="13"/>
                <w:szCs w:val="13"/>
                <w:color w:val="auto"/>
              </w:rPr>
              <w:t>Noncontrolling interest - Cruise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20" w:type="dxa"/>
            <w:vAlign w:val="bottom"/>
          </w:tcPr>
          <w:p>
            <w:pPr>
              <w:ind w:left="300"/>
              <w:spacing w:after="0"/>
              <w:rPr>
                <w:sz w:val="20"/>
                <w:szCs w:val="20"/>
                <w:color w:val="auto"/>
              </w:rPr>
            </w:pPr>
            <w:r>
              <w:rPr>
                <w:rFonts w:ascii="Arial" w:cs="Arial" w:eastAsia="Arial" w:hAnsi="Arial"/>
                <w:sz w:val="13"/>
                <w:szCs w:val="13"/>
                <w:color w:val="auto"/>
              </w:rPr>
              <w:t>stock incentive awards</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Common stock, $0.01 par value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Additional paid-in capital(f)</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19,130</w:t>
            </w:r>
          </w:p>
        </w:tc>
        <w:tc>
          <w:tcPr>
            <w:tcW w:w="0" w:type="dxa"/>
            <w:vAlign w:val="bottom"/>
          </w:tcPr>
          <w:p>
            <w:pPr>
              <w:spacing w:after="0"/>
              <w:rPr>
                <w:sz w:val="1"/>
                <w:szCs w:val="1"/>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40,203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7"/>
              </w:rPr>
              <w:t>(2,647)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15,916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53,472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39,579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15,823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55,391</w:t>
            </w: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00"/>
              <w:spacing w:after="0" w:line="136" w:lineRule="exact"/>
              <w:rPr>
                <w:sz w:val="20"/>
                <w:szCs w:val="20"/>
                <w:color w:val="auto"/>
              </w:rPr>
            </w:pPr>
            <w:r>
              <w:rPr>
                <w:rFonts w:ascii="Arial" w:cs="Arial" w:eastAsia="Arial" w:hAnsi="Arial"/>
                <w:sz w:val="13"/>
                <w:szCs w:val="13"/>
                <w:color w:val="auto"/>
              </w:rPr>
              <w:t>Accumulated other comprehensive</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(10,247)</w:t>
            </w:r>
          </w:p>
        </w:tc>
        <w:tc>
          <w:tcPr>
            <w:tcW w:w="0" w:type="dxa"/>
            <w:vAlign w:val="bottom"/>
          </w:tcPr>
          <w:p>
            <w:pPr>
              <w:spacing w:after="0"/>
              <w:rPr>
                <w:sz w:val="1"/>
                <w:szCs w:val="1"/>
                <w:color w:val="auto"/>
              </w:rPr>
            </w:pPr>
          </w:p>
        </w:tc>
      </w:tr>
      <w:tr>
        <w:trPr>
          <w:trHeight w:val="164"/>
        </w:trPr>
        <w:tc>
          <w:tcPr>
            <w:tcW w:w="2220" w:type="dxa"/>
            <w:vAlign w:val="bottom"/>
          </w:tcPr>
          <w:p>
            <w:pPr>
              <w:ind w:left="100"/>
              <w:spacing w:after="0"/>
              <w:rPr>
                <w:sz w:val="20"/>
                <w:szCs w:val="20"/>
                <w:color w:val="auto"/>
              </w:rPr>
            </w:pPr>
            <w:r>
              <w:rPr>
                <w:rFonts w:ascii="Arial" w:cs="Arial" w:eastAsia="Arial" w:hAnsi="Arial"/>
                <w:sz w:val="13"/>
                <w:szCs w:val="13"/>
                <w:color w:val="auto"/>
              </w:rPr>
              <w:t>Total stockholders’ equity</w:t>
            </w: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50,100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7"/>
              </w:rPr>
              <w:t>(1,464)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15,606</w:t>
            </w: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63,072</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49,391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15,954</w:t>
            </w: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64,286</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Noncontrolling interests(f)</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3,903</w:t>
            </w:r>
          </w:p>
        </w:tc>
        <w:tc>
          <w:tcPr>
            <w:tcW w:w="0" w:type="dxa"/>
            <w:vAlign w:val="bottom"/>
          </w:tcPr>
          <w:p>
            <w:pPr>
              <w:spacing w:after="0"/>
              <w:rPr>
                <w:sz w:val="1"/>
                <w:szCs w:val="1"/>
                <w:color w:val="auto"/>
              </w:rPr>
            </w:pPr>
          </w:p>
        </w:tc>
      </w:tr>
      <w:tr>
        <w:trPr>
          <w:trHeight w:val="16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Equity</w:t>
            </w: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50,880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15,606</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65,590</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50,196</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15,954</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68,189</w:t>
            </w:r>
          </w:p>
        </w:tc>
        <w:tc>
          <w:tcPr>
            <w:tcW w:w="0" w:type="dxa"/>
            <w:vAlign w:val="bottom"/>
          </w:tcPr>
          <w:p>
            <w:pPr>
              <w:spacing w:after="0"/>
              <w:rPr>
                <w:sz w:val="1"/>
                <w:szCs w:val="1"/>
                <w:color w:val="auto"/>
              </w:rPr>
            </w:pPr>
          </w:p>
        </w:tc>
      </w:tr>
      <w:tr>
        <w:trPr>
          <w:trHeight w:val="194"/>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141,374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139,156</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279,761</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140,546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130,780</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273,064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right="20" w:hanging="332"/>
        <w:spacing w:after="0" w:line="243"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$0.5 billion due from Automotive; and Automotive accounts receivable of $0.2 billion primarily due from GM Financial and Cruise at December 31, 2024; and GM Financial accounts and notes receivable of $0.5 billion due from Automotive and Automotive accounts receivable of $0.8 billion due from GM Financial and Cruise at December 31, 2023.</w:t>
      </w:r>
    </w:p>
    <w:p>
      <w:pPr>
        <w:ind w:left="320" w:hanging="312"/>
        <w:spacing w:after="0" w:line="236" w:lineRule="auto"/>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intercompany asset transfer between Automotive and Cruise for autonomous vehicle (AV) capital at December 31, 2023.</w:t>
      </w:r>
    </w:p>
    <w:p>
      <w:pPr>
        <w:ind w:left="340" w:right="20" w:hanging="332"/>
        <w:spacing w:after="0" w:line="253" w:lineRule="auto"/>
        <w:tabs>
          <w:tab w:leader="none" w:pos="331"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convertible note issued by Cruise to Automotive at December 31, 2024 and deferral agreement between Cruise and Automotive as regards to engineering, capital spending, restructuring and other costs incurred by Automotive on behalf of Cruise resulting in a long-term payable for Cruise offset by a long-term receivable for Automotive.</w:t>
      </w:r>
    </w:p>
    <w:p>
      <w:pPr>
        <w:ind w:left="320" w:hanging="312"/>
        <w:spacing w:after="0" w:line="236" w:lineRule="auto"/>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Cruise to GM Financial.</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GM Financial accounts receivables due from Automotive and Cruise.</w:t>
      </w:r>
    </w:p>
    <w:p>
      <w:pPr>
        <w:spacing w:after="0" w:line="5" w:lineRule="exact"/>
        <w:rPr>
          <w:rFonts w:ascii="Arial" w:cs="Arial" w:eastAsia="Arial" w:hAnsi="Arial"/>
          <w:sz w:val="11"/>
          <w:szCs w:val="11"/>
          <w:color w:val="auto"/>
        </w:rPr>
      </w:pP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368"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121"/>
        </w:trPr>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gridSpan w:val="5"/>
          </w:tcPr>
          <w:p>
            <w:pPr>
              <w:ind w:left="100"/>
              <w:spacing w:after="0"/>
              <w:rPr>
                <w:sz w:val="20"/>
                <w:szCs w:val="20"/>
                <w:color w:val="auto"/>
              </w:rPr>
            </w:pPr>
            <w:r>
              <w:rPr>
                <w:rFonts w:ascii="Arial" w:cs="Arial" w:eastAsia="Arial" w:hAnsi="Arial"/>
                <w:sz w:val="9"/>
                <w:szCs w:val="9"/>
                <w:b w:val="1"/>
                <w:bCs w:val="1"/>
                <w:color w:val="auto"/>
              </w:rPr>
              <w:t>Year Ended December 31, 2024</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ind w:left="20"/>
              <w:spacing w:after="0"/>
              <w:rPr>
                <w:sz w:val="20"/>
                <w:szCs w:val="20"/>
                <w:color w:val="auto"/>
              </w:rPr>
            </w:pPr>
            <w:r>
              <w:rPr>
                <w:rFonts w:ascii="Arial" w:cs="Arial" w:eastAsia="Arial" w:hAnsi="Arial"/>
                <w:sz w:val="9"/>
                <w:szCs w:val="9"/>
                <w:b w:val="1"/>
                <w:bCs w:val="1"/>
                <w:color w:val="auto"/>
              </w:rPr>
              <w:t>Year Ended December 31, 2023</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8"/>
                <w:szCs w:val="8"/>
                <w:color w:val="auto"/>
              </w:rPr>
            </w:pPr>
          </w:p>
        </w:tc>
        <w:tc>
          <w:tcPr>
            <w:tcW w:w="460" w:type="dxa"/>
            <w:vAlign w:val="bottom"/>
            <w:vMerge w:val="restart"/>
          </w:tcPr>
          <w:p>
            <w:pPr>
              <w:jc w:val="right"/>
              <w:ind w:right="98"/>
              <w:spacing w:after="0"/>
              <w:rPr>
                <w:sz w:val="20"/>
                <w:szCs w:val="20"/>
                <w:color w:val="auto"/>
              </w:rPr>
            </w:pPr>
            <w:r>
              <w:rPr>
                <w:rFonts w:ascii="Arial" w:cs="Arial" w:eastAsia="Arial" w:hAnsi="Arial"/>
                <w:sz w:val="9"/>
                <w:szCs w:val="9"/>
                <w:b w:val="1"/>
                <w:bCs w:val="1"/>
                <w:color w:val="auto"/>
                <w:w w:val="99"/>
              </w:rPr>
              <w:t>Cruise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200"/>
              <w:spacing w:after="0" w:line="93" w:lineRule="exact"/>
              <w:rPr>
                <w:sz w:val="20"/>
                <w:szCs w:val="20"/>
                <w:color w:val="auto"/>
              </w:rPr>
            </w:pPr>
            <w:r>
              <w:rPr>
                <w:rFonts w:ascii="Arial" w:cs="Arial" w:eastAsia="Arial" w:hAnsi="Arial"/>
                <w:sz w:val="9"/>
                <w:szCs w:val="9"/>
                <w:b w:val="1"/>
                <w:bCs w:val="1"/>
                <w:color w:val="auto"/>
                <w:w w:val="96"/>
              </w:rPr>
              <w:t>GM</w:t>
            </w:r>
          </w:p>
        </w:tc>
        <w:tc>
          <w:tcPr>
            <w:tcW w:w="14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80" w:type="dxa"/>
            <w:vAlign w:val="bottom"/>
          </w:tcPr>
          <w:p>
            <w:pPr>
              <w:spacing w:after="0"/>
              <w:rPr>
                <w:sz w:val="8"/>
                <w:szCs w:val="8"/>
                <w:color w:val="auto"/>
              </w:rPr>
            </w:pPr>
          </w:p>
        </w:tc>
        <w:tc>
          <w:tcPr>
            <w:tcW w:w="66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Combined</w:t>
            </w:r>
          </w:p>
        </w:tc>
        <w:tc>
          <w:tcPr>
            <w:tcW w:w="760" w:type="dxa"/>
            <w:vAlign w:val="bottom"/>
            <w:gridSpan w:val="3"/>
            <w:vMerge w:val="restart"/>
          </w:tcPr>
          <w:p>
            <w:pPr>
              <w:ind w:left="60"/>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8"/>
                <w:szCs w:val="8"/>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Cruise</w:t>
            </w:r>
          </w:p>
        </w:tc>
        <w:tc>
          <w:tcPr>
            <w:tcW w:w="72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GM Financial</w:t>
            </w:r>
          </w:p>
        </w:tc>
        <w:tc>
          <w:tcPr>
            <w:tcW w:w="14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00" w:type="dxa"/>
            <w:vAlign w:val="bottom"/>
          </w:tcPr>
          <w:p>
            <w:pPr>
              <w:spacing w:after="0"/>
              <w:rPr>
                <w:sz w:val="8"/>
                <w:szCs w:val="8"/>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9"/>
                <w:szCs w:val="9"/>
                <w:b w:val="1"/>
                <w:bCs w:val="1"/>
                <w:color w:val="auto"/>
                <w:w w:val="95"/>
              </w:rPr>
              <w:t>Combined</w:t>
            </w:r>
          </w:p>
        </w:tc>
        <w:tc>
          <w:tcPr>
            <w:tcW w:w="0" w:type="dxa"/>
            <w:vAlign w:val="bottom"/>
          </w:tcPr>
          <w:p>
            <w:pPr>
              <w:spacing w:after="0"/>
              <w:rPr>
                <w:sz w:val="1"/>
                <w:szCs w:val="1"/>
                <w:color w:val="auto"/>
              </w:rPr>
            </w:pPr>
          </w:p>
        </w:tc>
      </w:tr>
      <w:tr>
        <w:trPr>
          <w:trHeight w:val="123"/>
        </w:trPr>
        <w:tc>
          <w:tcPr>
            <w:tcW w:w="24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7"/>
              </w:rPr>
              <w:t>Financial</w:t>
            </w: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1,862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10,102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2,152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9,840</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rPr>
              <w:t>Depreciation and impairment 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Equipment on operating leases, net</w:t>
            </w:r>
          </w:p>
        </w:tc>
        <w:tc>
          <w:tcPr>
            <w:tcW w:w="12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4,844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4,904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4,904</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impairment charges on Property, net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6,984</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rPr>
              <w:t>Foreign currency remeasurement and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transaction (gains) losses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344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w w:val="97"/>
              </w:rPr>
              <w:t>Undistributed earnings and impairment of</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nonconsolidated affiliates, net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rPr>
              <w:t>Pension contributions and OPEB</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payments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Pension and OPEB income, net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Provision (benefit) for deferred taxes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1,059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(1,041)</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Change in other operating assets and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liabilities(a)</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operating activities(c)</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(883)</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1,272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658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(1,493)</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w:t>
            </w:r>
          </w:p>
        </w:tc>
        <w:tc>
          <w:tcPr>
            <w:tcW w:w="0" w:type="dxa"/>
            <w:vAlign w:val="bottom"/>
          </w:tcPr>
          <w:p>
            <w:pPr>
              <w:spacing w:after="0"/>
              <w:rPr>
                <w:sz w:val="1"/>
                <w:szCs w:val="1"/>
                <w:color w:val="auto"/>
              </w:rPr>
            </w:pPr>
          </w:p>
        </w:tc>
      </w:tr>
      <w:tr>
        <w:trPr>
          <w:trHeight w:val="115"/>
        </w:trPr>
        <w:tc>
          <w:tcPr>
            <w:tcW w:w="246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Net cash provided by (used in)</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operating activities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23,939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6,429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20,828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6,662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20,930</w:t>
            </w:r>
          </w:p>
        </w:tc>
        <w:tc>
          <w:tcPr>
            <w:tcW w:w="0" w:type="dxa"/>
            <w:vAlign w:val="bottom"/>
          </w:tcPr>
          <w:p>
            <w:pPr>
              <w:spacing w:after="0"/>
              <w:rPr>
                <w:sz w:val="1"/>
                <w:szCs w:val="1"/>
                <w:color w:val="auto"/>
              </w:rPr>
            </w:pPr>
          </w:p>
        </w:tc>
      </w:tr>
      <w:tr>
        <w:trPr>
          <w:trHeight w:val="174"/>
        </w:trPr>
        <w:tc>
          <w:tcPr>
            <w:tcW w:w="24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(10,684)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(10,970)</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rPr>
              <w:t>Available-for-sale marketable securities,</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acquisitions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(4,429)</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Available-for-sale marketable securities,</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liquidations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9,345</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Purchases of finance receivables(a)</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(42,792)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6,444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(36,348)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(38,593)</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3,214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(35,379)</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Principal collections and recoveries on</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finance receivables</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31,783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28,343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28,346</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Purchases of leased vehicles</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(15,279)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(15,279)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(13,640)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(13,640)</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Proceeds from termination of leased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vehicles</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10,892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13,033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13,033</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Other investing activities(b)</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1,365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115"/>
        </w:trPr>
        <w:tc>
          <w:tcPr>
            <w:tcW w:w="24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b w:val="1"/>
                <w:bCs w:val="1"/>
                <w:color w:val="auto"/>
                <w:w w:val="97"/>
              </w:rPr>
              <w:t>Net cash provided by (used in) investing</w:t>
            </w: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activities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(15,418)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7,721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(10,882)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(14,663)</w:t>
            </w:r>
          </w:p>
        </w:tc>
        <w:tc>
          <w:tcPr>
            <w:tcW w:w="0" w:type="dxa"/>
            <w:vAlign w:val="bottom"/>
          </w:tcPr>
          <w:p>
            <w:pPr>
              <w:spacing w:after="0"/>
              <w:rPr>
                <w:sz w:val="1"/>
                <w:szCs w:val="1"/>
                <w:color w:val="auto"/>
              </w:rPr>
            </w:pPr>
          </w:p>
        </w:tc>
      </w:tr>
      <w:tr>
        <w:trPr>
          <w:trHeight w:val="174"/>
        </w:trPr>
        <w:tc>
          <w:tcPr>
            <w:tcW w:w="246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460" w:type="dxa"/>
            <w:vAlign w:val="bottom"/>
            <w:shd w:val="clear" w:color="auto" w:fill="CCEEFF"/>
          </w:tcPr>
          <w:p>
            <w:pPr>
              <w:ind w:left="120"/>
              <w:spacing w:after="0" w:line="133" w:lineRule="exact"/>
              <w:rPr>
                <w:sz w:val="20"/>
                <w:szCs w:val="20"/>
                <w:color w:val="auto"/>
              </w:rPr>
            </w:pPr>
            <w:r>
              <w:rPr>
                <w:rFonts w:ascii="Arial" w:cs="Arial" w:eastAsia="Arial" w:hAnsi="Arial"/>
                <w:sz w:val="13"/>
                <w:szCs w:val="13"/>
                <w:color w:val="auto"/>
              </w:rPr>
              <w:t>Net increase (decrease) in short-term</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debt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w w:val="99"/>
              </w:rPr>
              <w:t>Proceeds from issuance of debt (original</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300"/>
              <w:spacing w:after="0" w:line="126" w:lineRule="exact"/>
              <w:rPr>
                <w:sz w:val="20"/>
                <w:szCs w:val="20"/>
                <w:color w:val="auto"/>
              </w:rPr>
            </w:pPr>
            <w:r>
              <w:rPr>
                <w:rFonts w:ascii="Arial" w:cs="Arial" w:eastAsia="Arial" w:hAnsi="Arial"/>
                <w:sz w:val="13"/>
                <w:szCs w:val="13"/>
                <w:color w:val="auto"/>
              </w:rPr>
              <w:t>maturities greater than three months)</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1,118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18"/>
              <w:spacing w:after="0"/>
              <w:rPr>
                <w:sz w:val="20"/>
                <w:szCs w:val="20"/>
                <w:color w:val="auto"/>
              </w:rPr>
            </w:pPr>
            <w:r>
              <w:rPr>
                <w:rFonts w:ascii="Arial" w:cs="Arial" w:eastAsia="Arial" w:hAnsi="Arial"/>
                <w:sz w:val="13"/>
                <w:szCs w:val="13"/>
                <w:color w:val="auto"/>
              </w:rPr>
              <w:t>53,398</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(1,165)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53,435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8"/>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50,940</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50,963</w:t>
            </w:r>
          </w:p>
        </w:tc>
        <w:tc>
          <w:tcPr>
            <w:tcW w:w="0" w:type="dxa"/>
            <w:vAlign w:val="bottom"/>
          </w:tcPr>
          <w:p>
            <w:pPr>
              <w:spacing w:after="0"/>
              <w:rPr>
                <w:sz w:val="1"/>
                <w:szCs w:val="1"/>
                <w:color w:val="auto"/>
              </w:rPr>
            </w:pPr>
          </w:p>
        </w:tc>
      </w:tr>
      <w:tr>
        <w:trPr>
          <w:trHeight w:val="171"/>
        </w:trPr>
        <w:tc>
          <w:tcPr>
            <w:tcW w:w="2460" w:type="dxa"/>
            <w:vAlign w:val="bottom"/>
          </w:tcPr>
          <w:p>
            <w:pPr>
              <w:ind w:left="300"/>
              <w:spacing w:after="0"/>
              <w:rPr>
                <w:sz w:val="20"/>
                <w:szCs w:val="20"/>
                <w:color w:val="auto"/>
              </w:rPr>
            </w:pPr>
            <w:r>
              <w:rPr>
                <w:rFonts w:ascii="Arial" w:cs="Arial" w:eastAsia="Arial" w:hAnsi="Arial"/>
                <w:sz w:val="13"/>
                <w:szCs w:val="13"/>
                <w:color w:val="auto"/>
              </w:rPr>
              <w:t>(b)</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Payments on debt (original maturities</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greater than three months)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(42,478)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(43,001)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(44,675)</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Payments to purchase common stock</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(11,115)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(11,115)</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Issuance (redemption) of subsidiary</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stock(b)</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Dividends paid(c)</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(1,919)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(1,919)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financing activities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0" w:type="dxa"/>
            <w:vAlign w:val="bottom"/>
          </w:tcPr>
          <w:p>
            <w:pPr>
              <w:spacing w:after="0"/>
              <w:rPr>
                <w:sz w:val="1"/>
                <w:szCs w:val="1"/>
                <w:color w:val="auto"/>
              </w:rPr>
            </w:pPr>
          </w:p>
        </w:tc>
      </w:tr>
      <w:tr>
        <w:trPr>
          <w:trHeight w:val="111"/>
        </w:trPr>
        <w:tc>
          <w:tcPr>
            <w:tcW w:w="2460" w:type="dxa"/>
            <w:vAlign w:val="bottom"/>
          </w:tcPr>
          <w:p>
            <w:pPr>
              <w:spacing w:after="0" w:line="111" w:lineRule="exact"/>
              <w:rPr>
                <w:sz w:val="20"/>
                <w:szCs w:val="20"/>
                <w:color w:val="auto"/>
              </w:rPr>
            </w:pPr>
            <w:r>
              <w:rPr>
                <w:rFonts w:ascii="Arial" w:cs="Arial" w:eastAsia="Arial" w:hAnsi="Arial"/>
                <w:sz w:val="12"/>
                <w:szCs w:val="12"/>
                <w:b w:val="1"/>
                <w:bCs w:val="1"/>
                <w:color w:val="auto"/>
              </w:rPr>
              <w:t>Net cash provided by (used in) financing</w:t>
            </w: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160"/>
              <w:spacing w:after="0"/>
              <w:rPr>
                <w:sz w:val="20"/>
                <w:szCs w:val="20"/>
                <w:color w:val="auto"/>
              </w:rPr>
            </w:pPr>
            <w:r>
              <w:rPr>
                <w:rFonts w:ascii="Arial" w:cs="Arial" w:eastAsia="Arial" w:hAnsi="Arial"/>
                <w:sz w:val="13"/>
                <w:szCs w:val="13"/>
                <w:b w:val="1"/>
                <w:bCs w:val="1"/>
                <w:color w:val="auto"/>
              </w:rPr>
              <w:t>activities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(8,501)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8,950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9"/>
              </w:rPr>
              <w:t>(13,555)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18"/>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5,724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(6,353)</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Effect of exchange rate changes on</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cash, cash equivalents and restricted</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cash</w:t>
            </w: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460" w:type="dxa"/>
            <w:vAlign w:val="bottom"/>
          </w:tcPr>
          <w:p>
            <w:pPr>
              <w:ind w:left="120"/>
              <w:spacing w:after="0" w:line="111" w:lineRule="exact"/>
              <w:rPr>
                <w:sz w:val="20"/>
                <w:szCs w:val="20"/>
                <w:color w:val="auto"/>
              </w:rPr>
            </w:pPr>
            <w:r>
              <w:rPr>
                <w:rFonts w:ascii="Arial" w:cs="Arial" w:eastAsia="Arial" w:hAnsi="Arial"/>
                <w:sz w:val="12"/>
                <w:szCs w:val="12"/>
                <w:color w:val="auto"/>
              </w:rPr>
              <w:t>Net increase (decrease) in cash, cash</w:t>
            </w: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equivalents and restricted cash</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1,573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w w:val="97"/>
              </w:rPr>
              <w:t>Cash, cash equivalents and restricted cash</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at beginning of period</w:t>
            </w: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12,310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8,249</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21,917</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13,746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1,526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6,676</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21,948</w:t>
            </w:r>
          </w:p>
        </w:tc>
        <w:tc>
          <w:tcPr>
            <w:tcW w:w="0" w:type="dxa"/>
            <w:vAlign w:val="bottom"/>
          </w:tcPr>
          <w:p>
            <w:pPr>
              <w:spacing w:after="0"/>
              <w:rPr>
                <w:sz w:val="1"/>
                <w:szCs w:val="1"/>
                <w:color w:val="auto"/>
              </w:rPr>
            </w:pPr>
          </w:p>
        </w:tc>
      </w:tr>
      <w:tr>
        <w:trPr>
          <w:trHeight w:val="111"/>
        </w:trPr>
        <w:tc>
          <w:tcPr>
            <w:tcW w:w="2460" w:type="dxa"/>
            <w:vAlign w:val="bottom"/>
          </w:tcPr>
          <w:p>
            <w:pPr>
              <w:spacing w:after="0" w:line="111" w:lineRule="exact"/>
              <w:rPr>
                <w:sz w:val="20"/>
                <w:szCs w:val="20"/>
                <w:color w:val="auto"/>
              </w:rPr>
            </w:pPr>
            <w:r>
              <w:rPr>
                <w:rFonts w:ascii="Arial" w:cs="Arial" w:eastAsia="Arial" w:hAnsi="Arial"/>
                <w:sz w:val="12"/>
                <w:szCs w:val="12"/>
                <w:b w:val="1"/>
                <w:bCs w:val="1"/>
                <w:color w:val="auto"/>
              </w:rPr>
              <w:t>Cash, cash equivalents and restricted</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14,561</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322</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8"/>
              <w:spacing w:after="0"/>
              <w:rPr>
                <w:sz w:val="20"/>
                <w:szCs w:val="20"/>
                <w:color w:val="auto"/>
              </w:rPr>
            </w:pPr>
            <w:r>
              <w:rPr>
                <w:rFonts w:ascii="Arial" w:cs="Arial" w:eastAsia="Arial" w:hAnsi="Arial"/>
                <w:sz w:val="13"/>
                <w:szCs w:val="13"/>
                <w:color w:val="auto"/>
              </w:rPr>
              <w:t>8,081</w:t>
            </w:r>
          </w:p>
        </w:tc>
        <w:tc>
          <w:tcPr>
            <w:tcW w:w="10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22,964</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12,310</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ind w:right="18"/>
              <w:spacing w:after="0"/>
              <w:rPr>
                <w:sz w:val="20"/>
                <w:szCs w:val="20"/>
                <w:color w:val="auto"/>
              </w:rPr>
            </w:pPr>
            <w:r>
              <w:rPr>
                <w:rFonts w:ascii="Arial" w:cs="Arial" w:eastAsia="Arial" w:hAnsi="Arial"/>
                <w:sz w:val="13"/>
                <w:szCs w:val="13"/>
                <w:color w:val="auto"/>
              </w:rPr>
              <w:t>1,359</w:t>
            </w:r>
          </w:p>
        </w:tc>
        <w:tc>
          <w:tcPr>
            <w:tcW w:w="10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8,249</w:t>
            </w:r>
          </w:p>
        </w:tc>
        <w:tc>
          <w:tcPr>
            <w:tcW w:w="10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21,917</w:t>
            </w:r>
          </w:p>
        </w:tc>
        <w:tc>
          <w:tcPr>
            <w:tcW w:w="0" w:type="dxa"/>
            <w:vAlign w:val="bottom"/>
          </w:tcPr>
          <w:p>
            <w:pPr>
              <w:spacing w:after="0"/>
              <w:rPr>
                <w:sz w:val="1"/>
                <w:szCs w:val="1"/>
                <w:color w:val="auto"/>
              </w:rPr>
            </w:pPr>
          </w:p>
        </w:tc>
      </w:tr>
      <w:tr>
        <w:trPr>
          <w:trHeight w:val="153"/>
        </w:trPr>
        <w:tc>
          <w:tcPr>
            <w:tcW w:w="2460" w:type="dxa"/>
            <w:vAlign w:val="bottom"/>
          </w:tcPr>
          <w:p>
            <w:pPr>
              <w:ind w:left="160"/>
              <w:spacing w:after="0"/>
              <w:rPr>
                <w:sz w:val="20"/>
                <w:szCs w:val="20"/>
                <w:color w:val="auto"/>
              </w:rPr>
            </w:pPr>
            <w:r>
              <w:rPr>
                <w:rFonts w:ascii="Arial" w:cs="Arial" w:eastAsia="Arial" w:hAnsi="Arial"/>
                <w:sz w:val="13"/>
                <w:szCs w:val="13"/>
                <w:b w:val="1"/>
                <w:bCs w:val="1"/>
                <w:color w:val="auto"/>
              </w:rPr>
              <w:t>cash at end of period</w:t>
            </w: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hanging="332"/>
        <w:spacing w:after="0" w:line="243" w:lineRule="auto"/>
        <w:tabs>
          <w:tab w:leader="none" w:pos="337"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eliminations of $6.4 billion and $3.0 billion in the years ended December 31, 2024 and 2023 for purchases/collections of wholesale finance receivables resulting from vehicles sold by GM to dealers that have arranged their inventory floor plan financing through GM Financial.</w:t>
      </w:r>
    </w:p>
    <w:p>
      <w:pPr>
        <w:ind w:left="340" w:hanging="332"/>
        <w:spacing w:after="0" w:line="243" w:lineRule="auto"/>
        <w:tabs>
          <w:tab w:leader="none" w:pos="337"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eliminations of $0.9 billion convertible note issued by Cruise to Automotive in the year ended December 31, 2024, $0.4 billion and $0.5 billion in the years ended December 31, 2024 and 2023 for Automotive investment in Cruise.</w:t>
      </w:r>
    </w:p>
    <w:p>
      <w:pPr>
        <w:ind w:left="320" w:hanging="312"/>
        <w:spacing w:after="0"/>
        <w:tabs>
          <w:tab w:leader="none" w:pos="3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368"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0"/>
                <w:szCs w:val="10"/>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40" w:type="dxa"/>
            <w:vAlign w:val="bottom"/>
          </w:tcPr>
          <w:p>
            <w:pPr>
              <w:spacing w:after="0"/>
              <w:rPr>
                <w:sz w:val="10"/>
                <w:szCs w:val="10"/>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60" w:type="dxa"/>
            <w:vAlign w:val="bottom"/>
          </w:tcPr>
          <w:p>
            <w:pPr>
              <w:ind w:left="20"/>
              <w:spacing w:after="0"/>
              <w:rPr>
                <w:sz w:val="20"/>
                <w:szCs w:val="20"/>
                <w:color w:val="auto"/>
              </w:rPr>
            </w:pPr>
            <w:r>
              <w:rPr>
                <w:rFonts w:ascii="Arial" w:cs="Arial" w:eastAsia="Arial" w:hAnsi="Arial"/>
                <w:sz w:val="11"/>
                <w:szCs w:val="11"/>
                <w:b w:val="1"/>
                <w:bCs w:val="1"/>
                <w:color w:val="auto"/>
              </w:rPr>
              <w:t>Three Months Ended December 31, 2024</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47,702</w:t>
            </w:r>
          </w:p>
        </w:tc>
        <w:tc>
          <w:tcPr>
            <w:tcW w:w="0" w:type="dxa"/>
            <w:vAlign w:val="bottom"/>
          </w:tcPr>
          <w:p>
            <w:pPr>
              <w:spacing w:after="0"/>
              <w:rPr>
                <w:sz w:val="1"/>
                <w:szCs w:val="1"/>
                <w:color w:val="auto"/>
              </w:rPr>
            </w:pPr>
          </w:p>
        </w:tc>
      </w:tr>
      <w:tr>
        <w:trPr>
          <w:trHeight w:val="171"/>
        </w:trPr>
        <w:tc>
          <w:tcPr>
            <w:tcW w:w="236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3,046</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3,215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3,233</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2,905</w:t>
            </w:r>
          </w:p>
        </w:tc>
        <w:tc>
          <w:tcPr>
            <w:tcW w:w="0" w:type="dxa"/>
            <w:vAlign w:val="bottom"/>
          </w:tcPr>
          <w:p>
            <w:pPr>
              <w:spacing w:after="0"/>
              <w:rPr>
                <w:sz w:val="1"/>
                <w:szCs w:val="1"/>
                <w:color w:val="auto"/>
              </w:rPr>
            </w:pPr>
          </w:p>
        </w:tc>
      </w:tr>
      <w:tr>
        <w:trPr>
          <w:trHeight w:val="171"/>
        </w:trPr>
        <w:tc>
          <w:tcPr>
            <w:tcW w:w="236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(4,178)</w:t>
            </w:r>
          </w:p>
        </w:tc>
        <w:tc>
          <w:tcPr>
            <w:tcW w:w="0" w:type="dxa"/>
            <w:vAlign w:val="bottom"/>
          </w:tcPr>
          <w:p>
            <w:pPr>
              <w:spacing w:after="0"/>
              <w:rPr>
                <w:sz w:val="1"/>
                <w:szCs w:val="1"/>
                <w:color w:val="auto"/>
              </w:rPr>
            </w:pPr>
          </w:p>
        </w:tc>
      </w:tr>
      <w:tr>
        <w:trPr>
          <w:trHeight w:val="378"/>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24"/>
                <w:szCs w:val="2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4"/>
                <w:szCs w:val="2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40" w:type="dxa"/>
            <w:vAlign w:val="bottom"/>
          </w:tcPr>
          <w:p>
            <w:pPr>
              <w:spacing w:after="0"/>
              <w:rPr>
                <w:sz w:val="24"/>
                <w:szCs w:val="24"/>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60" w:type="dxa"/>
            <w:vAlign w:val="bottom"/>
          </w:tcPr>
          <w:p>
            <w:pPr>
              <w:ind w:left="20"/>
              <w:spacing w:after="0"/>
              <w:rPr>
                <w:sz w:val="20"/>
                <w:szCs w:val="20"/>
                <w:color w:val="auto"/>
              </w:rPr>
            </w:pPr>
            <w:r>
              <w:rPr>
                <w:rFonts w:ascii="Arial" w:cs="Arial" w:eastAsia="Arial" w:hAnsi="Arial"/>
                <w:sz w:val="11"/>
                <w:szCs w:val="11"/>
                <w:b w:val="1"/>
                <w:bCs w:val="1"/>
                <w:color w:val="auto"/>
              </w:rPr>
              <w:t>Three Months Ended December 31, 2023</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42,980</w:t>
            </w:r>
          </w:p>
        </w:tc>
        <w:tc>
          <w:tcPr>
            <w:tcW w:w="0" w:type="dxa"/>
            <w:vAlign w:val="bottom"/>
          </w:tcPr>
          <w:p>
            <w:pPr>
              <w:spacing w:after="0"/>
              <w:rPr>
                <w:sz w:val="1"/>
                <w:szCs w:val="1"/>
                <w:color w:val="auto"/>
              </w:rPr>
            </w:pPr>
          </w:p>
        </w:tc>
      </w:tr>
      <w:tr>
        <w:trPr>
          <w:trHeight w:val="171"/>
        </w:trPr>
        <w:tc>
          <w:tcPr>
            <w:tcW w:w="236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3,437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3,613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3,706</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w:t>
            </w:r>
          </w:p>
        </w:tc>
        <w:tc>
          <w:tcPr>
            <w:tcW w:w="0" w:type="dxa"/>
            <w:vAlign w:val="bottom"/>
          </w:tcPr>
          <w:p>
            <w:pPr>
              <w:spacing w:after="0"/>
              <w:rPr>
                <w:sz w:val="1"/>
                <w:szCs w:val="1"/>
                <w:color w:val="auto"/>
              </w:rPr>
            </w:pPr>
          </w:p>
        </w:tc>
      </w:tr>
      <w:tr>
        <w:trPr>
          <w:trHeight w:val="171"/>
        </w:trPr>
        <w:tc>
          <w:tcPr>
            <w:tcW w:w="236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378"/>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24"/>
                <w:szCs w:val="2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4"/>
                <w:szCs w:val="2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40" w:type="dxa"/>
            <w:vAlign w:val="bottom"/>
          </w:tcPr>
          <w:p>
            <w:pPr>
              <w:spacing w:after="0"/>
              <w:rPr>
                <w:sz w:val="24"/>
                <w:szCs w:val="24"/>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6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2024</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187,442</w:t>
            </w:r>
          </w:p>
        </w:tc>
        <w:tc>
          <w:tcPr>
            <w:tcW w:w="0" w:type="dxa"/>
            <w:vAlign w:val="bottom"/>
          </w:tcPr>
          <w:p>
            <w:pPr>
              <w:spacing w:after="0"/>
              <w:rPr>
                <w:sz w:val="1"/>
                <w:szCs w:val="1"/>
                <w:color w:val="auto"/>
              </w:rPr>
            </w:pPr>
          </w:p>
        </w:tc>
      </w:tr>
      <w:tr>
        <w:trPr>
          <w:trHeight w:val="171"/>
        </w:trPr>
        <w:tc>
          <w:tcPr>
            <w:tcW w:w="236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10,266</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415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10,711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10,830</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11,456</w:t>
            </w:r>
          </w:p>
        </w:tc>
        <w:tc>
          <w:tcPr>
            <w:tcW w:w="0" w:type="dxa"/>
            <w:vAlign w:val="bottom"/>
          </w:tcPr>
          <w:p>
            <w:pPr>
              <w:spacing w:after="0"/>
              <w:rPr>
                <w:sz w:val="1"/>
                <w:szCs w:val="1"/>
                <w:color w:val="auto"/>
              </w:rPr>
            </w:pPr>
          </w:p>
        </w:tc>
      </w:tr>
      <w:tr>
        <w:trPr>
          <w:trHeight w:val="171"/>
        </w:trPr>
        <w:tc>
          <w:tcPr>
            <w:tcW w:w="236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933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934</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(3,701)</w:t>
            </w:r>
          </w:p>
        </w:tc>
        <w:tc>
          <w:tcPr>
            <w:tcW w:w="0" w:type="dxa"/>
            <w:vAlign w:val="bottom"/>
          </w:tcPr>
          <w:p>
            <w:pPr>
              <w:spacing w:after="0"/>
              <w:rPr>
                <w:sz w:val="1"/>
                <w:szCs w:val="1"/>
                <w:color w:val="auto"/>
              </w:rPr>
            </w:pPr>
          </w:p>
        </w:tc>
      </w:tr>
      <w:tr>
        <w:trPr>
          <w:trHeight w:val="378"/>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24"/>
                <w:szCs w:val="2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4"/>
                <w:szCs w:val="2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40" w:type="dxa"/>
            <w:vAlign w:val="bottom"/>
          </w:tcPr>
          <w:p>
            <w:pPr>
              <w:spacing w:after="0"/>
              <w:rPr>
                <w:sz w:val="24"/>
                <w:szCs w:val="24"/>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6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2023</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171,842</w:t>
            </w:r>
          </w:p>
        </w:tc>
        <w:tc>
          <w:tcPr>
            <w:tcW w:w="0" w:type="dxa"/>
            <w:vAlign w:val="bottom"/>
          </w:tcPr>
          <w:p>
            <w:pPr>
              <w:spacing w:after="0"/>
              <w:rPr>
                <w:sz w:val="1"/>
                <w:szCs w:val="1"/>
                <w:color w:val="auto"/>
              </w:rPr>
            </w:pPr>
          </w:p>
        </w:tc>
      </w:tr>
      <w:tr>
        <w:trPr>
          <w:trHeight w:val="171"/>
        </w:trPr>
        <w:tc>
          <w:tcPr>
            <w:tcW w:w="236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10,147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10,684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10,970</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11,737</w:t>
            </w:r>
          </w:p>
        </w:tc>
        <w:tc>
          <w:tcPr>
            <w:tcW w:w="0" w:type="dxa"/>
            <w:vAlign w:val="bottom"/>
          </w:tcPr>
          <w:p>
            <w:pPr>
              <w:spacing w:after="0"/>
              <w:rPr>
                <w:sz w:val="1"/>
                <w:szCs w:val="1"/>
                <w:color w:val="auto"/>
              </w:rPr>
            </w:pPr>
          </w:p>
        </w:tc>
      </w:tr>
      <w:tr>
        <w:trPr>
          <w:trHeight w:val="171"/>
        </w:trPr>
        <w:tc>
          <w:tcPr>
            <w:tcW w:w="236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8" w:lineRule="exact"/>
        <w:rPr>
          <w:sz w:val="20"/>
          <w:szCs w:val="20"/>
          <w:color w:val="auto"/>
        </w:rPr>
      </w:pPr>
    </w:p>
    <w:p>
      <w:pPr>
        <w:ind w:left="340" w:right="20" w:hanging="332"/>
        <w:spacing w:after="0" w:line="238"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Automotive China joint ventures (Automotive China JVs) equity loss of $4.1 billion and $4.4 billion in the three months ended December 31, 2024 and in the year ended December 31, 2024 and Automotive China JVs equity income of $93 million and $446 million in the three months ended December 31, 2023 and in the year ended December 31, 2023.</w:t>
      </w:r>
    </w:p>
    <w:p>
      <w:pPr>
        <w:jc w:val="both"/>
        <w:ind w:left="340" w:hanging="332"/>
        <w:spacing w:after="0" w:line="252"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are presented in Automotive and other cost of sales as this entity is integral to the operations of our business by providing battery cells for our electric vehicles. Equity earnings related to Ultium Cells Holdings LLC were $186 million and $102 million in the three months ended December 31, 2024 and 2023 and $975 million and $293 million in the year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36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taxes-adjusted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61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jc w:val="center"/>
        <w:ind w:right="-19"/>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right="20" w:firstLine="162"/>
        <w:spacing w:after="0" w:line="286" w:lineRule="auto"/>
        <w:rPr>
          <w:sz w:val="20"/>
          <w:szCs w:val="20"/>
          <w:color w:val="auto"/>
        </w:rPr>
      </w:pPr>
      <w:r>
        <w:rPr>
          <w:rFonts w:ascii="Arial" w:cs="Arial" w:eastAsia="Arial" w:hAnsi="Arial"/>
          <w:sz w:val="16"/>
          <w:szCs w:val="16"/>
          <w:color w:val="auto"/>
        </w:rPr>
        <w:t>The following table reconciles Net income (loss) attributable to stockholders under U.S. GAAP to EBIT-adjusted and segment profit (loss) (dollars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ind w:left="7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2760" w:type="dxa"/>
            <w:vAlign w:val="bottom"/>
            <w:gridSpan w:val="4"/>
          </w:tcPr>
          <w:p>
            <w:pPr>
              <w:jc w:val="right"/>
              <w:ind w:right="980"/>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5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5"/>
              </w:rPr>
              <w:t>December 31, 2023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7"/>
              </w:rPr>
              <w:t>December 31, 2023</w:t>
            </w:r>
          </w:p>
        </w:tc>
      </w:tr>
      <w:tr>
        <w:trPr>
          <w:trHeight w:val="211"/>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stockholders(a)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10,127</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563</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China JV restructuring actions(b)</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Cruise restructuring(c)</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Buick dealer strategy(d)</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actions(e)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GMI plant wind down(f)</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Headquarters relocation(g)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Voluntary separation program(h)</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1,035</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Korea wage litigation(i)</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India asset sales(j)</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0"/>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w:t>
            </w: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EBIT-adjusted</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14,934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12,357</w:t>
            </w:r>
          </w:p>
        </w:tc>
      </w:tr>
      <w:tr>
        <w:trPr>
          <w:trHeight w:val="19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segments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GM North America (GMNA)</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14,528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12,306</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International (GMI)</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Cruise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(2,695)</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Financial(k)</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r>
      <w:tr>
        <w:trPr>
          <w:trHeight w:val="209"/>
        </w:trPr>
        <w:tc>
          <w:tcPr>
            <w:tcW w:w="5360" w:type="dxa"/>
            <w:vAlign w:val="bottom"/>
          </w:tcPr>
          <w:p>
            <w:pPr>
              <w:ind w:left="20"/>
              <w:spacing w:after="0"/>
              <w:rPr>
                <w:sz w:val="20"/>
                <w:szCs w:val="20"/>
                <w:color w:val="auto"/>
              </w:rPr>
            </w:pPr>
            <w:r>
              <w:rPr>
                <w:rFonts w:ascii="Arial" w:cs="Arial" w:eastAsia="Arial" w:hAnsi="Arial"/>
                <w:sz w:val="16"/>
                <w:szCs w:val="16"/>
                <w:color w:val="auto"/>
              </w:rPr>
              <w:t>Total operating segments</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2,796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16,095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13,806</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eliminations(l)</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w:t>
            </w: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EBIT-adjusted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14,934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12,357</w:t>
            </w: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net loss attributable to noncontrolling interests.</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other-than-temporary impairment and our portion of restructuring charges recorded in equity earnings associated with our restructuring actions of Automotive China JVs.</w:t>
      </w:r>
    </w:p>
    <w:p>
      <w:pPr>
        <w:jc w:val="both"/>
        <w:ind w:left="340" w:hanging="332"/>
        <w:spacing w:after="0" w:line="261"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charges resulting from the plan to combine the Cruise and GM technical efforts to advance autonomous and assisted driving, the indefinite delay of the Cruise Origin and the voluntarily pausing in 2023 of Cruise's driverless, supervised and manual AV operations in the U.S. The adjustments primarily consist of non-cash restructuring charges, supplier-related charges and employee separation costs.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employee separation charges primarily in North America.</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wind down of our manufacturing operations in Colombia and Ecuador.</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GM headquarters relocation, primarily consisting of accelerated depreciation.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acceleration of attrition as part of the cost reduction program announced in January 2023, primarily in the U.S.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partial resolution of subcontractor matters in Korea.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an asset sale resulting from our strategic decision in 2020 to exit India.</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340" w:hanging="332"/>
        <w:spacing w:after="0" w:line="284" w:lineRule="auto"/>
        <w:tabs>
          <w:tab w:leader="none" w:pos="333" w:val="left"/>
        </w:tabs>
        <w:numPr>
          <w:ilvl w:val="0"/>
          <w:numId w:val="12"/>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legacy costs from the Opel/Vauxhall Business (primarily pension costs), corporate expenditures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firstLine="162"/>
        <w:spacing w:after="0" w:line="263" w:lineRule="auto"/>
        <w:rPr>
          <w:sz w:val="20"/>
          <w:szCs w:val="20"/>
          <w:color w:val="auto"/>
        </w:rPr>
      </w:pPr>
      <w:r>
        <w:rPr>
          <w:rFonts w:ascii="Arial" w:cs="Arial" w:eastAsia="Arial" w:hAnsi="Arial"/>
          <w:sz w:val="16"/>
          <w:szCs w:val="16"/>
          <w:color w:val="auto"/>
        </w:rPr>
        <w:t>The following table reconciles diluted earnings per common share under U.S. GAAP to EPS-diluted-adjusted (dollars in millions, except per share amounts):</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Years Ended</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7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180"/>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Pr>
          <w:p>
            <w:pPr>
              <w:spacing w:after="0"/>
              <w:rPr>
                <w:sz w:val="14"/>
                <w:szCs w:val="14"/>
                <w:color w:val="auto"/>
              </w:rPr>
            </w:pPr>
          </w:p>
        </w:tc>
        <w:tc>
          <w:tcPr>
            <w:tcW w:w="1640" w:type="dxa"/>
            <w:vAlign w:val="bottom"/>
            <w:gridSpan w:val="4"/>
          </w:tcPr>
          <w:p>
            <w:pPr>
              <w:jc w:val="right"/>
              <w:ind w:right="241"/>
              <w:spacing w:after="0"/>
              <w:rPr>
                <w:sz w:val="20"/>
                <w:szCs w:val="20"/>
                <w:color w:val="auto"/>
              </w:rPr>
            </w:pPr>
            <w:r>
              <w:rPr>
                <w:rFonts w:ascii="Arial" w:cs="Arial" w:eastAsia="Arial" w:hAnsi="Arial"/>
                <w:sz w:val="13"/>
                <w:szCs w:val="13"/>
                <w:b w:val="1"/>
                <w:bCs w:val="1"/>
                <w:color w:val="auto"/>
              </w:rPr>
              <w:t>December 31, 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ind w:left="200"/>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Pr>
          <w:p>
            <w:pPr>
              <w:spacing w:after="0"/>
              <w:rPr>
                <w:sz w:val="14"/>
                <w:szCs w:val="14"/>
                <w:color w:val="auto"/>
              </w:rPr>
            </w:pPr>
          </w:p>
        </w:tc>
        <w:tc>
          <w:tcPr>
            <w:tcW w:w="1660" w:type="dxa"/>
            <w:vAlign w:val="bottom"/>
            <w:gridSpan w:val="4"/>
          </w:tcPr>
          <w:p>
            <w:pPr>
              <w:jc w:val="right"/>
              <w:ind w:right="261"/>
              <w:spacing w:after="0"/>
              <w:rPr>
                <w:sz w:val="20"/>
                <w:szCs w:val="20"/>
                <w:color w:val="auto"/>
              </w:rPr>
            </w:pPr>
            <w:r>
              <w:rPr>
                <w:rFonts w:ascii="Arial" w:cs="Arial" w:eastAsia="Arial" w:hAnsi="Arial"/>
                <w:sz w:val="13"/>
                <w:szCs w:val="13"/>
                <w:b w:val="1"/>
                <w:bCs w:val="1"/>
                <w:color w:val="auto"/>
              </w:rPr>
              <w:t>December 31, 2023</w:t>
            </w:r>
          </w:p>
        </w:tc>
      </w:tr>
      <w:tr>
        <w:trPr>
          <w:trHeight w:val="169"/>
        </w:trPr>
        <w:tc>
          <w:tcPr>
            <w:tcW w:w="37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95"/>
              </w:rPr>
              <w:t>Per Share</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1"/>
              <w:spacing w:after="0"/>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95"/>
              </w:rPr>
              <w:t>Per Share</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1"/>
              <w:spacing w:after="0"/>
              <w:rPr>
                <w:sz w:val="20"/>
                <w:szCs w:val="20"/>
                <w:color w:val="auto"/>
              </w:rPr>
            </w:pPr>
            <w:r>
              <w:rPr>
                <w:rFonts w:ascii="Arial" w:cs="Arial" w:eastAsia="Arial" w:hAnsi="Arial"/>
                <w:sz w:val="13"/>
                <w:szCs w:val="13"/>
                <w:b w:val="1"/>
                <w:bCs w:val="1"/>
                <w:color w:val="auto"/>
                <w:w w:val="95"/>
              </w:rPr>
              <w:t>Per Share</w:t>
            </w: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common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7,189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10,022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7.32</w:t>
            </w: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Impact of including dilutive securities(a)</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Adjustments(b)</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w:t>
            </w: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Tax effect on adjustments(c)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adjustments(d)</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Return from preferred shareholders(e)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EPS-diluted-adjusted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10,513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20" w:hanging="332"/>
        <w:spacing w:after="0" w:line="251"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dilutive effect of awards under stock incentive plans. Refer to the table below for the effect on weighted-average common shares outstanding — diluted-adjusted.</w:t>
      </w: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 and segment profit (loss) for adjustment details.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the year ended December 31, 2023, the adjustment consists of tax benefit related to the release of a valuation allowance against deferred tax assets considered realizable in Korea. This adjustment was excluded because significant impacts of valuation allowances are not considered part of our core operations.</w:t>
      </w:r>
    </w:p>
    <w:p>
      <w:pPr>
        <w:ind w:left="340" w:hanging="332"/>
        <w:spacing w:after="0" w:line="264"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adjustment consists of a return from the preferred shareholders related to the redemption of Cruise preferred shares from noncontrolling interest holders in the three months and year ended December 31, 2024.</w:t>
      </w:r>
    </w:p>
    <w:p>
      <w:pPr>
        <w:spacing w:after="0" w:line="207" w:lineRule="exact"/>
        <w:rPr>
          <w:sz w:val="20"/>
          <w:szCs w:val="20"/>
          <w:color w:val="auto"/>
        </w:rPr>
      </w:pPr>
    </w:p>
    <w:p>
      <w:pPr>
        <w:ind w:firstLine="162"/>
        <w:spacing w:after="0" w:line="304" w:lineRule="auto"/>
        <w:rPr>
          <w:sz w:val="20"/>
          <w:szCs w:val="20"/>
          <w:color w:val="auto"/>
        </w:rPr>
      </w:pPr>
      <w:r>
        <w:rPr>
          <w:rFonts w:ascii="Arial" w:cs="Arial" w:eastAsia="Arial" w:hAnsi="Arial"/>
          <w:sz w:val="16"/>
          <w:szCs w:val="16"/>
          <w:color w:val="auto"/>
        </w:rPr>
        <w:t>The following table reconciles weighted-average common shares outstanding — diluted under U.S. GAAP to weighted-average common shares outstanding — diluted-adjusted used in the calculation of EPS-diluted-adjusted (shares in millions):</w:t>
      </w:r>
    </w:p>
    <w:p>
      <w:pPr>
        <w:spacing w:after="0" w:line="57" w:lineRule="exact"/>
        <w:rPr>
          <w:sz w:val="20"/>
          <w:szCs w:val="20"/>
          <w:color w:val="auto"/>
        </w:rPr>
      </w:pPr>
    </w:p>
    <w:tbl>
      <w:tblPr>
        <w:tblLayout w:type="fixed"/>
        <w:tblInd w:w="6100" w:type="dxa"/>
        <w:tblCellMar>
          <w:top w:w="0" w:type="dxa"/>
          <w:left w:w="0" w:type="dxa"/>
          <w:bottom w:w="0" w:type="dxa"/>
          <w:right w:w="0" w:type="dxa"/>
        </w:tblCellMar>
      </w:tblPr>
      <w:tr>
        <w:trPr>
          <w:trHeight w:val="176"/>
        </w:trPr>
        <w:tc>
          <w:tcPr>
            <w:tcW w:w="2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Three Months Ended</w:t>
            </w:r>
          </w:p>
        </w:tc>
        <w:tc>
          <w:tcPr>
            <w:tcW w:w="2520" w:type="dxa"/>
            <w:vAlign w:val="bottom"/>
          </w:tcPr>
          <w:p>
            <w:pPr>
              <w:jc w:val="center"/>
              <w:spacing w:after="0"/>
              <w:rPr>
                <w:sz w:val="20"/>
                <w:szCs w:val="20"/>
                <w:color w:val="auto"/>
              </w:rPr>
            </w:pPr>
            <w:r>
              <w:rPr>
                <w:rFonts w:ascii="Arial" w:cs="Arial" w:eastAsia="Arial" w:hAnsi="Arial"/>
                <w:sz w:val="13"/>
                <w:szCs w:val="13"/>
                <w:b w:val="1"/>
                <w:bCs w:val="1"/>
                <w:color w:val="auto"/>
                <w:w w:val="96"/>
              </w:rPr>
              <w:t>Years Ended</w:t>
            </w:r>
          </w:p>
        </w:tc>
      </w:tr>
      <w:tr>
        <w:trPr>
          <w:trHeight w:val="169"/>
        </w:trPr>
        <w:tc>
          <w:tcPr>
            <w:tcW w:w="2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December 31, 2024   December 31, 2023</w:t>
            </w:r>
          </w:p>
        </w:tc>
        <w:tc>
          <w:tcPr>
            <w:tcW w:w="100" w:type="dxa"/>
            <w:vAlign w:val="bottom"/>
          </w:tcPr>
          <w:p>
            <w:pPr>
              <w:spacing w:after="0"/>
              <w:rPr>
                <w:sz w:val="14"/>
                <w:szCs w:val="14"/>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December 31, 2024   December 31, 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ind w:left="64"/>
              <w:spacing w:after="0"/>
              <w:rPr>
                <w:sz w:val="20"/>
                <w:szCs w:val="20"/>
                <w:color w:val="auto"/>
              </w:rPr>
            </w:pPr>
            <w:r>
              <w:rPr>
                <w:rFonts w:ascii="Arial" w:cs="Arial" w:eastAsia="Arial" w:hAnsi="Arial"/>
                <w:sz w:val="16"/>
                <w:szCs w:val="16"/>
                <w:color w:val="auto"/>
              </w:rPr>
              <w:t>1,129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20" w:type="dxa"/>
            <w:vAlign w:val="bottom"/>
            <w:tcBorders>
              <w:top w:val="single" w:sz="8" w:color="auto"/>
            </w:tcBorders>
            <w:shd w:val="clear" w:color="auto" w:fill="CCEEFF"/>
          </w:tcPr>
          <w:p>
            <w:pPr>
              <w:spacing w:after="0"/>
              <w:rPr>
                <w:sz w:val="18"/>
                <w:szCs w:val="18"/>
                <w:color w:val="auto"/>
              </w:rPr>
            </w:pPr>
          </w:p>
        </w:tc>
      </w:tr>
      <w:tr>
        <w:trPr>
          <w:trHeight w:val="215"/>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Dilutive effect of awards under stock incentive plans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5"/>
        </w:trPr>
        <w:tc>
          <w:tcPr>
            <w:tcW w:w="586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 — diluted-adjusted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1,075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CCEEFF"/>
            </w:tcBorders>
            <w:gridSpan w:val="3"/>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99"/>
        </w:trPr>
        <w:tc>
          <w:tcPr>
            <w:tcW w:w="40" w:type="dxa"/>
            <w:vAlign w:val="bottom"/>
          </w:tcPr>
          <w:p>
            <w:pPr>
              <w:spacing w:after="0"/>
              <w:rPr>
                <w:sz w:val="24"/>
                <w:szCs w:val="24"/>
                <w:color w:val="auto"/>
              </w:rPr>
            </w:pPr>
          </w:p>
        </w:tc>
        <w:tc>
          <w:tcPr>
            <w:tcW w:w="7920" w:type="dxa"/>
            <w:vAlign w:val="bottom"/>
            <w:gridSpan w:val="12"/>
          </w:tcPr>
          <w:p>
            <w:pPr>
              <w:ind w:left="14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ind w:left="20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6"/>
        </w:trPr>
        <w:tc>
          <w:tcPr>
            <w:tcW w:w="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6"/>
              </w:rPr>
              <w:t>Income before</w:t>
            </w:r>
          </w:p>
        </w:tc>
        <w:tc>
          <w:tcPr>
            <w:tcW w:w="100" w:type="dxa"/>
            <w:vAlign w:val="bottom"/>
          </w:tcPr>
          <w:p>
            <w:pPr>
              <w:spacing w:after="0"/>
              <w:rPr>
                <w:sz w:val="10"/>
                <w:szCs w:val="10"/>
                <w:color w:val="auto"/>
              </w:rPr>
            </w:pPr>
          </w:p>
        </w:tc>
        <w:tc>
          <w:tcPr>
            <w:tcW w:w="820" w:type="dxa"/>
            <w:vAlign w:val="bottom"/>
            <w:gridSpan w:val="2"/>
          </w:tcPr>
          <w:p>
            <w:pPr>
              <w:jc w:val="right"/>
              <w:ind w:right="59"/>
              <w:spacing w:after="0" w:line="126" w:lineRule="exact"/>
              <w:rPr>
                <w:sz w:val="20"/>
                <w:szCs w:val="20"/>
                <w:color w:val="auto"/>
              </w:rPr>
            </w:pPr>
            <w:r>
              <w:rPr>
                <w:rFonts w:ascii="Arial" w:cs="Arial" w:eastAsia="Arial" w:hAnsi="Arial"/>
                <w:sz w:val="13"/>
                <w:szCs w:val="13"/>
                <w:b w:val="1"/>
                <w:bCs w:val="1"/>
                <w:color w:val="auto"/>
                <w:w w:val="97"/>
              </w:rPr>
              <w:t>Income tax</w:t>
            </w:r>
          </w:p>
        </w:tc>
        <w:tc>
          <w:tcPr>
            <w:tcW w:w="120" w:type="dxa"/>
            <w:vAlign w:val="bottom"/>
          </w:tcPr>
          <w:p>
            <w:pPr>
              <w:spacing w:after="0"/>
              <w:rPr>
                <w:sz w:val="10"/>
                <w:szCs w:val="10"/>
                <w:color w:val="auto"/>
              </w:rPr>
            </w:pPr>
          </w:p>
        </w:tc>
        <w:tc>
          <w:tcPr>
            <w:tcW w:w="960" w:type="dxa"/>
            <w:vAlign w:val="bottom"/>
            <w:gridSpan w:val="3"/>
          </w:tcPr>
          <w:p>
            <w:pPr>
              <w:jc w:val="center"/>
              <w:ind w:right="20"/>
              <w:spacing w:after="0" w:line="126" w:lineRule="exact"/>
              <w:rPr>
                <w:sz w:val="20"/>
                <w:szCs w:val="20"/>
                <w:color w:val="auto"/>
              </w:rPr>
            </w:pPr>
            <w:r>
              <w:rPr>
                <w:rFonts w:ascii="Arial" w:cs="Arial" w:eastAsia="Arial" w:hAnsi="Arial"/>
                <w:sz w:val="13"/>
                <w:szCs w:val="13"/>
                <w:b w:val="1"/>
                <w:bCs w:val="1"/>
                <w:color w:val="auto"/>
                <w:w w:val="96"/>
              </w:rPr>
              <w:t>Effective tax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4"/>
          </w:tcPr>
          <w:p>
            <w:pPr>
              <w:jc w:val="center"/>
              <w:ind w:right="240"/>
              <w:spacing w:after="0" w:line="126" w:lineRule="exact"/>
              <w:rPr>
                <w:sz w:val="20"/>
                <w:szCs w:val="20"/>
                <w:color w:val="auto"/>
              </w:rPr>
            </w:pPr>
            <w:r>
              <w:rPr>
                <w:rFonts w:ascii="Arial" w:cs="Arial" w:eastAsia="Arial" w:hAnsi="Arial"/>
                <w:sz w:val="13"/>
                <w:szCs w:val="13"/>
                <w:b w:val="1"/>
                <w:bCs w:val="1"/>
                <w:color w:val="auto"/>
                <w:w w:val="96"/>
              </w:rPr>
              <w:t>Income before</w:t>
            </w:r>
          </w:p>
        </w:tc>
        <w:tc>
          <w:tcPr>
            <w:tcW w:w="120" w:type="dxa"/>
            <w:vAlign w:val="bottom"/>
          </w:tcPr>
          <w:p>
            <w:pPr>
              <w:spacing w:after="0"/>
              <w:rPr>
                <w:sz w:val="10"/>
                <w:szCs w:val="10"/>
                <w:color w:val="auto"/>
              </w:rPr>
            </w:pPr>
          </w:p>
        </w:tc>
        <w:tc>
          <w:tcPr>
            <w:tcW w:w="820" w:type="dxa"/>
            <w:vAlign w:val="bottom"/>
            <w:gridSpan w:val="3"/>
          </w:tcPr>
          <w:p>
            <w:pPr>
              <w:jc w:val="center"/>
              <w:ind w:right="120"/>
              <w:spacing w:after="0" w:line="126" w:lineRule="exact"/>
              <w:rPr>
                <w:sz w:val="20"/>
                <w:szCs w:val="20"/>
                <w:color w:val="auto"/>
              </w:rPr>
            </w:pPr>
            <w:r>
              <w:rPr>
                <w:rFonts w:ascii="Arial" w:cs="Arial" w:eastAsia="Arial" w:hAnsi="Arial"/>
                <w:sz w:val="13"/>
                <w:szCs w:val="13"/>
                <w:b w:val="1"/>
                <w:bCs w:val="1"/>
                <w:color w:val="auto"/>
                <w:w w:val="97"/>
              </w:rPr>
              <w:t>Income tax</w:t>
            </w:r>
          </w:p>
        </w:tc>
        <w:tc>
          <w:tcPr>
            <w:tcW w:w="1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9"/>
              </w:rPr>
              <w:t>Effective tax</w:t>
            </w:r>
          </w:p>
        </w:tc>
        <w:tc>
          <w:tcPr>
            <w:tcW w:w="20" w:type="dxa"/>
            <w:vAlign w:val="bottom"/>
          </w:tcPr>
          <w:p>
            <w:pPr>
              <w:spacing w:after="0"/>
              <w:rPr>
                <w:sz w:val="10"/>
                <w:szCs w:val="10"/>
                <w:color w:val="auto"/>
              </w:rPr>
            </w:pPr>
          </w:p>
        </w:tc>
      </w:tr>
      <w:tr>
        <w:trPr>
          <w:trHeight w:val="176"/>
        </w:trPr>
        <w:tc>
          <w:tcPr>
            <w:tcW w:w="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Pr>
          <w:p>
            <w:pPr>
              <w:spacing w:after="0"/>
              <w:rPr>
                <w:sz w:val="15"/>
                <w:szCs w:val="15"/>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15"/>
                <w:szCs w:val="15"/>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5"/>
                <w:szCs w:val="15"/>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7"/>
              </w:rPr>
              <w:t>income taxes</w:t>
            </w:r>
          </w:p>
        </w:tc>
        <w:tc>
          <w:tcPr>
            <w:tcW w:w="12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expense</w:t>
            </w:r>
          </w:p>
        </w:tc>
        <w:tc>
          <w:tcPr>
            <w:tcW w:w="100" w:type="dxa"/>
            <w:vAlign w:val="bottom"/>
          </w:tcPr>
          <w:p>
            <w:pPr>
              <w:spacing w:after="0"/>
              <w:rPr>
                <w:sz w:val="15"/>
                <w:szCs w:val="15"/>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rate</w:t>
            </w:r>
          </w:p>
        </w:tc>
      </w:tr>
      <w:tr>
        <w:trPr>
          <w:trHeight w:val="214"/>
        </w:trPr>
        <w:tc>
          <w:tcPr>
            <w:tcW w:w="4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8,519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30.0 %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10,403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563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Adjustments(a)</w:t>
            </w:r>
          </w:p>
        </w:tc>
        <w:tc>
          <w:tcPr>
            <w:tcW w:w="120" w:type="dxa"/>
            <w:vAlign w:val="bottom"/>
          </w:tcPr>
          <w:p>
            <w:pPr>
              <w:spacing w:after="0"/>
              <w:rPr>
                <w:sz w:val="18"/>
                <w:szCs w:val="18"/>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6,564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Tax adjustments(b)</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ETR-adjusted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15,083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3,033</w:t>
            </w:r>
          </w:p>
        </w:tc>
        <w:tc>
          <w:tcPr>
            <w:tcW w:w="1080" w:type="dxa"/>
            <w:vAlign w:val="bottom"/>
            <w:gridSpan w:val="4"/>
          </w:tcPr>
          <w:p>
            <w:pPr>
              <w:jc w:val="right"/>
              <w:ind w:right="40"/>
              <w:spacing w:after="0"/>
              <w:rPr>
                <w:sz w:val="20"/>
                <w:szCs w:val="20"/>
                <w:color w:val="auto"/>
              </w:rPr>
            </w:pPr>
            <w:r>
              <w:rPr>
                <w:rFonts w:ascii="Arial" w:cs="Arial" w:eastAsia="Arial" w:hAnsi="Arial"/>
                <w:sz w:val="16"/>
                <w:szCs w:val="16"/>
                <w:color w:val="auto"/>
              </w:rPr>
              <w:t>20.1 %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12,319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1,937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jc w:val="both"/>
        <w:ind w:left="340" w:hanging="332"/>
        <w:spacing w:after="0" w:line="254" w:lineRule="auto"/>
        <w:tabs>
          <w:tab w:leader="none" w:pos="3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 and segment profit (loss) for adjustment details. Net income attributable to noncontrolling interests for these adjustments is included in the years ended December 31, 2024 and 2023. The tax effect of each adjustment is determined based on the tax laws and valuation allowance status of the jurisdiction to which the adjustment relates.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diluted earnings per common share under U.S. GAAP to EPS-diluted-adjusted for adjustment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jc w:val="center"/>
        <w:ind w:right="-19"/>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6"/>
          <w:szCs w:val="16"/>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420" w:type="dxa"/>
            <w:vAlign w:val="bottom"/>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r>
      <w:tr>
        <w:trPr>
          <w:trHeight w:val="171"/>
        </w:trPr>
        <w:tc>
          <w:tcPr>
            <w:tcW w:w="84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82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25"/>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r>
              <w:rPr>
                <w:rFonts w:ascii="Arial" w:cs="Arial" w:eastAsia="Arial" w:hAnsi="Arial"/>
                <w:sz w:val="16"/>
                <w:szCs w:val="16"/>
                <w:color w:val="auto"/>
              </w:rPr>
              <w:t>10.1</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820" w:type="dxa"/>
            <w:vAlign w:val="bottom"/>
          </w:tcPr>
          <w:p>
            <w:pPr>
              <w:jc w:val="right"/>
              <w:ind w:right="628"/>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w w:val="96"/>
              </w:rPr>
              <w:t>68.9</w:t>
            </w:r>
          </w:p>
        </w:tc>
        <w:tc>
          <w:tcPr>
            <w:tcW w:w="100" w:type="dxa"/>
            <w:vAlign w:val="bottom"/>
          </w:tcPr>
          <w:p>
            <w:pPr>
              <w:spacing w:after="0"/>
              <w:rPr>
                <w:sz w:val="18"/>
                <w:szCs w:val="18"/>
                <w:color w:val="auto"/>
              </w:rPr>
            </w:pPr>
          </w:p>
        </w:tc>
        <w:tc>
          <w:tcPr>
            <w:tcW w:w="820" w:type="dxa"/>
            <w:vAlign w:val="bottom"/>
          </w:tcPr>
          <w:p>
            <w:pPr>
              <w:jc w:val="right"/>
              <w:ind w:right="625"/>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r>
              <w:rPr>
                <w:rFonts w:ascii="Arial" w:cs="Arial" w:eastAsia="Arial" w:hAnsi="Arial"/>
                <w:sz w:val="16"/>
                <w:szCs w:val="16"/>
                <w:color w:val="auto"/>
              </w:rPr>
              <w:t>72.0</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6"/>
                <w:szCs w:val="16"/>
                <w:color w:val="auto"/>
              </w:rPr>
              <w:t>14.1 %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Net income attributable to stockholders.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3"/>
                <w:szCs w:val="13"/>
                <w:b w:val="1"/>
                <w:bCs w:val="1"/>
                <w:color w:val="auto"/>
              </w:rPr>
              <w:t>Years Ended December 31,</w:t>
            </w:r>
          </w:p>
        </w:tc>
      </w:tr>
      <w:tr>
        <w:trPr>
          <w:trHeight w:val="171"/>
        </w:trPr>
        <w:tc>
          <w:tcPr>
            <w:tcW w:w="8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2023</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12.4</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72.0</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16.2</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Add: Average automotive net pension and OPEB liability</w:t>
            </w:r>
          </w:p>
        </w:tc>
        <w:tc>
          <w:tcPr>
            <w:tcW w:w="3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8.1</w:t>
            </w: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net income tax asset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(21.1)</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75.2</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 and segment profit (loss) for adjustment details.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320" w:lineRule="exact"/>
        <w:rPr>
          <w:sz w:val="20"/>
          <w:szCs w:val="20"/>
          <w:color w:val="auto"/>
        </w:rPr>
      </w:pPr>
    </w:p>
    <w:p>
      <w:pPr>
        <w:ind w:firstLine="162"/>
        <w:spacing w:after="0" w:line="304" w:lineRule="auto"/>
        <w:rPr>
          <w:sz w:val="20"/>
          <w:szCs w:val="20"/>
          <w:color w:val="auto"/>
        </w:rPr>
      </w:pPr>
      <w:r>
        <w:rPr>
          <w:rFonts w:ascii="Arial" w:cs="Arial" w:eastAsia="Arial" w:hAnsi="Arial"/>
          <w:sz w:val="16"/>
          <w:szCs w:val="16"/>
          <w:color w:val="auto"/>
        </w:rPr>
        <w:t>The following table reconciles Net automotive cash provided by operating activities under U.S. GAAP to adjusted automotive free cash flow (dollars in millions):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9"/>
              </w:rPr>
              <w:t>Three Months Ended</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Years Ended</w:t>
            </w:r>
          </w:p>
        </w:tc>
        <w:tc>
          <w:tcPr>
            <w:tcW w:w="760" w:type="dxa"/>
            <w:vAlign w:val="bottom"/>
            <w:tcBorders>
              <w:bottom w:val="single" w:sz="8" w:color="auto"/>
            </w:tcBorders>
          </w:tcPr>
          <w:p>
            <w:pPr>
              <w:spacing w:after="0"/>
              <w:rPr>
                <w:sz w:val="15"/>
                <w:szCs w:val="15"/>
                <w:color w:val="auto"/>
              </w:rPr>
            </w:pPr>
          </w:p>
        </w:tc>
      </w:tr>
      <w:tr>
        <w:trPr>
          <w:trHeight w:val="171"/>
        </w:trPr>
        <w:tc>
          <w:tcPr>
            <w:tcW w:w="60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2024</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December 31, 2023</w:t>
            </w:r>
          </w:p>
        </w:tc>
        <w:tc>
          <w:tcPr>
            <w:tcW w:w="12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31, 2024</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December 31, 2023</w:t>
            </w:r>
          </w:p>
        </w:tc>
      </w:tr>
      <w:tr>
        <w:trPr>
          <w:trHeight w:val="211"/>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4,765</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23,939</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20,828</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(10,684)</w:t>
            </w: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Add: Buick dealer strategy</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Add: Restructuring actions</w:t>
            </w:r>
          </w:p>
        </w:tc>
        <w:tc>
          <w:tcPr>
            <w:tcW w:w="3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Add: GMI plant wind down</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Add: Employee separation costs</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34"/>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automotive free cash flow</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61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74"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year ended December 31, 2024, 27.9% of GM's wholesale vehicle sales volume was generated outside the U.S. The following table summarizes wholesale vehicle sales by automotive segment (vehicles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3360" w:type="dxa"/>
            <w:vAlign w:val="bottom"/>
            <w:gridSpan w:val="4"/>
          </w:tcPr>
          <w:p>
            <w:pPr>
              <w:ind w:left="1000"/>
              <w:spacing w:after="0"/>
              <w:rPr>
                <w:sz w:val="20"/>
                <w:szCs w:val="20"/>
                <w:color w:val="auto"/>
              </w:rPr>
            </w:pPr>
            <w:r>
              <w:rPr>
                <w:rFonts w:ascii="Arial" w:cs="Arial" w:eastAsia="Arial" w:hAnsi="Arial"/>
                <w:sz w:val="13"/>
                <w:szCs w:val="13"/>
                <w:b w:val="1"/>
                <w:bCs w:val="1"/>
                <w:color w:val="auto"/>
              </w:rPr>
              <w:t>Three Months Ended</w:t>
            </w:r>
          </w:p>
        </w:tc>
        <w:tc>
          <w:tcPr>
            <w:tcW w:w="3260" w:type="dxa"/>
            <w:vAlign w:val="bottom"/>
            <w:gridSpan w:val="3"/>
          </w:tcPr>
          <w:p>
            <w:pPr>
              <w:jc w:val="right"/>
              <w:ind w:right="1184"/>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4580" w:type="dxa"/>
            <w:vAlign w:val="bottom"/>
          </w:tcPr>
          <w:p>
            <w:pPr>
              <w:spacing w:after="0"/>
              <w:rPr>
                <w:sz w:val="14"/>
                <w:szCs w:val="14"/>
                <w:color w:val="auto"/>
              </w:rPr>
            </w:pPr>
          </w:p>
        </w:tc>
        <w:tc>
          <w:tcPr>
            <w:tcW w:w="168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December 31, 2024</w:t>
            </w:r>
          </w:p>
        </w:tc>
        <w:tc>
          <w:tcPr>
            <w:tcW w:w="1560" w:type="dxa"/>
            <w:vAlign w:val="bottom"/>
            <w:tcBorders>
              <w:top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Pr>
          <w:p>
            <w:pPr>
              <w:spacing w:after="0"/>
              <w:rPr>
                <w:sz w:val="14"/>
                <w:szCs w:val="14"/>
                <w:color w:val="auto"/>
              </w:rPr>
            </w:pPr>
          </w:p>
        </w:tc>
        <w:tc>
          <w:tcPr>
            <w:tcW w:w="168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December 31, 2024</w:t>
            </w:r>
          </w:p>
        </w:tc>
        <w:tc>
          <w:tcPr>
            <w:tcW w:w="1580" w:type="dxa"/>
            <w:vAlign w:val="bottom"/>
            <w:tcBorders>
              <w:top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December 31, 2023</w:t>
            </w:r>
          </w:p>
        </w:tc>
      </w:tr>
      <w:tr>
        <w:trPr>
          <w:trHeight w:val="211"/>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876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3,464</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3,147</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621</w:t>
            </w: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3,768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sales of courtesy transportation vehicles (i.e., vehicles previously used by dealers that were sold to the end consumer). Total vehicle sales data includes all sales by joint ventures on a total vehicle basis, not based on GM's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61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7"/>
                <w:szCs w:val="17"/>
                <w:color w:val="auto"/>
              </w:rPr>
            </w:pPr>
          </w:p>
        </w:tc>
        <w:tc>
          <w:tcPr>
            <w:tcW w:w="232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80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5"/>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North America</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2"/>
        </w:trPr>
        <w:tc>
          <w:tcPr>
            <w:tcW w:w="160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199"/>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13.1 %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13.1 %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12.8 %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5,347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4,963</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20,294</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19,612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0" w:type="dxa"/>
            <w:vAlign w:val="bottom"/>
          </w:tcPr>
          <w:p>
            <w:pPr>
              <w:spacing w:after="0"/>
              <w:rPr>
                <w:sz w:val="1"/>
                <w:szCs w:val="1"/>
                <w:color w:val="auto"/>
              </w:rPr>
            </w:pP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Asia/Pacific, Middle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600" w:type="dxa"/>
            <w:vAlign w:val="bottom"/>
          </w:tcPr>
          <w:p>
            <w:pPr>
              <w:ind w:left="180"/>
              <w:spacing w:after="0"/>
              <w:rPr>
                <w:sz w:val="20"/>
                <w:szCs w:val="20"/>
                <w:color w:val="auto"/>
              </w:rPr>
            </w:pPr>
            <w:r>
              <w:rPr>
                <w:rFonts w:ascii="Arial" w:cs="Arial" w:eastAsia="Arial" w:hAnsi="Arial"/>
                <w:sz w:val="14"/>
                <w:szCs w:val="14"/>
                <w:b w:val="1"/>
                <w:bCs w:val="1"/>
                <w:color w:val="auto"/>
              </w:rPr>
              <w:t>East and Africa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8,444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5,528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5,695</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2.9 %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21,727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37"/>
        </w:trPr>
        <w:tc>
          <w:tcPr>
            <w:tcW w:w="16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Total Asia/Pacific,</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Middle East and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13,971</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736</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12,922</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48,293</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47,025</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2,676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90"/>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Africa</w:t>
            </w: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19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20,450</w:t>
            </w: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1,745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18,902</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1,605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72,568</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5,998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8.3 %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70,362</w:t>
            </w:r>
          </w:p>
        </w:tc>
        <w:tc>
          <w:tcPr>
            <w:tcW w:w="1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6,187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4,215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4,182</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16,816</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24,665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23,084</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89,383</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86,958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6,189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600" w:type="dxa"/>
            <w:vAlign w:val="bottom"/>
          </w:tcPr>
          <w:p>
            <w:pPr>
              <w:ind w:left="20"/>
              <w:spacing w:after="0"/>
              <w:rPr>
                <w:sz w:val="20"/>
                <w:szCs w:val="20"/>
                <w:color w:val="auto"/>
              </w:rPr>
            </w:pPr>
            <w:r>
              <w:rPr>
                <w:rFonts w:ascii="Arial" w:cs="Arial" w:eastAsia="Arial" w:hAnsi="Arial"/>
                <w:sz w:val="14"/>
                <w:szCs w:val="14"/>
                <w:color w:val="auto"/>
              </w:rPr>
              <w:t>Cars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2,939</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3,070</w:t>
            </w: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31.0 %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13.4 %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11.7 %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9,101</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12.6 %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4,323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8,444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7,227</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26,567</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24,967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Cuba, Iran, North Korea, Sudan and Syria are subject to broad economic sanctions. Accordingly, these countries are excluded from industry sales data and corresponding calculation of market share.</w:t>
      </w:r>
    </w:p>
    <w:p>
      <w:pPr>
        <w:spacing w:after="0" w:line="275" w:lineRule="exact"/>
        <w:rPr>
          <w:sz w:val="20"/>
          <w:szCs w:val="20"/>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3240" w:type="dxa"/>
            <w:vAlign w:val="bottom"/>
            <w:gridSpan w:val="4"/>
          </w:tcPr>
          <w:p>
            <w:pPr>
              <w:ind w:left="960"/>
              <w:spacing w:after="0"/>
              <w:rPr>
                <w:sz w:val="20"/>
                <w:szCs w:val="20"/>
                <w:color w:val="auto"/>
              </w:rPr>
            </w:pPr>
            <w:r>
              <w:rPr>
                <w:rFonts w:ascii="Arial" w:cs="Arial" w:eastAsia="Arial" w:hAnsi="Arial"/>
                <w:sz w:val="13"/>
                <w:szCs w:val="13"/>
                <w:b w:val="1"/>
                <w:bCs w:val="1"/>
                <w:color w:val="auto"/>
              </w:rPr>
              <w:t>Three Months Ended</w:t>
            </w:r>
          </w:p>
        </w:tc>
        <w:tc>
          <w:tcPr>
            <w:tcW w:w="3140" w:type="dxa"/>
            <w:vAlign w:val="bottom"/>
            <w:gridSpan w:val="3"/>
          </w:tcPr>
          <w:p>
            <w:pPr>
              <w:jc w:val="right"/>
              <w:ind w:right="1102"/>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4860" w:type="dxa"/>
            <w:vAlign w:val="bottom"/>
          </w:tcPr>
          <w:p>
            <w:pPr>
              <w:spacing w:after="0"/>
              <w:rPr>
                <w:sz w:val="14"/>
                <w:szCs w:val="14"/>
                <w:color w:val="auto"/>
              </w:rPr>
            </w:pPr>
          </w:p>
        </w:tc>
        <w:tc>
          <w:tcPr>
            <w:tcW w:w="162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December 31, 2024</w:t>
            </w:r>
          </w:p>
        </w:tc>
        <w:tc>
          <w:tcPr>
            <w:tcW w:w="152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December 31, 2023</w:t>
            </w:r>
          </w:p>
        </w:tc>
        <w:tc>
          <w:tcPr>
            <w:tcW w:w="100" w:type="dxa"/>
            <w:vAlign w:val="bottom"/>
          </w:tcPr>
          <w:p>
            <w:pPr>
              <w:spacing w:after="0"/>
              <w:rPr>
                <w:sz w:val="14"/>
                <w:szCs w:val="14"/>
                <w:color w:val="auto"/>
              </w:rPr>
            </w:pPr>
          </w:p>
        </w:tc>
        <w:tc>
          <w:tcPr>
            <w:tcW w:w="162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December 31, 2024</w:t>
            </w:r>
          </w:p>
        </w:tc>
        <w:tc>
          <w:tcPr>
            <w:tcW w:w="152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December 31, 2023</w:t>
            </w: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GMNA</w:t>
            </w:r>
          </w:p>
        </w:tc>
        <w:tc>
          <w:tcPr>
            <w:tcW w:w="15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615</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679</w:t>
            </w: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GMI</w:t>
            </w:r>
          </w:p>
        </w:tc>
        <w:tc>
          <w:tcPr>
            <w:tcW w:w="15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506</w:t>
            </w: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fleet sales</w:t>
            </w:r>
          </w:p>
        </w:tc>
        <w:tc>
          <w:tcPr>
            <w:tcW w:w="15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1,185</w:t>
            </w:r>
          </w:p>
        </w:tc>
      </w:tr>
      <w:tr>
        <w:trPr>
          <w:trHeight w:val="21"/>
        </w:trPr>
        <w:tc>
          <w:tcPr>
            <w:tcW w:w="4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r>
      <w:tr>
        <w:trPr>
          <w:trHeight w:val="149"/>
        </w:trPr>
        <w:tc>
          <w:tcPr>
            <w:tcW w:w="4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 capacity two-shift utilization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97.1 %</w:t>
            </w:r>
          </w:p>
        </w:tc>
      </w:tr>
      <w:tr>
        <w:trPr>
          <w:trHeight w:val="903"/>
        </w:trPr>
        <w:tc>
          <w:tcPr>
            <w:tcW w:w="4860" w:type="dxa"/>
            <w:vAlign w:val="bottom"/>
          </w:tcPr>
          <w:p>
            <w:pPr>
              <w:spacing w:after="0"/>
              <w:rPr>
                <w:sz w:val="24"/>
                <w:szCs w:val="24"/>
                <w:color w:val="auto"/>
              </w:rPr>
            </w:pPr>
          </w:p>
        </w:tc>
        <w:tc>
          <w:tcPr>
            <w:tcW w:w="1520" w:type="dxa"/>
            <w:vAlign w:val="bottom"/>
          </w:tcPr>
          <w:p>
            <w:pPr>
              <w:jc w:val="right"/>
              <w:ind w:right="584"/>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2025-01-28T06:29:18Z</dcterms:created>
  <dcterms:modified xsi:type="dcterms:W3CDTF">2025-01-28T06:29:18Z</dcterms:modified>
</cp:coreProperties>
</file>