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March 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14" w:right="35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220"/>
        <w:spacing w:after="0"/>
        <w:rPr>
          <w:sz w:val="20"/>
          <w:szCs w:val="20"/>
          <w:color w:val="auto"/>
        </w:rPr>
      </w:pPr>
      <w:r>
        <w:rPr>
          <w:rFonts w:ascii="Arial" w:cs="Arial" w:eastAsia="Arial" w:hAnsi="Arial"/>
          <w:sz w:val="15"/>
          <w:szCs w:val="15"/>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27-0756180</w:t>
      </w:r>
    </w:p>
    <w:p>
      <w:pPr>
        <w:spacing w:after="0" w:line="55" w:lineRule="exact"/>
        <w:rPr>
          <w:sz w:val="24"/>
          <w:szCs w:val="24"/>
          <w:color w:val="auto"/>
        </w:rPr>
      </w:pPr>
    </w:p>
    <w:p>
      <w:pPr>
        <w:sectPr>
          <w:pgSz w:w="11900" w:h="16838" w:orient="portrait"/>
          <w:cols w:equalWidth="0" w:num="3">
            <w:col w:w="5440" w:space="720"/>
            <w:col w:w="3480" w:space="720"/>
            <w:col w:w="940"/>
          </w:cols>
          <w:pgMar w:left="240" w:top="314" w:right="359" w:bottom="1440" w:gutter="0" w:footer="0" w:header="0"/>
          <w:type w:val="continuous"/>
        </w:sectPr>
      </w:pPr>
    </w:p>
    <w:p>
      <w:pPr>
        <w:ind w:left="8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2000"/>
        <w:spacing w:after="0"/>
        <w:rPr>
          <w:sz w:val="20"/>
          <w:szCs w:val="20"/>
          <w:color w:val="auto"/>
        </w:rPr>
      </w:pPr>
      <w:r>
        <w:rPr>
          <w:rFonts w:ascii="Arial" w:cs="Arial" w:eastAsia="Arial" w:hAnsi="Arial"/>
          <w:sz w:val="12"/>
          <w:szCs w:val="12"/>
          <w:b w:val="1"/>
          <w:bCs w:val="1"/>
          <w:color w:val="auto"/>
        </w:rPr>
        <w:t>(State or other jurisdiction of</w:t>
      </w:r>
    </w:p>
    <w:p>
      <w:pPr>
        <w:spacing w:after="0" w:line="13" w:lineRule="exact"/>
        <w:rPr>
          <w:sz w:val="24"/>
          <w:szCs w:val="24"/>
          <w:color w:val="auto"/>
        </w:rPr>
      </w:pPr>
    </w:p>
    <w:p>
      <w:pPr>
        <w:jc w:val="center"/>
        <w:ind w:right="2000"/>
        <w:spacing w:after="0"/>
        <w:rPr>
          <w:sz w:val="20"/>
          <w:szCs w:val="20"/>
          <w:color w:val="auto"/>
        </w:rPr>
      </w:pPr>
      <w:r>
        <w:rPr>
          <w:rFonts w:ascii="Arial" w:cs="Arial" w:eastAsia="Arial" w:hAnsi="Arial"/>
          <w:sz w:val="14"/>
          <w:szCs w:val="14"/>
          <w:b w:val="1"/>
          <w:bCs w:val="1"/>
          <w:color w:val="auto"/>
        </w:rPr>
        <w:t>incorporation)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22" w:lineRule="exact"/>
        <w:rPr>
          <w:sz w:val="24"/>
          <w:szCs w:val="24"/>
          <w:color w:val="auto"/>
        </w:rPr>
      </w:pPr>
    </w:p>
    <w:p>
      <w:pPr>
        <w:sectPr>
          <w:pgSz w:w="11900" w:h="16838" w:orient="portrait"/>
          <w:cols w:equalWidth="0" w:num="3">
            <w:col w:w="5100" w:space="720"/>
            <w:col w:w="3700" w:space="720"/>
            <w:col w:w="1060"/>
          </w:cols>
          <w:pgMar w:left="240" w:top="314" w:right="359" w:bottom="1440" w:gutter="0" w:footer="0" w:header="0"/>
          <w:type w:val="continuous"/>
        </w:sectPr>
      </w:pPr>
    </w:p>
    <w:p>
      <w:pPr>
        <w:spacing w:after="0" w:line="2"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8040" w:space="720"/>
            <w:col w:w="2540"/>
          </w:cols>
          <w:pgMar w:left="240" w:top="314" w:right="359" w:bottom="1440" w:gutter="0" w:footer="0" w:header="0"/>
          <w:type w:val="continuous"/>
        </w:sectPr>
      </w:pPr>
    </w:p>
    <w:p>
      <w:pPr>
        <w:ind w:left="20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8160" w:space="720"/>
            <w:col w:w="2420"/>
          </w:cols>
          <w:pgMar w:left="240" w:top="314"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right="28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14" w:right="359" w:bottom="1440" w:gutter="0" w:footer="0" w:header="0"/>
          <w:type w:val="continuous"/>
        </w:sectPr>
      </w:pPr>
    </w:p>
    <w:bookmarkStart w:id="1" w:name="page2"/>
    <w:bookmarkEnd w:id="1"/>
    <w:p>
      <w:pPr>
        <w:jc w:val="right"/>
        <w:ind w:right="35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Sales Release and Charts Dated March 1, 2011</w:t>
      </w:r>
    </w:p>
    <w:p>
      <w:pPr>
        <w:sectPr>
          <w:pgSz w:w="11900" w:h="16838" w:orient="portrait"/>
          <w:cols w:equalWidth="0" w:num="1">
            <w:col w:w="10219"/>
          </w:cols>
          <w:pgMar w:left="240" w:top="274"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On March 1, 2011, General Motors Company (GM) issued a news release announcing February sales. The release and charts are attached as Exhibit 99.1.</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60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r>
      <w:tr>
        <w:trPr>
          <w:trHeight w:val="385"/>
        </w:trPr>
        <w:tc>
          <w:tcPr>
            <w:tcW w:w="420" w:type="dxa"/>
            <w:vAlign w:val="bottom"/>
          </w:tcPr>
          <w:p>
            <w:pPr>
              <w:spacing w:after="0"/>
              <w:rPr>
                <w:sz w:val="20"/>
                <w:szCs w:val="20"/>
                <w:color w:val="auto"/>
              </w:rPr>
            </w:pPr>
            <w:r>
              <w:rPr>
                <w:rFonts w:ascii="Arial" w:cs="Arial" w:eastAsia="Arial" w:hAnsi="Arial"/>
                <w:sz w:val="14"/>
                <w:szCs w:val="14"/>
                <w:color w:val="auto"/>
                <w:w w:val="95"/>
              </w:rPr>
              <w:t>Exhibit</w:t>
            </w:r>
          </w:p>
        </w:tc>
        <w:tc>
          <w:tcPr>
            <w:tcW w:w="720" w:type="dxa"/>
            <w:vAlign w:val="bottom"/>
          </w:tcPr>
          <w:p>
            <w:pPr>
              <w:spacing w:after="0"/>
              <w:rPr>
                <w:sz w:val="24"/>
                <w:szCs w:val="24"/>
                <w:color w:val="auto"/>
              </w:rPr>
            </w:pPr>
          </w:p>
        </w:tc>
        <w:tc>
          <w:tcPr>
            <w:tcW w:w="4200" w:type="dxa"/>
            <w:vAlign w:val="bottom"/>
            <w:gridSpan w:val="3"/>
          </w:tcPr>
          <w:p>
            <w:pPr>
              <w:ind w:left="260"/>
              <w:spacing w:after="0"/>
              <w:rPr>
                <w:sz w:val="20"/>
                <w:szCs w:val="20"/>
                <w:color w:val="auto"/>
              </w:rPr>
            </w:pPr>
            <w:r>
              <w:rPr>
                <w:rFonts w:ascii="Arial" w:cs="Arial" w:eastAsia="Arial" w:hAnsi="Arial"/>
                <w:sz w:val="14"/>
                <w:szCs w:val="14"/>
                <w:color w:val="auto"/>
              </w:rPr>
              <w:t>Description</w:t>
            </w:r>
          </w:p>
        </w:tc>
        <w:tc>
          <w:tcPr>
            <w:tcW w:w="740" w:type="dxa"/>
            <w:vAlign w:val="bottom"/>
            <w:tcBorders>
              <w:top w:val="single" w:sz="8" w:color="auto"/>
            </w:tcBorders>
          </w:tcPr>
          <w:p>
            <w:pPr>
              <w:spacing w:after="0"/>
              <w:rPr>
                <w:sz w:val="24"/>
                <w:szCs w:val="24"/>
                <w:color w:val="auto"/>
              </w:rPr>
            </w:pPr>
          </w:p>
        </w:tc>
        <w:tc>
          <w:tcPr>
            <w:tcW w:w="37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4"/>
                <w:szCs w:val="14"/>
                <w:color w:val="auto"/>
              </w:rPr>
              <w:t>Method of Filing</w:t>
            </w:r>
          </w:p>
        </w:tc>
      </w:tr>
      <w:tr>
        <w:trPr>
          <w:trHeight w:val="20"/>
        </w:trPr>
        <w:tc>
          <w:tcPr>
            <w:tcW w:w="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r>
      <w:tr>
        <w:trPr>
          <w:trHeight w:val="309"/>
        </w:trPr>
        <w:tc>
          <w:tcPr>
            <w:tcW w:w="114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200" w:type="dxa"/>
            <w:vAlign w:val="bottom"/>
            <w:gridSpan w:val="3"/>
          </w:tcPr>
          <w:p>
            <w:pPr>
              <w:ind w:left="260"/>
              <w:spacing w:after="0"/>
              <w:rPr>
                <w:sz w:val="20"/>
                <w:szCs w:val="20"/>
                <w:color w:val="auto"/>
              </w:rPr>
            </w:pPr>
            <w:r>
              <w:rPr>
                <w:rFonts w:ascii="Arial" w:cs="Arial" w:eastAsia="Arial" w:hAnsi="Arial"/>
                <w:sz w:val="18"/>
                <w:szCs w:val="18"/>
                <w:color w:val="auto"/>
              </w:rPr>
              <w:t>Sales Release and Charts</w:t>
            </w:r>
          </w:p>
        </w:tc>
        <w:tc>
          <w:tcPr>
            <w:tcW w:w="7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36"/>
        </w:trPr>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0" w:type="dxa"/>
            <w:vAlign w:val="bottom"/>
            <w:gridSpan w:val="3"/>
          </w:tcPr>
          <w:p>
            <w:pPr>
              <w:ind w:left="260"/>
              <w:spacing w:after="0"/>
              <w:rPr>
                <w:sz w:val="20"/>
                <w:szCs w:val="20"/>
                <w:color w:val="auto"/>
              </w:rPr>
            </w:pPr>
            <w:r>
              <w:rPr>
                <w:rFonts w:ascii="Arial" w:cs="Arial" w:eastAsia="Arial" w:hAnsi="Arial"/>
                <w:sz w:val="18"/>
                <w:szCs w:val="18"/>
                <w:color w:val="auto"/>
              </w:rPr>
              <w:t>Dated March 1, 2011</w:t>
            </w:r>
          </w:p>
        </w:tc>
        <w:tc>
          <w:tcPr>
            <w:tcW w:w="7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Attached as Exhibit</w:t>
            </w:r>
          </w:p>
        </w:tc>
      </w:tr>
    </w:tbl>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2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GENERAL MOTORS COMPANY</w:t>
            </w:r>
          </w:p>
        </w:tc>
        <w:tc>
          <w:tcPr>
            <w:tcW w:w="3080" w:type="dxa"/>
            <w:vAlign w:val="bottom"/>
          </w:tcPr>
          <w:p>
            <w:pPr>
              <w:spacing w:after="0"/>
              <w:rPr>
                <w:sz w:val="17"/>
                <w:szCs w:val="17"/>
                <w:color w:val="auto"/>
              </w:rPr>
            </w:pPr>
          </w:p>
        </w:tc>
      </w:tr>
      <w:tr>
        <w:trPr>
          <w:trHeight w:val="235"/>
        </w:trPr>
        <w:tc>
          <w:tcPr>
            <w:tcW w:w="5840" w:type="dxa"/>
            <w:vAlign w:val="bottom"/>
          </w:tcPr>
          <w:p>
            <w:pPr>
              <w:spacing w:after="0"/>
              <w:rPr>
                <w:sz w:val="20"/>
                <w:szCs w:val="20"/>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(Registrant)</w:t>
            </w:r>
          </w:p>
        </w:tc>
      </w:tr>
      <w:tr>
        <w:trPr>
          <w:trHeight w:val="447"/>
        </w:trPr>
        <w:tc>
          <w:tcPr>
            <w:tcW w:w="5840" w:type="dxa"/>
            <w:vAlign w:val="bottom"/>
          </w:tcPr>
          <w:p>
            <w:pPr>
              <w:spacing w:after="0"/>
              <w:rPr>
                <w:sz w:val="20"/>
                <w:szCs w:val="20"/>
                <w:color w:val="auto"/>
              </w:rPr>
            </w:pPr>
            <w:r>
              <w:rPr>
                <w:rFonts w:ascii="Arial" w:cs="Arial" w:eastAsia="Arial" w:hAnsi="Arial"/>
                <w:sz w:val="18"/>
                <w:szCs w:val="18"/>
                <w:color w:val="auto"/>
              </w:rPr>
              <w:t>Date: March 3, 2011</w:t>
            </w:r>
          </w:p>
        </w:tc>
        <w:tc>
          <w:tcPr>
            <w:tcW w:w="5580" w:type="dxa"/>
            <w:vAlign w:val="bottom"/>
            <w:gridSpan w:val="3"/>
          </w:tcPr>
          <w:p>
            <w:pPr>
              <w:spacing w:after="0"/>
              <w:rPr>
                <w:sz w:val="20"/>
                <w:szCs w:val="20"/>
                <w:color w:val="auto"/>
              </w:rPr>
            </w:pPr>
            <w:r>
              <w:rPr>
                <w:rFonts w:ascii="Arial" w:cs="Arial" w:eastAsia="Arial" w:hAnsi="Arial"/>
                <w:sz w:val="18"/>
                <w:szCs w:val="18"/>
                <w:color w:val="auto"/>
              </w:rPr>
              <w:t>By:  /s/ Nick S. Cyprus</w:t>
            </w:r>
          </w:p>
        </w:tc>
      </w:tr>
      <w:tr>
        <w:trPr>
          <w:trHeight w:val="202"/>
        </w:trPr>
        <w:tc>
          <w:tcPr>
            <w:tcW w:w="5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40" w:type="dxa"/>
            <w:vAlign w:val="bottom"/>
            <w:tcBorders>
              <w:top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Nick S. Cyprus</w:t>
            </w:r>
          </w:p>
        </w:tc>
      </w:tr>
      <w:tr>
        <w:trPr>
          <w:trHeight w:val="222"/>
        </w:trPr>
        <w:tc>
          <w:tcPr>
            <w:tcW w:w="5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40" w:type="dxa"/>
            <w:vAlign w:val="bottom"/>
            <w:gridSpan w:val="2"/>
          </w:tcPr>
          <w:p>
            <w:pPr>
              <w:ind w:left="100"/>
              <w:spacing w:after="0"/>
              <w:rPr>
                <w:sz w:val="20"/>
                <w:szCs w:val="20"/>
                <w:color w:val="auto"/>
              </w:rPr>
            </w:pPr>
            <w:r>
              <w:rPr>
                <w:rFonts w:ascii="Arial" w:cs="Arial" w:eastAsia="Arial" w:hAnsi="Arial"/>
                <w:sz w:val="18"/>
                <w:szCs w:val="18"/>
                <w:color w:val="auto"/>
              </w:rPr>
              <w:t>Vice President, Controller and Chief Accounting Officer</w:t>
            </w:r>
          </w:p>
        </w:tc>
      </w:tr>
    </w:tbl>
    <w:p>
      <w:pPr>
        <w:sectPr>
          <w:pgSz w:w="11900" w:h="16838" w:orient="portrait"/>
          <w:cols w:equalWidth="0" w:num="1">
            <w:col w:w="11420"/>
          </w:cols>
          <w:pgMar w:left="240" w:top="274" w:right="2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7"/>
          <w:szCs w:val="27"/>
          <w:b w:val="1"/>
          <w:bCs w:val="1"/>
          <w:i w:val="1"/>
          <w:iCs w:val="1"/>
          <w:color w:val="auto"/>
        </w:rPr>
        <w:t>News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143510</wp:posOffset>
            </wp:positionV>
            <wp:extent cx="2693035" cy="565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9303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2200" w:type="dxa"/>
            <w:vAlign w:val="bottom"/>
            <w:tcBorders>
              <w:top w:val="single" w:sz="8" w:color="auto"/>
            </w:tcBorders>
          </w:tcPr>
          <w:p>
            <w:pPr>
              <w:spacing w:after="0"/>
              <w:rPr>
                <w:sz w:val="20"/>
                <w:szCs w:val="20"/>
                <w:color w:val="auto"/>
              </w:rPr>
            </w:pPr>
            <w:r>
              <w:rPr>
                <w:rFonts w:ascii="Arial" w:cs="Arial" w:eastAsia="Arial" w:hAnsi="Arial"/>
                <w:sz w:val="24"/>
                <w:szCs w:val="24"/>
                <w:b w:val="1"/>
                <w:bCs w:val="1"/>
                <w:i w:val="1"/>
                <w:iCs w:val="1"/>
                <w:color w:val="auto"/>
              </w:rPr>
              <w:t>General Motors</w:t>
            </w:r>
          </w:p>
        </w:tc>
        <w:tc>
          <w:tcPr>
            <w:tcW w:w="326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GM Communications</w:t>
            </w:r>
          </w:p>
        </w:tc>
      </w:tr>
      <w:tr>
        <w:trPr>
          <w:trHeight w:val="216"/>
        </w:trPr>
        <w:tc>
          <w:tcPr>
            <w:tcW w:w="2200" w:type="dxa"/>
            <w:vAlign w:val="bottom"/>
          </w:tcPr>
          <w:p>
            <w:pPr>
              <w:spacing w:after="0"/>
              <w:rPr>
                <w:sz w:val="18"/>
                <w:szCs w:val="18"/>
                <w:color w:val="auto"/>
              </w:rPr>
            </w:pPr>
          </w:p>
        </w:tc>
        <w:tc>
          <w:tcPr>
            <w:tcW w:w="3260" w:type="dxa"/>
            <w:vAlign w:val="bottom"/>
          </w:tcPr>
          <w:p>
            <w:pPr>
              <w:ind w:left="620"/>
              <w:spacing w:after="0"/>
              <w:rPr>
                <w:sz w:val="20"/>
                <w:szCs w:val="20"/>
                <w:color w:val="auto"/>
              </w:rPr>
            </w:pPr>
            <w:r>
              <w:rPr>
                <w:rFonts w:ascii="Arial" w:cs="Arial" w:eastAsia="Arial" w:hAnsi="Arial"/>
                <w:sz w:val="18"/>
                <w:szCs w:val="18"/>
                <w:color w:val="auto"/>
              </w:rPr>
              <w:t>Detroit, Mich., USA</w:t>
            </w:r>
          </w:p>
        </w:tc>
      </w:tr>
      <w:tr>
        <w:trPr>
          <w:trHeight w:val="222"/>
        </w:trPr>
        <w:tc>
          <w:tcPr>
            <w:tcW w:w="2200" w:type="dxa"/>
            <w:vAlign w:val="bottom"/>
          </w:tcPr>
          <w:p>
            <w:pPr>
              <w:spacing w:after="0"/>
              <w:rPr>
                <w:sz w:val="19"/>
                <w:szCs w:val="19"/>
                <w:color w:val="auto"/>
              </w:rPr>
            </w:pPr>
          </w:p>
        </w:tc>
        <w:tc>
          <w:tcPr>
            <w:tcW w:w="3260" w:type="dxa"/>
            <w:vAlign w:val="bottom"/>
          </w:tcPr>
          <w:p>
            <w:pPr>
              <w:ind w:left="620"/>
              <w:spacing w:after="0"/>
              <w:rPr>
                <w:sz w:val="20"/>
                <w:szCs w:val="20"/>
                <w:color w:val="auto"/>
              </w:rPr>
            </w:pPr>
            <w:r>
              <w:rPr>
                <w:rFonts w:ascii="Arial" w:cs="Arial" w:eastAsia="Arial" w:hAnsi="Arial"/>
                <w:sz w:val="18"/>
                <w:szCs w:val="18"/>
                <w:color w:val="auto"/>
              </w:rPr>
              <w:t>media.gm.com</w:t>
            </w:r>
          </w:p>
        </w:tc>
      </w:tr>
    </w:tbl>
    <w:p>
      <w:pPr>
        <w:spacing w:after="0" w:line="200" w:lineRule="exact"/>
        <w:rPr>
          <w:sz w:val="20"/>
          <w:szCs w:val="20"/>
          <w:color w:val="auto"/>
        </w:rPr>
      </w:pPr>
    </w:p>
    <w:p>
      <w:pPr>
        <w:sectPr>
          <w:pgSz w:w="11900" w:h="16838" w:orient="portrait"/>
          <w:cols w:equalWidth="0" w:num="2">
            <w:col w:w="5240" w:space="720"/>
            <w:col w:w="5460"/>
          </w:cols>
          <w:pgMar w:left="240" w:top="125" w:right="239" w:bottom="1440" w:gutter="0" w:footer="0" w:header="0"/>
        </w:sectPr>
      </w:pPr>
    </w:p>
    <w:p>
      <w:pPr>
        <w:spacing w:after="0" w:line="5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For Release: 10:45 a.m. EST</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March 1, 2011</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auto"/>
        </w:rPr>
        <w:t>Retail Sales Propel General Motors to 49 Percent Gain in February</w:t>
      </w:r>
    </w:p>
    <w:p>
      <w:pPr>
        <w:spacing w:after="0" w:line="224"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Year-over-year retail sales gain of 70 percent highest on record</w:t>
      </w:r>
    </w:p>
    <w:p>
      <w:pPr>
        <w:spacing w:after="0" w:line="90" w:lineRule="exact"/>
        <w:rPr>
          <w:rFonts w:ascii="Arial" w:cs="Arial" w:eastAsia="Arial" w:hAnsi="Arial"/>
          <w:sz w:val="18"/>
          <w:szCs w:val="18"/>
          <w:b w:val="1"/>
          <w:bCs w:val="1"/>
          <w:i w:val="1"/>
          <w:iCs w:val="1"/>
          <w:color w:val="auto"/>
        </w:rPr>
      </w:pPr>
    </w:p>
    <w:p>
      <w:pPr>
        <w:ind w:left="460" w:hanging="452"/>
        <w:spacing w:after="0"/>
        <w:tabs>
          <w:tab w:leader="none" w:pos="4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Car, Truck and Crossover segment retail sales each rise 59 percent or more</w:t>
      </w:r>
    </w:p>
    <w:p>
      <w:pPr>
        <w:spacing w:after="0" w:line="90" w:lineRule="exact"/>
        <w:rPr>
          <w:rFonts w:ascii="Arial" w:cs="Arial" w:eastAsia="Arial" w:hAnsi="Arial"/>
          <w:sz w:val="18"/>
          <w:szCs w:val="18"/>
          <w:b w:val="1"/>
          <w:bCs w:val="1"/>
          <w:i w:val="1"/>
          <w:iCs w:val="1"/>
          <w:color w:val="auto"/>
        </w:rPr>
      </w:pPr>
    </w:p>
    <w:p>
      <w:pPr>
        <w:ind w:left="460" w:hanging="452"/>
        <w:spacing w:after="0"/>
        <w:tabs>
          <w:tab w:leader="none" w:pos="4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GM’s newest vehicles continue to gain customers – retail sales up 119 percent</w:t>
      </w:r>
    </w:p>
    <w:p>
      <w:pPr>
        <w:spacing w:after="0" w:line="90" w:lineRule="exact"/>
        <w:rPr>
          <w:rFonts w:ascii="Arial" w:cs="Arial" w:eastAsia="Arial" w:hAnsi="Arial"/>
          <w:sz w:val="18"/>
          <w:szCs w:val="18"/>
          <w:b w:val="1"/>
          <w:bCs w:val="1"/>
          <w:i w:val="1"/>
          <w:iCs w:val="1"/>
          <w:color w:val="auto"/>
        </w:rPr>
      </w:pPr>
    </w:p>
    <w:p>
      <w:pPr>
        <w:ind w:left="460" w:hanging="452"/>
        <w:spacing w:after="0"/>
        <w:tabs>
          <w:tab w:leader="none" w:pos="4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Retail sales improve 52 percent for the first two months</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DETROIT – General Motors total sales in the United States rose 49 percent in February, as dealers reported 207,028 deliveries for the company’s four brands. For the second month in a row, the gain in total sales was driven by soaring retail demand for the company’s products. During the month, retail sales rose 70 percent – the highest year-over-year gain in the company’s history.</w:t>
      </w:r>
    </w:p>
    <w:p>
      <w:pPr>
        <w:spacing w:after="0" w:line="14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For the first two months of the year, GM’s total sales have risen 36 percent, while the company’s retail sales – those to individual consumers – have increased by 52 percent.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Retail sales of GM’s cars, trucks and crossovers all rose at least 59 percent or more during the month, up 76 percent, 74 percent and 59 percent, respectively.</w:t>
      </w:r>
    </w:p>
    <w:p>
      <w:pPr>
        <w:spacing w:after="0" w:line="194"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“Our plan was to get off to a quick start this year, and we did just that,” said Don Johnson, vice president, U.S. Sales Operations. “Having the right vehicles in inventory, combined with aggressive advertising and targeted consumer marketing has been the key to our success in the first two months this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Newest Vehicles Lead Gains, More Than Doubling During February</w:t>
      </w:r>
    </w:p>
    <w:p>
      <w:pPr>
        <w:spacing w:after="0" w:line="90"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Combined sales for GM’s newest vehicles – Chevrolet Equinox, Silverado HD, Cruze and Volt; Buick LaCrosse and Regal; GMC Sierra HD and Terrain; and Cadillac SRX, CTS Wagon and CTS Coupe – increased 66 percent, while retail sales surged 119 percent for the month, compared to February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Passenger Cars</w:t>
      </w:r>
    </w:p>
    <w:p>
      <w:pPr>
        <w:sectPr>
          <w:pgSz w:w="11900" w:h="16838" w:orient="portrait"/>
          <w:cols w:equalWidth="0" w:num="1">
            <w:col w:w="11420"/>
          </w:cols>
          <w:pgMar w:left="240" w:top="125" w:right="239" w:bottom="1440" w:gutter="0" w:footer="0" w:header="0"/>
          <w:type w:val="continuous"/>
        </w:sectPr>
      </w:pPr>
    </w:p>
    <w:bookmarkStart w:id="5" w:name="page6"/>
    <w:bookmarkEnd w:id="5"/>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Total sales of GM passenger cars improved 40 percent during February, led by the sale of 18,556 Chevrolet Cruzes. Retail sales of GM passenger cars rose 76 percent for the month, with Cruze retail sales 212 percent higher than the compact car it replaced. Strong retail sales of the all-new Cadillac CTS Coupe helped propel CTS retail sales to a record high for the month of February, up 159 percent versus a year ago. The Buick Regal had its best month since launch, recording 3,541 retail sales.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Crossovers</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February total sales for GM’s industry-leading lineup of fuel-efficient crossovers were the best ever for the month, increasing 57 percent versus February 2010. Each of GM’s most popular crossovers set a record for retail sales for the month of February – Chevrolet Equinox (up 98 percent) and Traverse (up 32 percent); GMC Terrain (up 76 percent) and Acadia (up 25 percent); Buick Enclave (45 percent); and Cadillac SRX (up 62 percent). Combined retail sales for these models rose 58 percent during the month, compared to last year’s month.</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Pickups and Utilities</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Total sales of GM’s full-size pickup trucks – Chevrolet Silverado and Avalanche, and GMC Sierra – improved 65 percent in February versus a year ago, with retail sales rising 83 percent. Total sales of GM full-size utilities – Chevrolet Suburban and Tahoe, GMC Yukon and Yukon XL, and Cadillac Escalade – rose 50 percent during the month, with combined retail sales improving 52 percent.</w:t>
      </w:r>
    </w:p>
    <w:p>
      <w:pPr>
        <w:spacing w:after="0" w:line="14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Month-end dealer inventory in the United States stood at about 517,000 units, which is about 7,000 higher compared to January and about 101,000 higher than February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Key Facts:</w:t>
      </w:r>
    </w:p>
    <w:p>
      <w:pPr>
        <w:spacing w:after="0" w:line="96" w:lineRule="exact"/>
        <w:rPr>
          <w:sz w:val="20"/>
          <w:szCs w:val="20"/>
          <w:color w:val="auto"/>
        </w:rPr>
      </w:pPr>
    </w:p>
    <w:p>
      <w:pPr>
        <w:jc w:val="both"/>
        <w:ind w:left="900" w:right="60" w:hanging="325"/>
        <w:spacing w:after="0" w:line="306" w:lineRule="auto"/>
        <w:tabs>
          <w:tab w:leader="none" w:pos="900" w:val="left"/>
        </w:tabs>
        <w:numPr>
          <w:ilvl w:val="0"/>
          <w:numId w:val="3"/>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 xml:space="preserve">Chevrolet: </w:t>
      </w:r>
      <w:r>
        <w:rPr>
          <w:rFonts w:ascii="Arial" w:cs="Arial" w:eastAsia="Arial" w:hAnsi="Arial"/>
          <w:sz w:val="16"/>
          <w:szCs w:val="16"/>
          <w:i w:val="1"/>
          <w:iCs w:val="1"/>
          <w:color w:val="auto"/>
        </w:rPr>
        <w:t>Chevrolet dealers delivered 142,919 total vehicles in February, a 43-percent increase versus last year. Retail sales for Chevrolet rose 69</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percent and were propelled by improving Cruze sales, which were 212 percent higher than the compact car it replaces. Silverado retail sales rose 84 percent, while Equinox posted its best February ever, with retail sales almost doubling, up 98 percent (</w:t>
      </w:r>
      <w:r>
        <w:rPr>
          <w:rFonts w:ascii="Arial" w:cs="Arial" w:eastAsia="Arial" w:hAnsi="Arial"/>
          <w:sz w:val="16"/>
          <w:szCs w:val="16"/>
          <w:i w:val="1"/>
          <w:iCs w:val="1"/>
          <w:u w:val="single" w:color="auto"/>
          <w:color w:val="auto"/>
        </w:rPr>
        <w:t>read more</w:t>
      </w:r>
      <w:r>
        <w:rPr>
          <w:rFonts w:ascii="Arial" w:cs="Arial" w:eastAsia="Arial" w:hAnsi="Arial"/>
          <w:sz w:val="16"/>
          <w:szCs w:val="16"/>
          <w:i w:val="1"/>
          <w:iCs w:val="1"/>
          <w:color w:val="auto"/>
        </w:rPr>
        <w:t>).</w:t>
      </w:r>
    </w:p>
    <w:p>
      <w:pPr>
        <w:spacing w:after="0" w:line="25" w:lineRule="exact"/>
        <w:rPr>
          <w:rFonts w:ascii="Arial" w:cs="Arial" w:eastAsia="Arial" w:hAnsi="Arial"/>
          <w:sz w:val="16"/>
          <w:szCs w:val="16"/>
          <w:i w:val="1"/>
          <w:iCs w:val="1"/>
          <w:color w:val="auto"/>
        </w:rPr>
      </w:pPr>
    </w:p>
    <w:p>
      <w:pPr>
        <w:ind w:left="900" w:hanging="325"/>
        <w:spacing w:after="0" w:line="259" w:lineRule="auto"/>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Buick: </w:t>
      </w:r>
      <w:r>
        <w:rPr>
          <w:rFonts w:ascii="Arial" w:cs="Arial" w:eastAsia="Arial" w:hAnsi="Arial"/>
          <w:sz w:val="18"/>
          <w:szCs w:val="18"/>
          <w:i w:val="1"/>
          <w:iCs w:val="1"/>
          <w:color w:val="auto"/>
        </w:rPr>
        <w:t>Buick reported 15,807 total sales, a 73-percent increase compared to February 2010. This includes a 90-percent surge in year-over-year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retail sales, led by Regal (3,541units), Enclave and LaCrosse, which had retail sales 45 and 28 percent higher than last year, respectively. This marks the 17th consecutive month of year-over-year sales gains for the brand (</w:t>
      </w:r>
      <w:r>
        <w:rPr>
          <w:rFonts w:ascii="Arial" w:cs="Arial" w:eastAsia="Arial" w:hAnsi="Arial"/>
          <w:sz w:val="18"/>
          <w:szCs w:val="18"/>
          <w:i w:val="1"/>
          <w:iCs w:val="1"/>
          <w:u w:val="single" w:color="auto"/>
          <w:color w:val="auto"/>
        </w:rPr>
        <w:t>read more</w:t>
      </w:r>
      <w:r>
        <w:rPr>
          <w:rFonts w:ascii="Arial" w:cs="Arial" w:eastAsia="Arial" w:hAnsi="Arial"/>
          <w:sz w:val="18"/>
          <w:szCs w:val="18"/>
          <w:i w:val="1"/>
          <w:iCs w:val="1"/>
          <w:color w:val="auto"/>
        </w:rPr>
        <w:t>).</w:t>
      </w:r>
    </w:p>
    <w:p>
      <w:pPr>
        <w:spacing w:after="0" w:line="59" w:lineRule="exact"/>
        <w:rPr>
          <w:rFonts w:ascii="Arial" w:cs="Arial" w:eastAsia="Arial" w:hAnsi="Arial"/>
          <w:sz w:val="18"/>
          <w:szCs w:val="18"/>
          <w:i w:val="1"/>
          <w:iCs w:val="1"/>
          <w:color w:val="auto"/>
        </w:rPr>
      </w:pPr>
    </w:p>
    <w:p>
      <w:pPr>
        <w:ind w:left="900" w:right="120" w:hanging="325"/>
        <w:spacing w:after="0" w:line="259" w:lineRule="auto"/>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GMC: </w:t>
      </w:r>
      <w:r>
        <w:rPr>
          <w:rFonts w:ascii="Arial" w:cs="Arial" w:eastAsia="Arial" w:hAnsi="Arial"/>
          <w:sz w:val="18"/>
          <w:szCs w:val="18"/>
          <w:i w:val="1"/>
          <w:iCs w:val="1"/>
          <w:color w:val="auto"/>
        </w:rPr>
        <w:t>GMC reported total sales of 32,534, a 59-percent increase compared to the same month last year. This marks the 17th consecutive month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year-over-year sales increases. Retail sales were 61 percent higher than last year, spurred by Sierra, Terrain, Yukon and Acadia – up 87 percent, 76 percent, 63 percent and 25 percent, respectively (</w:t>
      </w:r>
      <w:r>
        <w:rPr>
          <w:rFonts w:ascii="Arial" w:cs="Arial" w:eastAsia="Arial" w:hAnsi="Arial"/>
          <w:sz w:val="18"/>
          <w:szCs w:val="18"/>
          <w:i w:val="1"/>
          <w:iCs w:val="1"/>
          <w:u w:val="single" w:color="auto"/>
          <w:color w:val="auto"/>
        </w:rPr>
        <w:t>read more</w:t>
      </w:r>
      <w:r>
        <w:rPr>
          <w:rFonts w:ascii="Arial" w:cs="Arial" w:eastAsia="Arial" w:hAnsi="Arial"/>
          <w:sz w:val="18"/>
          <w:szCs w:val="18"/>
          <w:i w:val="1"/>
          <w:iCs w:val="1"/>
          <w:color w:val="auto"/>
        </w:rPr>
        <w:t>).</w:t>
      </w:r>
    </w:p>
    <w:p>
      <w:pPr>
        <w:spacing w:after="0" w:line="59" w:lineRule="exact"/>
        <w:rPr>
          <w:rFonts w:ascii="Arial" w:cs="Arial" w:eastAsia="Arial" w:hAnsi="Arial"/>
          <w:sz w:val="18"/>
          <w:szCs w:val="18"/>
          <w:i w:val="1"/>
          <w:iCs w:val="1"/>
          <w:color w:val="auto"/>
        </w:rPr>
      </w:pPr>
    </w:p>
    <w:p>
      <w:pPr>
        <w:ind w:left="900" w:right="540" w:hanging="325"/>
        <w:spacing w:after="0" w:line="332" w:lineRule="auto"/>
        <w:tabs>
          <w:tab w:leader="none" w:pos="900" w:val="left"/>
        </w:tabs>
        <w:numPr>
          <w:ilvl w:val="0"/>
          <w:numId w:val="3"/>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 xml:space="preserve">Cadillac: </w:t>
      </w:r>
      <w:r>
        <w:rPr>
          <w:rFonts w:ascii="Arial" w:cs="Arial" w:eastAsia="Arial" w:hAnsi="Arial"/>
          <w:sz w:val="16"/>
          <w:szCs w:val="16"/>
          <w:i w:val="1"/>
          <w:iCs w:val="1"/>
          <w:color w:val="auto"/>
        </w:rPr>
        <w:t>Cadillac reported total sales of 15,768 for February – 70 percent higher than last February, with retail sales increasing 83 percent.</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February was the 13th consecutive month of year-over-year total and retail sales gains. CTS retail sales rose 159 percent,</w:t>
      </w:r>
    </w:p>
    <w:p>
      <w:pPr>
        <w:sectPr>
          <w:pgSz w:w="11900" w:h="16838" w:orient="portrait"/>
          <w:cols w:equalWidth="0" w:num="1">
            <w:col w:w="11400"/>
          </w:cols>
          <w:pgMar w:left="240" w:top="280" w:right="259" w:bottom="1440" w:gutter="0" w:footer="0" w:header="0"/>
        </w:sectPr>
      </w:pPr>
    </w:p>
    <w:bookmarkStart w:id="6" w:name="page7"/>
    <w:bookmarkEnd w:id="6"/>
    <w:p>
      <w:pPr>
        <w:ind w:left="920" w:right="380"/>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driven by strong demand for the all-new CTS Coupe and Sedan. SRX retail sales were up 62 percent compared to a year ago, and the Escalade family saw retail sale rise 27 percent versus February last year (</w:t>
      </w:r>
      <w:r>
        <w:rPr>
          <w:rFonts w:ascii="Arial" w:cs="Arial" w:eastAsia="Arial" w:hAnsi="Arial"/>
          <w:sz w:val="18"/>
          <w:szCs w:val="18"/>
          <w:i w:val="1"/>
          <w:iCs w:val="1"/>
          <w:u w:val="single" w:color="auto"/>
          <w:color w:val="auto"/>
        </w:rPr>
        <w:t>read more</w:t>
      </w:r>
      <w:r>
        <w:rPr>
          <w:rFonts w:ascii="Arial" w:cs="Arial" w:eastAsia="Arial" w:hAnsi="Arial"/>
          <w:sz w:val="18"/>
          <w:szCs w:val="18"/>
          <w:i w:val="1"/>
          <w:iCs w:val="1"/>
          <w:color w:val="auto"/>
        </w:rPr>
        <w:t>).</w:t>
      </w:r>
    </w:p>
    <w:p>
      <w:pPr>
        <w:spacing w:after="0" w:line="51" w:lineRule="exact"/>
        <w:rPr>
          <w:sz w:val="20"/>
          <w:szCs w:val="20"/>
          <w:color w:val="auto"/>
        </w:rPr>
      </w:pPr>
    </w:p>
    <w:p>
      <w:pPr>
        <w:ind w:left="900" w:hanging="325"/>
        <w:spacing w:after="0" w:line="259"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Fleet sales </w:t>
      </w:r>
      <w:r>
        <w:rPr>
          <w:rFonts w:ascii="Arial" w:cs="Arial" w:eastAsia="Arial" w:hAnsi="Arial"/>
          <w:sz w:val="18"/>
          <w:szCs w:val="18"/>
          <w:i w:val="1"/>
          <w:iCs w:val="1"/>
          <w:color w:val="auto"/>
        </w:rPr>
        <w:t>for GM’s four brands were 43,900 for the month, a 2-percent increase for the month, with sales to rental fleets down 5 percent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same period. Sales to commercial customers rose 19 percent for the month, the 11th consecutive month of commercial fleet sales gains. Fleet accounted for 21 percent of GM total sales during the month.</w:t>
      </w:r>
    </w:p>
    <w:p>
      <w:pPr>
        <w:spacing w:after="0" w:line="13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color w:val="auto"/>
        </w:rPr>
        <w:t xml:space="preserve">About General Motors – </w:t>
      </w:r>
      <w:r>
        <w:rPr>
          <w:rFonts w:ascii="Arial" w:cs="Arial" w:eastAsia="Arial" w:hAnsi="Arial"/>
          <w:sz w:val="18"/>
          <w:szCs w:val="18"/>
          <w:color w:val="auto"/>
        </w:rPr>
        <w:t>General Motors, one of the world’s largest automakers, traces its roots back to 1908. With its global headquarters in Detroit, GM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employs 202,000 people in every major region of the world and does business in more than 120 countries. GM and its strategic partners produce cars and trucks in 30 countries, and sell and service these vehicles through the following brands: Baojun, Buick, Cadillac, Chevrolet, GMC, Daewoo, Holden, Isuzu, Jiefang, Opel, Vauxhall, and Wuling. GM’s largest national market is China, followed by the United States, Brazil, the United Kingdom, Germany, Canada, and Italy. GM’s OnStar subsidiary is the industry leader in vehicle safety, security and information services. More information on the new General Motors can be found at </w:t>
      </w:r>
      <w:r>
        <w:rPr>
          <w:rFonts w:ascii="Arial" w:cs="Arial" w:eastAsia="Arial" w:hAnsi="Arial"/>
          <w:sz w:val="18"/>
          <w:szCs w:val="18"/>
          <w:u w:val="single" w:color="auto"/>
          <w:color w:val="auto"/>
        </w:rPr>
        <w:t>www.gm.com</w:t>
      </w:r>
      <w:r>
        <w:rPr>
          <w:rFonts w:ascii="Arial" w:cs="Arial" w:eastAsia="Arial" w:hAnsi="Arial"/>
          <w:sz w:val="18"/>
          <w:szCs w:val="18"/>
          <w:color w:val="auto"/>
        </w:rPr>
        <w:t>.</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Tom Henderson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tom.e.henderson@gm.com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313-410-2704</w:t>
      </w:r>
    </w:p>
    <w:p>
      <w:pPr>
        <w:sectPr>
          <w:pgSz w:w="11900" w:h="16838" w:orient="portrait"/>
          <w:cols w:equalWidth="0" w:num="1">
            <w:col w:w="11340"/>
          </w:cols>
          <w:pgMar w:left="240" w:top="280" w:right="3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8058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805815"/>
                    </a:xfrm>
                    <a:prstGeom prst="rect">
                      <a:avLst/>
                    </a:prstGeom>
                    <a:noFill/>
                  </pic:spPr>
                </pic:pic>
              </a:graphicData>
            </a:graphic>
          </wp:anchor>
        </w:drawing>
        <w:t>For release: 10:45 a.m. EST, March 1, 2010</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Chevrolet February Retail Sales Climb 69 Percent</w:t>
      </w:r>
    </w:p>
    <w:p>
      <w:pPr>
        <w:spacing w:after="0" w:line="232"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Consumer Demand for Fuel-efficient Cars, Trucks and Crossovers Drives Gains</w:t>
      </w:r>
    </w:p>
    <w:p>
      <w:pPr>
        <w:spacing w:after="0" w:line="15" w:lineRule="exact"/>
        <w:rPr>
          <w:rFonts w:ascii="Arial" w:cs="Arial" w:eastAsia="Arial" w:hAnsi="Arial"/>
          <w:sz w:val="18"/>
          <w:szCs w:val="18"/>
          <w:i w:val="1"/>
          <w:iCs w:val="1"/>
          <w:color w:val="auto"/>
        </w:rPr>
      </w:pPr>
    </w:p>
    <w:p>
      <w:pPr>
        <w:ind w:left="900" w:hanging="325"/>
        <w:spacing w:after="0"/>
        <w:tabs>
          <w:tab w:leader="none" w:pos="9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Four-cylinder engines accounted for 46 percent of Chevrolet retail sales in February</w:t>
      </w:r>
    </w:p>
    <w:p>
      <w:pPr>
        <w:spacing w:after="0" w:line="159" w:lineRule="exact"/>
        <w:rPr>
          <w:sz w:val="20"/>
          <w:szCs w:val="20"/>
          <w:color w:val="auto"/>
        </w:rPr>
      </w:pPr>
    </w:p>
    <w:p>
      <w:pPr>
        <w:ind w:right="320"/>
        <w:spacing w:after="0" w:line="339" w:lineRule="auto"/>
        <w:rPr>
          <w:sz w:val="20"/>
          <w:szCs w:val="20"/>
          <w:color w:val="auto"/>
        </w:rPr>
      </w:pPr>
      <w:r>
        <w:rPr>
          <w:rFonts w:ascii="Arial" w:cs="Arial" w:eastAsia="Arial" w:hAnsi="Arial"/>
          <w:sz w:val="16"/>
          <w:szCs w:val="16"/>
          <w:b w:val="1"/>
          <w:bCs w:val="1"/>
          <w:color w:val="auto"/>
        </w:rPr>
        <w:t xml:space="preserve">DETROIT – </w:t>
      </w:r>
      <w:r>
        <w:rPr>
          <w:rFonts w:ascii="Arial" w:cs="Arial" w:eastAsia="Arial" w:hAnsi="Arial"/>
          <w:sz w:val="16"/>
          <w:szCs w:val="16"/>
          <w:color w:val="auto"/>
        </w:rPr>
        <w:t>Chevrolet sold a total of 142,919 vehicles in the United States in February, a 43-percent gain over the same month a year ago. In addition, retail</w:t>
      </w:r>
      <w:r>
        <w:rPr>
          <w:rFonts w:ascii="Arial" w:cs="Arial" w:eastAsia="Arial" w:hAnsi="Arial"/>
          <w:sz w:val="16"/>
          <w:szCs w:val="16"/>
          <w:b w:val="1"/>
          <w:bCs w:val="1"/>
          <w:color w:val="auto"/>
        </w:rPr>
        <w:t xml:space="preserve"> </w:t>
      </w:r>
      <w:r>
        <w:rPr>
          <w:rFonts w:ascii="Arial" w:cs="Arial" w:eastAsia="Arial" w:hAnsi="Arial"/>
          <w:sz w:val="16"/>
          <w:szCs w:val="16"/>
          <w:color w:val="auto"/>
        </w:rPr>
        <w:t>sales surged 69 percent as the brand’s fuel-efficient cars, trucks and crossovers continued to attract new customers to Chevrolet.</w:t>
      </w:r>
    </w:p>
    <w:p>
      <w:pPr>
        <w:spacing w:after="0" w:line="8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February, 46 percent of Chevrolet retail sales were four-cylinder models, up from 40 percent a year ago. Chevrolet offers fuel-efficient four-cylinder engines in seven vehicles, including the Volt, Cruze, Equinox, Aveo, Colorado, HHR, and Malibu.</w:t>
      </w:r>
    </w:p>
    <w:p>
      <w:pPr>
        <w:spacing w:after="0" w:line="132" w:lineRule="exact"/>
        <w:rPr>
          <w:sz w:val="20"/>
          <w:szCs w:val="20"/>
          <w:color w:val="auto"/>
        </w:rPr>
      </w:pPr>
    </w:p>
    <w:p>
      <w:pPr>
        <w:jc w:val="both"/>
        <w:ind w:right="660"/>
        <w:spacing w:after="0" w:line="259" w:lineRule="auto"/>
        <w:rPr>
          <w:sz w:val="20"/>
          <w:szCs w:val="20"/>
          <w:color w:val="auto"/>
        </w:rPr>
      </w:pPr>
      <w:r>
        <w:rPr>
          <w:rFonts w:ascii="Arial" w:cs="Arial" w:eastAsia="Arial" w:hAnsi="Arial"/>
          <w:sz w:val="18"/>
          <w:szCs w:val="18"/>
          <w:color w:val="auto"/>
        </w:rPr>
        <w:t>“With almost half of our buyers choosing a four-cylinder, clearly Chevrolet’s combination of fuel efficiency and performance resonates with today’s car-shoppers,” said Alan Batey, vice president, Chevrolet Sales and Service. “Consumers’ demand for more fuel-efficient cars, trucks and crossovers helped Chevrolet record our sixth consecutive month of sales gains.”</w:t>
      </w:r>
    </w:p>
    <w:p>
      <w:pPr>
        <w:spacing w:after="0" w:line="140"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Four of the brand’s largest gains were recorded by the Chevrolet Cruze, Equinox, Traverse and Silverado. The Cruze, Equinox and Traverse each offer the best fuel economy in their segments, while the new Silverado HD offers 32 percent more capability and 11 percent better fuel economy.</w:t>
      </w:r>
    </w:p>
    <w:p>
      <w:pPr>
        <w:spacing w:after="0" w:line="8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Cruze recorded a total of 18,556 sales in February, the best monthly sales total since its US introduction in late 2010. Year over year, Cruze retail sales were 212 percent higher than the car it replaced, the Chevrolet Cobalt.</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According to EPA estimates, Cruze LS, LT, and LTZ models deliver 36 miles per gallon on the highway, while the Cruze Eco model delivers 42 miles per gallon on the highway – making it the most fuel-efficient gasoline-powered car in the United States.</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Cruze also offers the most standard safety features in its class, including 10 air bags, StabiliTrak electronic stability control, and a unitized body structure that incorporates high-strength steel in key areas. As a result, Cruze was the first compact car to earn the best-possible crash test ratings from both the Insurance Institute for Highway Safety and the new National Highway Traffic Safety Administration rating system implemented for the 2011 model year.</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Total sales of the Chevrolet Equinox climbed 91 percent over February 2010, marking the sixth consecutive month of total sales gains for the compact crossover.</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The Equinox comes standard with a 2.4L Ecotec four-cylinder engine and six-speed transmission, delivering an EPA-estimated 32 miles per gallon – more than any vehicle in its class, including the Ford Escape Hybrid. Equinox recently was named the best compact crossover in a test of nine vehicles by </w:t>
      </w:r>
      <w:r>
        <w:rPr>
          <w:rFonts w:ascii="Arial" w:cs="Arial" w:eastAsia="Arial" w:hAnsi="Arial"/>
          <w:sz w:val="18"/>
          <w:szCs w:val="18"/>
          <w:i w:val="1"/>
          <w:iCs w:val="1"/>
          <w:color w:val="auto"/>
        </w:rPr>
        <w:t>USA Today</w:t>
      </w:r>
      <w:r>
        <w:rPr>
          <w:rFonts w:ascii="Arial" w:cs="Arial" w:eastAsia="Arial" w:hAnsi="Arial"/>
          <w:sz w:val="18"/>
          <w:szCs w:val="18"/>
          <w:color w:val="auto"/>
        </w:rPr>
        <w:t>, Motorweek, and Cars.com. One reviewer wrote, “The Equinox is the clear winner in my book, seemingly belonging to a completely different category of cars: the luxury category.”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Total sales of the Chevrolet Traverse climbed 62 percent over February, 2010, recording its best February sales ever.</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Traverse is equipped with a 3.6L V-6 and six-speed automatic transmission, delivering an EPA-estimated 24 miles per gallon highway – more than any 8-passenger crossover. Recently, Kelley Blue</w:t>
      </w:r>
    </w:p>
    <w:p>
      <w:pPr>
        <w:sectPr>
          <w:pgSz w:w="11900" w:h="16838" w:orient="portrait"/>
          <w:cols w:equalWidth="0" w:num="1">
            <w:col w:w="11400"/>
          </w:cols>
          <w:pgMar w:left="240" w:top="1428" w:right="259" w:bottom="1440" w:gutter="0" w:footer="0" w:header="0"/>
        </w:sectPr>
      </w:pPr>
    </w:p>
    <w:bookmarkStart w:id="8" w:name="page9"/>
    <w:bookmarkEnd w:id="8"/>
    <w:p>
      <w:pPr>
        <w:jc w:val="both"/>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Book’s kbb.com named the Traverse one of their Top 10 Family Cars for 2011, citing its “abundant cargo space, impressive fuel economy and a five-star overall crash rating from the NHTSA, attractive exterior styling and surprisingly nimble handling.”</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Total sales of the Chevrolet Silverado climbed 60 percent over February 2010, marking the 13</w:t>
      </w:r>
      <w:r>
        <w:rPr>
          <w:rFonts w:ascii="Arial" w:cs="Arial" w:eastAsia="Arial" w:hAnsi="Arial"/>
          <w:sz w:val="10"/>
          <w:szCs w:val="10"/>
          <w:color w:val="auto"/>
        </w:rPr>
        <w:t>th</w:t>
      </w:r>
      <w:r>
        <w:rPr>
          <w:rFonts w:ascii="Arial" w:cs="Arial" w:eastAsia="Arial" w:hAnsi="Arial"/>
          <w:sz w:val="16"/>
          <w:szCs w:val="16"/>
          <w:color w:val="auto"/>
        </w:rPr>
        <w:t xml:space="preserve"> consecutive month of total sales gains for the fullsize pickup.</w:t>
      </w:r>
    </w:p>
    <w:p>
      <w:pPr>
        <w:spacing w:after="0" w:line="194"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 xml:space="preserve">Much of that increase can be attributed to the new Silverado HD, introduced in 2010. The 2011 Silverado HD is available with a more powerful, more efficient Duramax diesel engine that delivers 397 horsepower and 765 lb.-ft. of torque. The engine contributed to a 32-percent increase in maximum towing capacity for the Silverado HD, to 21,700 pounds, while delivering 11 percent better fuel economy than its predecessor. </w:t>
      </w:r>
      <w:r>
        <w:rPr>
          <w:rFonts w:ascii="Arial" w:cs="Arial" w:eastAsia="Arial" w:hAnsi="Arial"/>
          <w:sz w:val="18"/>
          <w:szCs w:val="18"/>
          <w:i w:val="1"/>
          <w:iCs w:val="1"/>
          <w:color w:val="auto"/>
        </w:rPr>
        <w:t>MotorTrend</w:t>
      </w:r>
      <w:r>
        <w:rPr>
          <w:rFonts w:ascii="Arial" w:cs="Arial" w:eastAsia="Arial" w:hAnsi="Arial"/>
          <w:sz w:val="18"/>
          <w:szCs w:val="18"/>
          <w:color w:val="auto"/>
        </w:rPr>
        <w:t xml:space="preserve"> named the Silverado HD the </w:t>
      </w:r>
      <w:r>
        <w:rPr>
          <w:rFonts w:ascii="Arial" w:cs="Arial" w:eastAsia="Arial" w:hAnsi="Arial"/>
          <w:sz w:val="18"/>
          <w:szCs w:val="18"/>
          <w:i w:val="1"/>
          <w:iCs w:val="1"/>
          <w:color w:val="auto"/>
        </w:rPr>
        <w:t>MotorTrend</w:t>
      </w:r>
      <w:r>
        <w:rPr>
          <w:rFonts w:ascii="Arial" w:cs="Arial" w:eastAsia="Arial" w:hAnsi="Arial"/>
          <w:sz w:val="18"/>
          <w:szCs w:val="18"/>
          <w:color w:val="auto"/>
        </w:rPr>
        <w:t xml:space="preserve"> Truck of the Year, noting that, “Chevy engineers focused on three key areas – powertrain, frame, and suspension – to deliver a truck with significantly improved capability and more refinement.”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Chevrolet</w:t>
      </w:r>
    </w:p>
    <w:p>
      <w:pPr>
        <w:spacing w:after="0" w:line="1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Founded in Detroit in 1911, Chevrolet celebrates its centennial as a global automotive brand with annual sales of about 4.25 million vehicles in more than 130 countries. Chevrolet provides consumers with fuel-efficient, safe and reliable vehicles that deliver high quality, expressive design, spirited performance and value. The Chevrolet portfolio includes iconic performance cars such as Corvette and Camaro; dependable, long-lasting pickups and SUVs such as Silverado and Suburban; and award-winning passenger cars and crossovers such as Spark, Cruze, Malibu, Equinox and Traverse. Chevrolet also offers “gas-friendly to gas-free” solutions including Cruze Eco and Volt. Cruze Eco offers 42 mpg highway while Volt offers 35 miles of electric, gasoline-free driving and an additional 344 miles of extended range. Most new Chevrolet models offer OnStar safety, security and convenience technologies including OnStar Hands-Free Calling, Automatic Crash Response and Stolen Vehicle Slowdown. More information regarding Chevrolet models can be found at </w:t>
      </w:r>
      <w:r>
        <w:rPr>
          <w:rFonts w:ascii="Arial" w:cs="Arial" w:eastAsia="Arial" w:hAnsi="Arial"/>
          <w:sz w:val="16"/>
          <w:szCs w:val="16"/>
          <w:u w:val="single" w:color="auto"/>
          <w:color w:val="auto"/>
        </w:rPr>
        <w:t>www.chevrolet.com</w:t>
      </w:r>
      <w:r>
        <w:rPr>
          <w:rFonts w:ascii="Arial" w:cs="Arial" w:eastAsia="Arial" w:hAnsi="Arial"/>
          <w:sz w:val="16"/>
          <w:szCs w:val="16"/>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Tom Henderson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Phone 313-667-2702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313-410-2704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tom.e.henderson@gm.com</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Monte Doran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Phone 313-665-4243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313-348-2317 (mobile)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monte.doran@gm.com</w:t>
      </w:r>
    </w:p>
    <w:p>
      <w:pPr>
        <w:sectPr>
          <w:pgSz w:w="11900" w:h="16838" w:orient="portrait"/>
          <w:cols w:equalWidth="0" w:num="1">
            <w:col w:w="11420"/>
          </w:cols>
          <w:pgMar w:left="240" w:top="280" w:right="239" w:bottom="1440" w:gutter="0" w:footer="0" w:header="0"/>
        </w:sectPr>
      </w:pPr>
    </w:p>
    <w:bookmarkStart w:id="9" w:name="page10"/>
    <w:bookmarkEnd w:id="9"/>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51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65151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Buick Retail Sales Swell 90 Percent in February</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Regal Posts Best Month since Launch as Fuel-Efficient Turbo Attracts New Buyers</w:t>
      </w:r>
    </w:p>
    <w:p>
      <w:pPr>
        <w:spacing w:after="0" w:line="15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Buick, the fastest growing major automotive brand in the United States in 2010, delivered its 17</w:t>
      </w:r>
      <w:r>
        <w:rPr>
          <w:rFonts w:ascii="Arial" w:cs="Arial" w:eastAsia="Arial" w:hAnsi="Arial"/>
          <w:sz w:val="11"/>
          <w:szCs w:val="11"/>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straight month of retail sales gains with a 90</w:t>
      </w:r>
      <w:r>
        <w:rPr>
          <w:rFonts w:ascii="Arial" w:cs="Arial" w:eastAsia="Arial" w:hAnsi="Arial"/>
          <w:sz w:val="18"/>
          <w:szCs w:val="18"/>
          <w:b w:val="1"/>
          <w:bCs w:val="1"/>
          <w:color w:val="auto"/>
        </w:rPr>
        <w:t xml:space="preserve"> </w:t>
      </w:r>
      <w:r>
        <w:rPr>
          <w:rFonts w:ascii="Arial" w:cs="Arial" w:eastAsia="Arial" w:hAnsi="Arial"/>
          <w:sz w:val="18"/>
          <w:szCs w:val="18"/>
          <w:color w:val="auto"/>
        </w:rPr>
        <w:t>percent increase over last February. The brand’s total February sales also improved 73 percent year-over-year, thanks in part to the increased availability of the new fuel-efficient Regal CXL Turbo.</w:t>
      </w:r>
    </w:p>
    <w:p>
      <w:pPr>
        <w:spacing w:after="0" w:line="13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“Buick is gaining great traction in the midsize sedan, full-size car and crossover segments, thanks in part to very positive word of mouth,” said Brian Sweeney, U.S. vice president of Buick &amp; GMC Sales and Service. “We fully expect the arrival of the fuel-efficient LaCrosse with eAssist and all-new Verano luxury compact to attract even more new customers to the brand.”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Approximately 38 percent of Buick buyers come from non-GM brands, including nearly 18 percent come from imports, calendar year-to-date.</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Regal, which has the highest conquest rate of any Buick calendar year to date at 46 percent, enjoyed its strongest sales month since its launch last spring. Regal’s retail sales in February were 55 percent higher than in January. Regal’s total sales were up 59 percent compared to the same period – 21 percent higher than its previous highest month (December).</w:t>
      </w:r>
    </w:p>
    <w:p>
      <w:pPr>
        <w:spacing w:after="0" w:line="14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Regal’s recent sales gains are fueled in part by the increased availability of the all-new Regal CXL Turbo, which accounted for approximately 25 percent of Regal’s sales in February. On the open road, Regal Turbo’s 2.0-liter direct-injection four-cylinder engine delivers 220 hp and 258 lb-ft of torque, better than Acura TSX. Regal Turbo, which is now available with manual six-speed transmission, also delivers better fuel economy, with an EPA-rated 32 mpg highway.</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“Regal sales are expected to grow even more with the arrival of the new Regal with eAssist and high performance Regal GS later this year,” Sweeney said.</w:t>
      </w:r>
    </w:p>
    <w:p>
      <w:pPr>
        <w:spacing w:after="0" w:line="19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After enjoying its strongest sales in history in 2010, Enclave is on its way to having another strong year, with retail sales up 45 percent in February compared to the same period in 2010. Total sales for the luxury crossover were up by 38 percent for the month.</w:t>
      </w:r>
    </w:p>
    <w:p>
      <w:pPr>
        <w:spacing w:after="0" w:line="13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 xml:space="preserve">LaCrosse, which </w:t>
      </w:r>
      <w:r>
        <w:rPr>
          <w:rFonts w:ascii="Arial" w:cs="Arial" w:eastAsia="Arial" w:hAnsi="Arial"/>
          <w:sz w:val="18"/>
          <w:szCs w:val="18"/>
          <w:i w:val="1"/>
          <w:iCs w:val="1"/>
          <w:color w:val="auto"/>
        </w:rPr>
        <w:t>Car &amp; Driver</w:t>
      </w:r>
      <w:r>
        <w:rPr>
          <w:rFonts w:ascii="Arial" w:cs="Arial" w:eastAsia="Arial" w:hAnsi="Arial"/>
          <w:sz w:val="18"/>
          <w:szCs w:val="18"/>
          <w:color w:val="auto"/>
        </w:rPr>
        <w:t xml:space="preserve"> magazine recently honored with a 2011 Editor’s Choice Award, also had a strong February, with a 28 percent increase in retail sales and a 7 percent increase in total sales.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Buick</w:t>
      </w:r>
    </w:p>
    <w:p>
      <w:pPr>
        <w:spacing w:after="0" w:line="21"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 xml:space="preserve">Buick is a modern luxury brand offering vehicles with sculpted designs, luxurious interiors with thoughtful personal technologies, along with responsive-yet-efficient performance. Buick is attracting new customers with its portfolio of award-winning models, including the Enclave crossover, LaCrosse sedan, Regal sport sedan and highly anticipated all-new 2012 Buick Verano compact luxury sedan. Buick is the fastest growing major brand in the U.S. and remains a best-selling brand in China, with continuing record growth. Learn more about Buick cars and crossovers at </w:t>
      </w:r>
      <w:r>
        <w:rPr>
          <w:rFonts w:ascii="Arial" w:cs="Arial" w:eastAsia="Arial" w:hAnsi="Arial"/>
          <w:sz w:val="18"/>
          <w:szCs w:val="18"/>
          <w:u w:val="single" w:color="auto"/>
          <w:color w:val="auto"/>
        </w:rPr>
        <w:t>www.buick.com</w:t>
      </w:r>
      <w:r>
        <w:rPr>
          <w:rFonts w:ascii="Arial" w:cs="Arial" w:eastAsia="Arial" w:hAnsi="Arial"/>
          <w:sz w:val="18"/>
          <w:szCs w:val="18"/>
          <w:color w:val="auto"/>
        </w:rPr>
        <w:t xml:space="preserve">, on Twitter </w:t>
      </w:r>
      <w:r>
        <w:rPr>
          <w:rFonts w:ascii="Arial" w:cs="Arial" w:eastAsia="Arial" w:hAnsi="Arial"/>
          <w:sz w:val="18"/>
          <w:szCs w:val="18"/>
          <w:u w:val="single" w:color="auto"/>
          <w:color w:val="auto"/>
        </w:rPr>
        <w:t>@buick</w:t>
      </w:r>
      <w:r>
        <w:rPr>
          <w:rFonts w:ascii="Arial" w:cs="Arial" w:eastAsia="Arial" w:hAnsi="Arial"/>
          <w:sz w:val="18"/>
          <w:szCs w:val="18"/>
          <w:color w:val="auto"/>
        </w:rPr>
        <w:t xml:space="preserve"> or at </w:t>
      </w:r>
      <w:r>
        <w:rPr>
          <w:rFonts w:ascii="Arial" w:cs="Arial" w:eastAsia="Arial" w:hAnsi="Arial"/>
          <w:sz w:val="18"/>
          <w:szCs w:val="18"/>
          <w:u w:val="single" w:color="auto"/>
          <w:color w:val="auto"/>
        </w:rPr>
        <w:t>www.facebook.com/buick</w:t>
      </w:r>
      <w:r>
        <w:rPr>
          <w:rFonts w:ascii="Arial" w:cs="Arial" w:eastAsia="Arial" w:hAnsi="Arial"/>
          <w:sz w:val="18"/>
          <w:szCs w:val="18"/>
          <w:color w:val="auto"/>
        </w:rPr>
        <w: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420"/>
          </w:cols>
          <w:pgMar w:left="240" w:top="144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51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651510"/>
                    </a:xfrm>
                    <a:prstGeom prst="rect">
                      <a:avLst/>
                    </a:prstGeom>
                    <a:noFill/>
                  </pic:spPr>
                </pic:pic>
              </a:graphicData>
            </a:graphic>
          </wp:anchor>
        </w:drawing>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Nick Richards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313-720-9541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nick.richards@gm.com</w:t>
      </w:r>
    </w:p>
    <w:p>
      <w:pPr>
        <w:sectPr>
          <w:pgSz w:w="11900" w:h="16838" w:orient="portrait"/>
          <w:cols w:equalWidth="0" w:num="1">
            <w:col w:w="10219"/>
          </w:cols>
          <w:pgMar w:left="240" w:top="1239" w:right="1440" w:bottom="1440" w:gutter="0" w:footer="0" w:header="0"/>
        </w:sectPr>
      </w:pPr>
    </w:p>
    <w:bookmarkStart w:id="11" w:name="page12"/>
    <w:bookmarkEnd w:id="11"/>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857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857885"/>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b w:val="1"/>
          <w:bCs w:val="1"/>
          <w:color w:val="auto"/>
        </w:rPr>
        <w:t>GMC Retail Sales Rise by 61 Percent in February</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Sierra, Acadia, Terrain and Yukon/XL Propel GMC to 17</w:t>
      </w:r>
      <w:r>
        <w:rPr>
          <w:rFonts w:ascii="Arial" w:cs="Arial" w:eastAsia="Arial" w:hAnsi="Arial"/>
          <w:sz w:val="11"/>
          <w:szCs w:val="11"/>
          <w:i w:val="1"/>
          <w:iCs w:val="1"/>
          <w:color w:val="auto"/>
        </w:rPr>
        <w:t>th</w:t>
      </w:r>
      <w:r>
        <w:rPr>
          <w:rFonts w:ascii="Arial" w:cs="Arial" w:eastAsia="Arial" w:hAnsi="Arial"/>
          <w:sz w:val="18"/>
          <w:szCs w:val="18"/>
          <w:i w:val="1"/>
          <w:iCs w:val="1"/>
          <w:color w:val="auto"/>
        </w:rPr>
        <w:t xml:space="preserve"> Straight Month of Gains</w:t>
      </w:r>
    </w:p>
    <w:p>
      <w:pPr>
        <w:spacing w:after="0" w:line="159"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GMC scored its 17</w:t>
      </w:r>
      <w:r>
        <w:rPr>
          <w:rFonts w:ascii="Arial" w:cs="Arial" w:eastAsia="Arial" w:hAnsi="Arial"/>
          <w:sz w:val="11"/>
          <w:szCs w:val="11"/>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straight month of growth in February with a year-over-year 61 percent increase in retail sales and 59 percent increase in total</w:t>
      </w:r>
      <w:r>
        <w:rPr>
          <w:rFonts w:ascii="Arial" w:cs="Arial" w:eastAsia="Arial" w:hAnsi="Arial"/>
          <w:sz w:val="18"/>
          <w:szCs w:val="18"/>
          <w:b w:val="1"/>
          <w:bCs w:val="1"/>
          <w:color w:val="auto"/>
        </w:rPr>
        <w:t xml:space="preserve"> </w:t>
      </w:r>
      <w:r>
        <w:rPr>
          <w:rFonts w:ascii="Arial" w:cs="Arial" w:eastAsia="Arial" w:hAnsi="Arial"/>
          <w:sz w:val="18"/>
          <w:szCs w:val="18"/>
          <w:color w:val="auto"/>
        </w:rPr>
        <w:t>sales.</w:t>
      </w:r>
    </w:p>
    <w:p>
      <w:pPr>
        <w:spacing w:after="0" w:line="12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“Consumer demand for capable, fuel efficient, well-equipped trucks, sport utilities and crossovers is translating into strong sales for GMC,” said Brian Sweeney, U.S. vice president of Buick &amp; GMC Sales and Service. “Demand for our professional grade work trucks, in particular, is a positive indicator of the country’s continued economic recovery.”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Sierra lineup unleashed an 87 percent year-over-year increase in retail sales compared to last February, and total Sierra sales also were up 86 percent.</w:t>
      </w:r>
    </w:p>
    <w:p>
      <w:pPr>
        <w:spacing w:after="0" w:line="19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Collectively, GMC crossovers had their best sales month ever in February, with Acadia and Terrain accounting for nearly half of GMC’s retail sales, which typically are sales to individual customers.</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Terrain, which recently earned “Best Buy” recommendations from both </w:t>
      </w:r>
      <w:r>
        <w:rPr>
          <w:rFonts w:ascii="Arial" w:cs="Arial" w:eastAsia="Arial" w:hAnsi="Arial"/>
          <w:sz w:val="18"/>
          <w:szCs w:val="18"/>
          <w:i w:val="1"/>
          <w:iCs w:val="1"/>
          <w:color w:val="auto"/>
        </w:rPr>
        <w:t>Consumer Guide</w:t>
      </w:r>
      <w:r>
        <w:rPr>
          <w:rFonts w:ascii="Arial" w:cs="Arial" w:eastAsia="Arial" w:hAnsi="Arial"/>
          <w:sz w:val="18"/>
          <w:szCs w:val="18"/>
          <w:color w:val="auto"/>
        </w:rPr>
        <w:t xml:space="preserve"> and </w:t>
      </w:r>
      <w:r>
        <w:rPr>
          <w:rFonts w:ascii="Arial" w:cs="Arial" w:eastAsia="Arial" w:hAnsi="Arial"/>
          <w:sz w:val="18"/>
          <w:szCs w:val="18"/>
          <w:i w:val="1"/>
          <w:iCs w:val="1"/>
          <w:color w:val="auto"/>
        </w:rPr>
        <w:t>Consumer Digest</w:t>
      </w:r>
      <w:r>
        <w:rPr>
          <w:rFonts w:ascii="Arial" w:cs="Arial" w:eastAsia="Arial" w:hAnsi="Arial"/>
          <w:sz w:val="18"/>
          <w:szCs w:val="18"/>
          <w:color w:val="auto"/>
        </w:rPr>
        <w:t>, delivered a year-over-year increase in retail sales of 76 percent. Terrain’s total sales during the month surged 90 percent compared to the same period in 2010.</w:t>
      </w:r>
    </w:p>
    <w:p>
      <w:pPr>
        <w:spacing w:after="0" w:line="13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 xml:space="preserve">Acadia, which </w:t>
      </w:r>
      <w:r>
        <w:rPr>
          <w:rFonts w:ascii="Arial" w:cs="Arial" w:eastAsia="Arial" w:hAnsi="Arial"/>
          <w:sz w:val="18"/>
          <w:szCs w:val="18"/>
          <w:i w:val="1"/>
          <w:iCs w:val="1"/>
          <w:color w:val="auto"/>
        </w:rPr>
        <w:t>Car &amp; Driver</w:t>
      </w:r>
      <w:r>
        <w:rPr>
          <w:rFonts w:ascii="Arial" w:cs="Arial" w:eastAsia="Arial" w:hAnsi="Arial"/>
          <w:sz w:val="18"/>
          <w:szCs w:val="18"/>
          <w:color w:val="auto"/>
        </w:rPr>
        <w:t xml:space="preserve"> magazine recently honored with a 2011 Editor’s Choice Award, delivered a year-over-year retail sales increase of 25 percent in February, while its total sales were up 17 percent.</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Yukon and Yukon XL sales also excelled in February. Yukon’s retail sales were up 64 percent and its total sales were up 123 percent year-over-year. Yukon XL’s retail sales climbed 61 percent and total sales rose 56 percent year-over-year.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GMC</w:t>
      </w:r>
    </w:p>
    <w:p>
      <w:pPr>
        <w:spacing w:after="0" w:line="21"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 xml:space="preserve">GMC has built trucks since 1902, and is one of the industry’s healthiest brands. Today GMC is evolving to offer more fuel-efficient trucks and crossovers, including the Terrain small SUV and Acadia crossover. The new GMC Sierra Heavy Duty pickups are the most capable and powerful trucks in the market. Innovation and engineering excellence are woven into all GMCs, including the Yukon and Yukon XL and full line of Sierra pickups. Today, GMC is the only manufacturer offering three full-size hybrid trucks. Details on all GMC models are available at </w:t>
      </w:r>
      <w:r>
        <w:rPr>
          <w:rFonts w:ascii="Arial" w:cs="Arial" w:eastAsia="Arial" w:hAnsi="Arial"/>
          <w:sz w:val="18"/>
          <w:szCs w:val="18"/>
          <w:u w:val="single" w:color="auto"/>
          <w:color w:val="auto"/>
        </w:rPr>
        <w:t>www.gmc.com</w:t>
      </w:r>
      <w:r>
        <w:rPr>
          <w:rFonts w:ascii="Arial" w:cs="Arial" w:eastAsia="Arial" w:hAnsi="Arial"/>
          <w:sz w:val="18"/>
          <w:szCs w:val="18"/>
          <w:color w:val="auto"/>
        </w:rPr>
        <w:t xml:space="preserve">, on Twitter at @thisisgmc or at </w:t>
      </w:r>
      <w:r>
        <w:rPr>
          <w:rFonts w:ascii="Arial" w:cs="Arial" w:eastAsia="Arial" w:hAnsi="Arial"/>
          <w:sz w:val="18"/>
          <w:szCs w:val="18"/>
          <w:u w:val="single" w:color="auto"/>
          <w:color w:val="auto"/>
        </w:rPr>
        <w:t>www.facebook.com/gmc</w:t>
      </w:r>
      <w:r>
        <w:rPr>
          <w:rFonts w:ascii="Arial" w:cs="Arial" w:eastAsia="Arial" w:hAnsi="Arial"/>
          <w:sz w:val="18"/>
          <w:szCs w:val="18"/>
          <w:color w:val="auto"/>
        </w:rPr>
        <w:t>.</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Kelly Cusinato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313-402-4871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kelly.cusinato@gm.com</w:t>
      </w:r>
    </w:p>
    <w:p>
      <w:pPr>
        <w:sectPr>
          <w:pgSz w:w="11900" w:h="16838" w:orient="portrait"/>
          <w:cols w:equalWidth="0" w:num="1">
            <w:col w:w="11360"/>
          </w:cols>
          <w:pgMar w:left="240" w:top="1440" w:right="299" w:bottom="1440" w:gutter="0" w:footer="0" w:header="0"/>
        </w:sectPr>
      </w:pPr>
    </w:p>
    <w:bookmarkStart w:id="12" w:name="page13"/>
    <w:bookmarkEnd w:id="12"/>
    <w:p>
      <w:pPr>
        <w:ind w:left="1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Release: 10:45 a.m., March 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1835" cy="7118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835" cy="711835"/>
                    </a:xfrm>
                    <a:prstGeom prst="rect">
                      <a:avLst/>
                    </a:prstGeom>
                    <a:noFill/>
                  </pic:spPr>
                </pic:pic>
              </a:graphicData>
            </a:graphic>
          </wp:anchor>
        </w:drawing>
      </w:r>
    </w:p>
    <w:p>
      <w:pPr>
        <w:spacing w:after="0" w:line="327" w:lineRule="exact"/>
        <w:rPr>
          <w:sz w:val="20"/>
          <w:szCs w:val="20"/>
          <w:color w:val="auto"/>
        </w:rPr>
      </w:pPr>
    </w:p>
    <w:p>
      <w:pPr>
        <w:ind w:left="1720"/>
        <w:spacing w:after="0"/>
        <w:rPr>
          <w:sz w:val="20"/>
          <w:szCs w:val="20"/>
          <w:color w:val="auto"/>
        </w:rPr>
      </w:pPr>
      <w:r>
        <w:rPr>
          <w:rFonts w:ascii="Arial" w:cs="Arial" w:eastAsia="Arial" w:hAnsi="Arial"/>
          <w:sz w:val="32"/>
          <w:szCs w:val="32"/>
          <w:b w:val="1"/>
          <w:bCs w:val="1"/>
          <w:color w:val="auto"/>
        </w:rPr>
        <w:t>Cadillac U.S. Sales Rise 70 percent in February</w:t>
      </w:r>
    </w:p>
    <w:p>
      <w:pPr>
        <w:spacing w:after="0" w:line="267"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CTS sales increase 124 percent with gains by sedan, wagon and coupe</w:t>
      </w:r>
    </w:p>
    <w:p>
      <w:pPr>
        <w:spacing w:after="0" w:line="21" w:lineRule="exact"/>
        <w:rPr>
          <w:rFonts w:ascii="Arial" w:cs="Arial" w:eastAsia="Arial" w:hAnsi="Arial"/>
          <w:sz w:val="18"/>
          <w:szCs w:val="18"/>
          <w:b w:val="1"/>
          <w:bCs w:val="1"/>
          <w:color w:val="auto"/>
        </w:rPr>
      </w:pPr>
    </w:p>
    <w:p>
      <w:pPr>
        <w:ind w:left="900" w:hanging="325"/>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SRX posts 19</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straight month of at least a double-digit percentage year-over-year gain</w:t>
      </w:r>
    </w:p>
    <w:p>
      <w:pPr>
        <w:spacing w:after="0" w:line="9" w:lineRule="exact"/>
        <w:rPr>
          <w:rFonts w:ascii="Arial" w:cs="Arial" w:eastAsia="Arial" w:hAnsi="Arial"/>
          <w:sz w:val="18"/>
          <w:szCs w:val="18"/>
          <w:b w:val="1"/>
          <w:bCs w:val="1"/>
          <w:color w:val="auto"/>
        </w:rPr>
      </w:pPr>
    </w:p>
    <w:p>
      <w:pPr>
        <w:ind w:left="900" w:hanging="325"/>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Escalade total sales rise 6 percent, retail sales up 27 percent</w:t>
      </w:r>
    </w:p>
    <w:p>
      <w:pPr>
        <w:spacing w:after="0" w:line="165"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DETROIT – The Cadillac CTS and SRX posted their best results ever for a February as Cadillac reported total U.S. sales for the month of 15,768, a 70 percent increase compared to the same period last year. Cadillac’s retail sales rose 83 percent for the month.</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The results represent Cadillac’s best February total since 2006. It also represents the thirteenth consecutive month of year-over-year sales increases for the brand.</w:t>
      </w:r>
    </w:p>
    <w:p>
      <w:pPr>
        <w:spacing w:after="0" w:line="20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Total sales of the CTS family rose 124 percent to 6,033 in February. The CTS Coupe, introduced for the 2011 model year, had its best month since being launched last August. The CTS Sedan and Wagon also posted strong gains for the month.</w:t>
      </w:r>
    </w:p>
    <w:p>
      <w:pPr>
        <w:spacing w:after="0" w:line="132"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CTS family has become one of the most acclaimed lines in the luxury market. Popular Mechanics named the CTS Coupe one of the Top 10 cars for 2011. The high-performance CTS-V Coupe is a finalist for World Performance Car of the Year, and the CTS-V Wagon was named a 2011 Automobile magazine All-Star.</w:t>
      </w:r>
    </w:p>
    <w:p>
      <w:pPr>
        <w:spacing w:after="0" w:line="140"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SRX luxury crossover, dramatically redesigned for the 2010 model year, also continued its growth. SRX sales rose 55 percent to 5,502 in February. SRX has posted a year-over-year increase of at least a double-digit percentage rate for 19 straight months. Escalade sales rose 6 percent to 2,202 in February.</w:t>
      </w:r>
    </w:p>
    <w:p>
      <w:pPr>
        <w:spacing w:after="0" w:line="8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Cadillac has started the year with a strong push to attract new and returning luxury buyers as the market recovers. In January, Cadillac began its new “Red Blooded Luxury” advertising campaign, featuring the CTS Coupe and high-performance CTS-V Sedan.</w:t>
      </w:r>
    </w:p>
    <w:p>
      <w:pPr>
        <w:spacing w:after="0" w:line="132"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 February, Cadillac launched the Cadillac Shield program, which ties together the brand’s suite of ownership benefits. Cadillac Shield includes Cadillac’s four-year, 50,000-mile bumper-to-bumper and five-year, 100,000-mile powertrain warranties. It also provides maintenance on many frequently required services for four years or 50,000 miles as well as 24-hour roadside assistance and courtesy vehicle transportation during the powertrain warranty period.</w:t>
      </w:r>
    </w:p>
    <w:p>
      <w:pPr>
        <w:spacing w:after="0" w:line="107"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“Cadillac’s success is being driven by great products, clear messaging and a focus on customer service,” said Kurt McNeil, vice president for Cadillac sales and service. “As the luxury market continues to strengthen, Cadillac is attracting customers with a line-up that offers distinctive design and exceptional performance. We’re backing up those vehicles with a long-term commitment to provide our owners with a heightened level of service.”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Cadillac</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Cadillac has been a leading luxury auto brand since 1902. In recent years, Cadillac has engineered a historic renaissance led by artful engineering and advanced technology. More information on Cadillac can be found at media.cadillac.com.</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CONTACT(S):</w:t>
      </w:r>
    </w:p>
    <w:p>
      <w:pPr>
        <w:sectPr>
          <w:pgSz w:w="11900" w:h="16838" w:orient="portrait"/>
          <w:cols w:equalWidth="0" w:num="1">
            <w:col w:w="11400"/>
          </w:cols>
          <w:pgMar w:left="240" w:top="274"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Nick Twork</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Cadillac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586-565-1001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nicholas.twork@cadillac.com</w:t>
      </w:r>
    </w:p>
    <w:p>
      <w:pPr>
        <w:sectPr>
          <w:pgSz w:w="11900" w:h="16838" w:orient="portrait"/>
          <w:cols w:equalWidth="0" w:num="1">
            <w:col w:w="10219"/>
          </w:cols>
          <w:pgMar w:left="240" w:top="274" w:right="1440"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U.S. Deliveries for February 2011 - Divisional Brand Level</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00" w:type="dxa"/>
            <w:vAlign w:val="bottom"/>
            <w:gridSpan w:val="3"/>
          </w:tcPr>
          <w:p>
            <w:pPr>
              <w:jc w:val="right"/>
              <w:ind w:right="417"/>
              <w:spacing w:after="0"/>
              <w:rPr>
                <w:sz w:val="20"/>
                <w:szCs w:val="20"/>
                <w:color w:val="auto"/>
              </w:rPr>
            </w:pPr>
            <w:r>
              <w:rPr>
                <w:rFonts w:ascii="Arial" w:cs="Arial" w:eastAsia="Arial" w:hAnsi="Arial"/>
                <w:sz w:val="14"/>
                <w:szCs w:val="14"/>
                <w:color w:val="auto"/>
              </w:rPr>
              <w:t>(Calendar Year-to-Date)</w:t>
            </w:r>
          </w:p>
        </w:tc>
      </w:tr>
      <w:tr>
        <w:trPr>
          <w:trHeight w:val="173"/>
        </w:trPr>
        <w:tc>
          <w:tcPr>
            <w:tcW w:w="4380" w:type="dxa"/>
            <w:vAlign w:val="bottom"/>
            <w:gridSpan w:val="2"/>
          </w:tcPr>
          <w:p>
            <w:pPr>
              <w:spacing w:after="0"/>
              <w:rPr>
                <w:sz w:val="20"/>
                <w:szCs w:val="20"/>
                <w:color w:val="auto"/>
              </w:rPr>
            </w:pPr>
            <w:r>
              <w:rPr>
                <w:rFonts w:ascii="Arial" w:cs="Arial" w:eastAsia="Arial" w:hAnsi="Arial"/>
                <w:sz w:val="14"/>
                <w:szCs w:val="14"/>
                <w:color w:val="auto"/>
              </w:rPr>
              <w:t>*S/D Curr: 24</w:t>
            </w:r>
          </w:p>
        </w:tc>
        <w:tc>
          <w:tcPr>
            <w:tcW w:w="25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February</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January - February</w:t>
            </w:r>
          </w:p>
        </w:tc>
        <w:tc>
          <w:tcPr>
            <w:tcW w:w="600" w:type="dxa"/>
            <w:vAlign w:val="bottom"/>
          </w:tcPr>
          <w:p>
            <w:pPr>
              <w:spacing w:after="0"/>
              <w:rPr>
                <w:sz w:val="15"/>
                <w:szCs w:val="15"/>
                <w:color w:val="auto"/>
              </w:rPr>
            </w:pPr>
          </w:p>
        </w:tc>
      </w:tr>
      <w:tr>
        <w:trPr>
          <w:trHeight w:val="131"/>
        </w:trPr>
        <w:tc>
          <w:tcPr>
            <w:tcW w:w="20" w:type="dxa"/>
            <w:vAlign w:val="bottom"/>
          </w:tcPr>
          <w:p>
            <w:pPr>
              <w:spacing w:after="0"/>
              <w:rPr>
                <w:sz w:val="11"/>
                <w:szCs w:val="11"/>
                <w:color w:val="auto"/>
              </w:rPr>
            </w:pPr>
          </w:p>
        </w:tc>
        <w:tc>
          <w:tcPr>
            <w:tcW w:w="4360" w:type="dxa"/>
            <w:vAlign w:val="bottom"/>
            <w:tcBorders>
              <w:top w:val="single" w:sz="8" w:color="auto"/>
            </w:tcBorders>
          </w:tcPr>
          <w:p>
            <w:pPr>
              <w:spacing w:after="0"/>
              <w:rPr>
                <w:sz w:val="11"/>
                <w:szCs w:val="11"/>
                <w:color w:val="auto"/>
              </w:rPr>
            </w:pPr>
          </w:p>
        </w:tc>
        <w:tc>
          <w:tcPr>
            <w:tcW w:w="25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17"/>
              <w:spacing w:after="0" w:line="131" w:lineRule="exact"/>
              <w:rPr>
                <w:sz w:val="20"/>
                <w:szCs w:val="20"/>
                <w:color w:val="auto"/>
              </w:rPr>
            </w:pPr>
            <w:r>
              <w:rPr>
                <w:rFonts w:ascii="Arial" w:cs="Arial" w:eastAsia="Arial" w:hAnsi="Arial"/>
                <w:sz w:val="14"/>
                <w:szCs w:val="14"/>
                <w:color w:val="auto"/>
                <w:w w:val="85"/>
              </w:rPr>
              <w:t>% Chg</w:t>
            </w:r>
          </w:p>
        </w:tc>
        <w:tc>
          <w:tcPr>
            <w:tcW w:w="6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5"/>
              </w:rPr>
              <w:t>% Chg</w:t>
            </w:r>
          </w:p>
        </w:tc>
        <w:tc>
          <w:tcPr>
            <w:tcW w:w="8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5"/>
              </w:rPr>
              <w:t>% Chg</w:t>
            </w:r>
          </w:p>
        </w:tc>
      </w:tr>
      <w:tr>
        <w:trPr>
          <w:trHeight w:val="159"/>
        </w:trPr>
        <w:tc>
          <w:tcPr>
            <w:tcW w:w="4380" w:type="dxa"/>
            <w:vAlign w:val="bottom"/>
            <w:gridSpan w:val="2"/>
          </w:tcPr>
          <w:p>
            <w:pPr>
              <w:spacing w:after="0" w:line="159" w:lineRule="exact"/>
              <w:rPr>
                <w:sz w:val="20"/>
                <w:szCs w:val="20"/>
                <w:color w:val="auto"/>
              </w:rPr>
            </w:pPr>
            <w:r>
              <w:rPr>
                <w:rFonts w:ascii="Arial" w:cs="Arial" w:eastAsia="Arial" w:hAnsi="Arial"/>
                <w:sz w:val="14"/>
                <w:szCs w:val="14"/>
                <w:color w:val="auto"/>
              </w:rPr>
              <w:t>*S/D Prev: 24</w:t>
            </w:r>
          </w:p>
        </w:tc>
        <w:tc>
          <w:tcPr>
            <w:tcW w:w="2580" w:type="dxa"/>
            <w:vAlign w:val="bottom"/>
          </w:tcPr>
          <w:p>
            <w:pPr>
              <w:jc w:val="right"/>
              <w:ind w:right="235"/>
              <w:spacing w:after="0" w:line="159" w:lineRule="exact"/>
              <w:rPr>
                <w:sz w:val="20"/>
                <w:szCs w:val="20"/>
                <w:color w:val="auto"/>
              </w:rPr>
            </w:pPr>
            <w:r>
              <w:rPr>
                <w:rFonts w:ascii="Arial" w:cs="Arial" w:eastAsia="Arial" w:hAnsi="Arial"/>
                <w:sz w:val="14"/>
                <w:szCs w:val="14"/>
                <w:color w:val="auto"/>
              </w:rPr>
              <w:t>2011</w:t>
            </w:r>
          </w:p>
        </w:tc>
        <w:tc>
          <w:tcPr>
            <w:tcW w:w="900" w:type="dxa"/>
            <w:vAlign w:val="bottom"/>
          </w:tcPr>
          <w:p>
            <w:pPr>
              <w:jc w:val="right"/>
              <w:ind w:right="296"/>
              <w:spacing w:after="0" w:line="159" w:lineRule="exact"/>
              <w:rPr>
                <w:sz w:val="20"/>
                <w:szCs w:val="20"/>
                <w:color w:val="auto"/>
              </w:rPr>
            </w:pPr>
            <w:r>
              <w:rPr>
                <w:rFonts w:ascii="Arial" w:cs="Arial" w:eastAsia="Arial" w:hAnsi="Arial"/>
                <w:sz w:val="14"/>
                <w:szCs w:val="14"/>
                <w:color w:val="auto"/>
              </w:rPr>
              <w:t>2010</w:t>
            </w:r>
          </w:p>
        </w:tc>
        <w:tc>
          <w:tcPr>
            <w:tcW w:w="580" w:type="dxa"/>
            <w:vAlign w:val="bottom"/>
          </w:tcPr>
          <w:p>
            <w:pPr>
              <w:jc w:val="center"/>
              <w:ind w:right="37"/>
              <w:spacing w:after="0" w:line="159" w:lineRule="exact"/>
              <w:rPr>
                <w:sz w:val="20"/>
                <w:szCs w:val="20"/>
                <w:color w:val="auto"/>
              </w:rPr>
            </w:pPr>
            <w:r>
              <w:rPr>
                <w:rFonts w:ascii="Arial" w:cs="Arial" w:eastAsia="Arial" w:hAnsi="Arial"/>
                <w:sz w:val="14"/>
                <w:szCs w:val="14"/>
                <w:color w:val="auto"/>
                <w:w w:val="88"/>
              </w:rPr>
              <w:t>Volume</w:t>
            </w:r>
          </w:p>
        </w:tc>
        <w:tc>
          <w:tcPr>
            <w:tcW w:w="680" w:type="dxa"/>
            <w:vAlign w:val="bottom"/>
          </w:tcPr>
          <w:p>
            <w:pPr>
              <w:jc w:val="center"/>
              <w:spacing w:after="0" w:line="159" w:lineRule="exact"/>
              <w:rPr>
                <w:sz w:val="20"/>
                <w:szCs w:val="20"/>
                <w:color w:val="auto"/>
              </w:rPr>
            </w:pPr>
            <w:r>
              <w:rPr>
                <w:rFonts w:ascii="Arial" w:cs="Arial" w:eastAsia="Arial" w:hAnsi="Arial"/>
                <w:sz w:val="14"/>
                <w:szCs w:val="14"/>
                <w:color w:val="auto"/>
                <w:w w:val="84"/>
              </w:rPr>
              <w:t>per S/D</w:t>
            </w:r>
          </w:p>
        </w:tc>
        <w:tc>
          <w:tcPr>
            <w:tcW w:w="840" w:type="dxa"/>
            <w:vAlign w:val="bottom"/>
          </w:tcPr>
          <w:p>
            <w:pPr>
              <w:jc w:val="right"/>
              <w:ind w:right="237"/>
              <w:spacing w:after="0" w:line="159" w:lineRule="exact"/>
              <w:rPr>
                <w:sz w:val="20"/>
                <w:szCs w:val="20"/>
                <w:color w:val="auto"/>
              </w:rPr>
            </w:pPr>
            <w:r>
              <w:rPr>
                <w:rFonts w:ascii="Arial" w:cs="Arial" w:eastAsia="Arial" w:hAnsi="Arial"/>
                <w:sz w:val="14"/>
                <w:szCs w:val="14"/>
                <w:color w:val="auto"/>
              </w:rPr>
              <w:t>2011</w:t>
            </w:r>
          </w:p>
        </w:tc>
        <w:tc>
          <w:tcPr>
            <w:tcW w:w="860" w:type="dxa"/>
            <w:vAlign w:val="bottom"/>
          </w:tcPr>
          <w:p>
            <w:pPr>
              <w:jc w:val="right"/>
              <w:ind w:right="255"/>
              <w:spacing w:after="0" w:line="159" w:lineRule="exact"/>
              <w:rPr>
                <w:sz w:val="20"/>
                <w:szCs w:val="20"/>
                <w:color w:val="auto"/>
              </w:rPr>
            </w:pPr>
            <w:r>
              <w:rPr>
                <w:rFonts w:ascii="Arial" w:cs="Arial" w:eastAsia="Arial" w:hAnsi="Arial"/>
                <w:sz w:val="14"/>
                <w:szCs w:val="14"/>
                <w:color w:val="auto"/>
              </w:rPr>
              <w:t>2010</w:t>
            </w:r>
          </w:p>
        </w:tc>
        <w:tc>
          <w:tcPr>
            <w:tcW w:w="600" w:type="dxa"/>
            <w:vAlign w:val="bottom"/>
          </w:tcPr>
          <w:p>
            <w:pPr>
              <w:jc w:val="center"/>
              <w:spacing w:after="0" w:line="159" w:lineRule="exact"/>
              <w:rPr>
                <w:sz w:val="20"/>
                <w:szCs w:val="20"/>
                <w:color w:val="auto"/>
              </w:rPr>
            </w:pPr>
            <w:r>
              <w:rPr>
                <w:rFonts w:ascii="Arial" w:cs="Arial" w:eastAsia="Arial" w:hAnsi="Arial"/>
                <w:sz w:val="14"/>
                <w:szCs w:val="14"/>
                <w:color w:val="auto"/>
                <w:w w:val="88"/>
              </w:rPr>
              <w:t>Volume</w:t>
            </w:r>
          </w:p>
        </w:tc>
      </w:tr>
      <w:tr>
        <w:trPr>
          <w:trHeight w:val="210"/>
        </w:trPr>
        <w:tc>
          <w:tcPr>
            <w:tcW w:w="20" w:type="dxa"/>
            <w:vAlign w:val="bottom"/>
          </w:tcPr>
          <w:p>
            <w:pPr>
              <w:spacing w:after="0"/>
              <w:rPr>
                <w:sz w:val="18"/>
                <w:szCs w:val="18"/>
                <w:color w:val="auto"/>
              </w:rPr>
            </w:pPr>
          </w:p>
        </w:tc>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Vehicle Total</w:t>
            </w:r>
          </w:p>
        </w:tc>
        <w:tc>
          <w:tcPr>
            <w:tcW w:w="258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207,028</w:t>
            </w:r>
          </w:p>
        </w:tc>
        <w:tc>
          <w:tcPr>
            <w:tcW w:w="90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141,951</w:t>
            </w:r>
          </w:p>
        </w:tc>
        <w:tc>
          <w:tcPr>
            <w:tcW w:w="5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45.8</w:t>
            </w:r>
          </w:p>
        </w:tc>
        <w:tc>
          <w:tcPr>
            <w:tcW w:w="6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45.8</w:t>
            </w:r>
          </w:p>
        </w:tc>
        <w:tc>
          <w:tcPr>
            <w:tcW w:w="8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385,924</w:t>
            </w:r>
          </w:p>
        </w:tc>
        <w:tc>
          <w:tcPr>
            <w:tcW w:w="8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288,776</w:t>
            </w:r>
          </w:p>
        </w:tc>
        <w:tc>
          <w:tcPr>
            <w:tcW w:w="6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33.6</w:t>
            </w: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Brand Total</w:t>
            </w:r>
          </w:p>
        </w:tc>
        <w:tc>
          <w:tcPr>
            <w:tcW w:w="2580" w:type="dxa"/>
            <w:vAlign w:val="bottom"/>
          </w:tcPr>
          <w:p>
            <w:pPr>
              <w:jc w:val="right"/>
              <w:ind w:right="55"/>
              <w:spacing w:after="0"/>
              <w:rPr>
                <w:sz w:val="20"/>
                <w:szCs w:val="20"/>
                <w:color w:val="auto"/>
              </w:rPr>
            </w:pPr>
            <w:r>
              <w:rPr>
                <w:rFonts w:ascii="Arial" w:cs="Arial" w:eastAsia="Arial" w:hAnsi="Arial"/>
                <w:sz w:val="18"/>
                <w:szCs w:val="18"/>
                <w:color w:val="auto"/>
              </w:rPr>
              <w:t>207,028</w:t>
            </w:r>
          </w:p>
        </w:tc>
        <w:tc>
          <w:tcPr>
            <w:tcW w:w="900" w:type="dxa"/>
            <w:vAlign w:val="bottom"/>
          </w:tcPr>
          <w:p>
            <w:pPr>
              <w:jc w:val="right"/>
              <w:ind w:right="116"/>
              <w:spacing w:after="0"/>
              <w:rPr>
                <w:sz w:val="20"/>
                <w:szCs w:val="20"/>
                <w:color w:val="auto"/>
              </w:rPr>
            </w:pPr>
            <w:r>
              <w:rPr>
                <w:rFonts w:ascii="Arial" w:cs="Arial" w:eastAsia="Arial" w:hAnsi="Arial"/>
                <w:sz w:val="18"/>
                <w:szCs w:val="18"/>
                <w:color w:val="auto"/>
              </w:rPr>
              <w:t>138,849</w:t>
            </w:r>
          </w:p>
        </w:tc>
        <w:tc>
          <w:tcPr>
            <w:tcW w:w="580" w:type="dxa"/>
            <w:vAlign w:val="bottom"/>
          </w:tcPr>
          <w:p>
            <w:pPr>
              <w:jc w:val="right"/>
              <w:ind w:right="37"/>
              <w:spacing w:after="0"/>
              <w:rPr>
                <w:sz w:val="20"/>
                <w:szCs w:val="20"/>
                <w:color w:val="auto"/>
              </w:rPr>
            </w:pPr>
            <w:r>
              <w:rPr>
                <w:rFonts w:ascii="Arial" w:cs="Arial" w:eastAsia="Arial" w:hAnsi="Arial"/>
                <w:sz w:val="18"/>
                <w:szCs w:val="18"/>
                <w:color w:val="auto"/>
              </w:rPr>
              <w:t>49.1</w:t>
            </w:r>
          </w:p>
        </w:tc>
        <w:tc>
          <w:tcPr>
            <w:tcW w:w="680" w:type="dxa"/>
            <w:vAlign w:val="bottom"/>
          </w:tcPr>
          <w:p>
            <w:pPr>
              <w:jc w:val="right"/>
              <w:ind w:right="57"/>
              <w:spacing w:after="0"/>
              <w:rPr>
                <w:sz w:val="20"/>
                <w:szCs w:val="20"/>
                <w:color w:val="auto"/>
              </w:rPr>
            </w:pPr>
            <w:r>
              <w:rPr>
                <w:rFonts w:ascii="Arial" w:cs="Arial" w:eastAsia="Arial" w:hAnsi="Arial"/>
                <w:sz w:val="18"/>
                <w:szCs w:val="18"/>
                <w:color w:val="auto"/>
              </w:rPr>
              <w:t>49.1</w:t>
            </w:r>
          </w:p>
        </w:tc>
        <w:tc>
          <w:tcPr>
            <w:tcW w:w="840" w:type="dxa"/>
            <w:vAlign w:val="bottom"/>
          </w:tcPr>
          <w:p>
            <w:pPr>
              <w:jc w:val="right"/>
              <w:ind w:right="57"/>
              <w:spacing w:after="0"/>
              <w:rPr>
                <w:sz w:val="20"/>
                <w:szCs w:val="20"/>
                <w:color w:val="auto"/>
              </w:rPr>
            </w:pPr>
            <w:r>
              <w:rPr>
                <w:rFonts w:ascii="Arial" w:cs="Arial" w:eastAsia="Arial" w:hAnsi="Arial"/>
                <w:sz w:val="18"/>
                <w:szCs w:val="18"/>
                <w:color w:val="auto"/>
              </w:rPr>
              <w:t>385,924</w:t>
            </w:r>
          </w:p>
        </w:tc>
        <w:tc>
          <w:tcPr>
            <w:tcW w:w="860" w:type="dxa"/>
            <w:vAlign w:val="bottom"/>
          </w:tcPr>
          <w:p>
            <w:pPr>
              <w:jc w:val="right"/>
              <w:ind w:right="75"/>
              <w:spacing w:after="0"/>
              <w:rPr>
                <w:sz w:val="20"/>
                <w:szCs w:val="20"/>
                <w:color w:val="auto"/>
              </w:rPr>
            </w:pPr>
            <w:r>
              <w:rPr>
                <w:rFonts w:ascii="Arial" w:cs="Arial" w:eastAsia="Arial" w:hAnsi="Arial"/>
                <w:sz w:val="18"/>
                <w:szCs w:val="18"/>
                <w:color w:val="auto"/>
              </w:rPr>
              <w:t>283,947</w:t>
            </w:r>
          </w:p>
        </w:tc>
        <w:tc>
          <w:tcPr>
            <w:tcW w:w="600" w:type="dxa"/>
            <w:vAlign w:val="bottom"/>
          </w:tcPr>
          <w:p>
            <w:pPr>
              <w:jc w:val="right"/>
              <w:ind w:right="17"/>
              <w:spacing w:after="0"/>
              <w:rPr>
                <w:sz w:val="20"/>
                <w:szCs w:val="20"/>
                <w:color w:val="auto"/>
              </w:rPr>
            </w:pPr>
            <w:r>
              <w:rPr>
                <w:rFonts w:ascii="Arial" w:cs="Arial" w:eastAsia="Arial" w:hAnsi="Arial"/>
                <w:sz w:val="18"/>
                <w:szCs w:val="18"/>
                <w:color w:val="auto"/>
              </w:rPr>
              <w:t>35.9</w:t>
            </w: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Brand Total</w:t>
            </w:r>
          </w:p>
        </w:tc>
        <w:tc>
          <w:tcPr>
            <w:tcW w:w="25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3,102</w:t>
            </w: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0</w:t>
            </w:r>
          </w:p>
        </w:tc>
        <w:tc>
          <w:tcPr>
            <w:tcW w:w="8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4,829</w:t>
            </w: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459"/>
        </w:trPr>
        <w:tc>
          <w:tcPr>
            <w:tcW w:w="4380" w:type="dxa"/>
            <w:vAlign w:val="bottom"/>
            <w:gridSpan w:val="2"/>
          </w:tcPr>
          <w:p>
            <w:pPr>
              <w:spacing w:after="0"/>
              <w:rPr>
                <w:sz w:val="20"/>
                <w:szCs w:val="20"/>
                <w:color w:val="auto"/>
              </w:rPr>
            </w:pPr>
            <w:r>
              <w:rPr>
                <w:rFonts w:ascii="Arial" w:cs="Arial" w:eastAsia="Arial" w:hAnsi="Arial"/>
                <w:sz w:val="14"/>
                <w:szCs w:val="14"/>
                <w:color w:val="auto"/>
              </w:rPr>
              <w:t>GM Vehicle Deliveries by Marketing Division</w:t>
            </w:r>
          </w:p>
        </w:tc>
        <w:tc>
          <w:tcPr>
            <w:tcW w:w="2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31"/>
        </w:trPr>
        <w:tc>
          <w:tcPr>
            <w:tcW w:w="20" w:type="dxa"/>
            <w:vAlign w:val="bottom"/>
          </w:tcPr>
          <w:p>
            <w:pPr>
              <w:spacing w:after="0"/>
              <w:rPr>
                <w:sz w:val="11"/>
                <w:szCs w:val="11"/>
                <w:color w:val="auto"/>
              </w:rPr>
            </w:pPr>
          </w:p>
        </w:tc>
        <w:tc>
          <w:tcPr>
            <w:tcW w:w="4360" w:type="dxa"/>
            <w:vAlign w:val="bottom"/>
            <w:tcBorders>
              <w:top w:val="single" w:sz="8" w:color="auto"/>
            </w:tcBorders>
          </w:tcPr>
          <w:p>
            <w:pPr>
              <w:spacing w:after="0"/>
              <w:rPr>
                <w:sz w:val="11"/>
                <w:szCs w:val="11"/>
                <w:color w:val="auto"/>
              </w:rPr>
            </w:pPr>
          </w:p>
        </w:tc>
        <w:tc>
          <w:tcPr>
            <w:tcW w:w="25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17"/>
              <w:spacing w:after="0" w:line="131" w:lineRule="exact"/>
              <w:rPr>
                <w:sz w:val="20"/>
                <w:szCs w:val="20"/>
                <w:color w:val="auto"/>
              </w:rPr>
            </w:pPr>
            <w:r>
              <w:rPr>
                <w:rFonts w:ascii="Arial" w:cs="Arial" w:eastAsia="Arial" w:hAnsi="Arial"/>
                <w:sz w:val="14"/>
                <w:szCs w:val="14"/>
                <w:color w:val="auto"/>
                <w:w w:val="85"/>
              </w:rPr>
              <w:t>% Chg</w:t>
            </w:r>
          </w:p>
        </w:tc>
        <w:tc>
          <w:tcPr>
            <w:tcW w:w="6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5"/>
              </w:rPr>
              <w:t>% Chg</w:t>
            </w:r>
          </w:p>
        </w:tc>
        <w:tc>
          <w:tcPr>
            <w:tcW w:w="8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5"/>
              </w:rPr>
              <w:t>% Chg</w:t>
            </w:r>
          </w:p>
        </w:tc>
      </w:tr>
      <w:tr>
        <w:trPr>
          <w:trHeight w:val="173"/>
        </w:trPr>
        <w:tc>
          <w:tcPr>
            <w:tcW w:w="20" w:type="dxa"/>
            <w:vAlign w:val="bottom"/>
          </w:tcPr>
          <w:p>
            <w:pPr>
              <w:spacing w:after="0"/>
              <w:rPr>
                <w:sz w:val="15"/>
                <w:szCs w:val="15"/>
                <w:color w:val="auto"/>
              </w:rPr>
            </w:pPr>
          </w:p>
        </w:tc>
        <w:tc>
          <w:tcPr>
            <w:tcW w:w="43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color w:val="auto"/>
              </w:rPr>
              <w:t>2011</w:t>
            </w:r>
          </w:p>
        </w:tc>
        <w:tc>
          <w:tcPr>
            <w:tcW w:w="9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rPr>
              <w:t>2010</w:t>
            </w:r>
          </w:p>
        </w:tc>
        <w:tc>
          <w:tcPr>
            <w:tcW w:w="5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color w:val="auto"/>
                <w:w w:val="88"/>
              </w:rPr>
              <w:t>Volume</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4"/>
              </w:rPr>
              <w:t>per S/D</w:t>
            </w:r>
          </w:p>
        </w:tc>
        <w:tc>
          <w:tcPr>
            <w:tcW w:w="8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color w:val="auto"/>
              </w:rPr>
              <w:t>2011</w:t>
            </w: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color w:val="auto"/>
              </w:rPr>
              <w:t>2010</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Volume</w:t>
            </w: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Buick Total</w:t>
            </w:r>
          </w:p>
        </w:tc>
        <w:tc>
          <w:tcPr>
            <w:tcW w:w="25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15,807</w:t>
            </w:r>
          </w:p>
        </w:tc>
        <w:tc>
          <w:tcPr>
            <w:tcW w:w="9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9,121</w:t>
            </w: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73.3</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73.3</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29,076</w:t>
            </w:r>
          </w:p>
        </w:tc>
        <w:tc>
          <w:tcPr>
            <w:tcW w:w="8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19,182</w:t>
            </w: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51.6</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Cadillac Total</w:t>
            </w:r>
          </w:p>
        </w:tc>
        <w:tc>
          <w:tcPr>
            <w:tcW w:w="2580" w:type="dxa"/>
            <w:vAlign w:val="bottom"/>
          </w:tcPr>
          <w:p>
            <w:pPr>
              <w:jc w:val="right"/>
              <w:ind w:right="55"/>
              <w:spacing w:after="0"/>
              <w:rPr>
                <w:sz w:val="20"/>
                <w:szCs w:val="20"/>
                <w:color w:val="auto"/>
              </w:rPr>
            </w:pPr>
            <w:r>
              <w:rPr>
                <w:rFonts w:ascii="Arial" w:cs="Arial" w:eastAsia="Arial" w:hAnsi="Arial"/>
                <w:sz w:val="18"/>
                <w:szCs w:val="18"/>
                <w:color w:val="auto"/>
              </w:rPr>
              <w:t>15,768</w:t>
            </w:r>
          </w:p>
        </w:tc>
        <w:tc>
          <w:tcPr>
            <w:tcW w:w="900" w:type="dxa"/>
            <w:vAlign w:val="bottom"/>
          </w:tcPr>
          <w:p>
            <w:pPr>
              <w:jc w:val="right"/>
              <w:ind w:right="116"/>
              <w:spacing w:after="0"/>
              <w:rPr>
                <w:sz w:val="20"/>
                <w:szCs w:val="20"/>
                <w:color w:val="auto"/>
              </w:rPr>
            </w:pPr>
            <w:r>
              <w:rPr>
                <w:rFonts w:ascii="Arial" w:cs="Arial" w:eastAsia="Arial" w:hAnsi="Arial"/>
                <w:sz w:val="18"/>
                <w:szCs w:val="18"/>
                <w:color w:val="auto"/>
              </w:rPr>
              <w:t>9,273</w:t>
            </w:r>
          </w:p>
        </w:tc>
        <w:tc>
          <w:tcPr>
            <w:tcW w:w="580" w:type="dxa"/>
            <w:vAlign w:val="bottom"/>
          </w:tcPr>
          <w:p>
            <w:pPr>
              <w:jc w:val="right"/>
              <w:ind w:right="37"/>
              <w:spacing w:after="0"/>
              <w:rPr>
                <w:sz w:val="20"/>
                <w:szCs w:val="20"/>
                <w:color w:val="auto"/>
              </w:rPr>
            </w:pPr>
            <w:r>
              <w:rPr>
                <w:rFonts w:ascii="Arial" w:cs="Arial" w:eastAsia="Arial" w:hAnsi="Arial"/>
                <w:sz w:val="18"/>
                <w:szCs w:val="18"/>
                <w:color w:val="auto"/>
              </w:rPr>
              <w:t>70.0</w:t>
            </w:r>
          </w:p>
        </w:tc>
        <w:tc>
          <w:tcPr>
            <w:tcW w:w="680" w:type="dxa"/>
            <w:vAlign w:val="bottom"/>
          </w:tcPr>
          <w:p>
            <w:pPr>
              <w:jc w:val="right"/>
              <w:ind w:right="57"/>
              <w:spacing w:after="0"/>
              <w:rPr>
                <w:sz w:val="20"/>
                <w:szCs w:val="20"/>
                <w:color w:val="auto"/>
              </w:rPr>
            </w:pPr>
            <w:r>
              <w:rPr>
                <w:rFonts w:ascii="Arial" w:cs="Arial" w:eastAsia="Arial" w:hAnsi="Arial"/>
                <w:sz w:val="18"/>
                <w:szCs w:val="18"/>
                <w:color w:val="auto"/>
              </w:rPr>
              <w:t>70.0</w:t>
            </w:r>
          </w:p>
        </w:tc>
        <w:tc>
          <w:tcPr>
            <w:tcW w:w="840" w:type="dxa"/>
            <w:vAlign w:val="bottom"/>
          </w:tcPr>
          <w:p>
            <w:pPr>
              <w:jc w:val="right"/>
              <w:ind w:right="57"/>
              <w:spacing w:after="0"/>
              <w:rPr>
                <w:sz w:val="20"/>
                <w:szCs w:val="20"/>
                <w:color w:val="auto"/>
              </w:rPr>
            </w:pPr>
            <w:r>
              <w:rPr>
                <w:rFonts w:ascii="Arial" w:cs="Arial" w:eastAsia="Arial" w:hAnsi="Arial"/>
                <w:sz w:val="18"/>
                <w:szCs w:val="18"/>
                <w:color w:val="auto"/>
              </w:rPr>
              <w:t>28,348</w:t>
            </w:r>
          </w:p>
        </w:tc>
        <w:tc>
          <w:tcPr>
            <w:tcW w:w="860" w:type="dxa"/>
            <w:vAlign w:val="bottom"/>
          </w:tcPr>
          <w:p>
            <w:pPr>
              <w:jc w:val="right"/>
              <w:ind w:right="75"/>
              <w:spacing w:after="0"/>
              <w:rPr>
                <w:sz w:val="20"/>
                <w:szCs w:val="20"/>
                <w:color w:val="auto"/>
              </w:rPr>
            </w:pPr>
            <w:r>
              <w:rPr>
                <w:rFonts w:ascii="Arial" w:cs="Arial" w:eastAsia="Arial" w:hAnsi="Arial"/>
                <w:sz w:val="18"/>
                <w:szCs w:val="18"/>
                <w:color w:val="auto"/>
              </w:rPr>
              <w:t>17,713</w:t>
            </w:r>
          </w:p>
        </w:tc>
        <w:tc>
          <w:tcPr>
            <w:tcW w:w="600" w:type="dxa"/>
            <w:vAlign w:val="bottom"/>
          </w:tcPr>
          <w:p>
            <w:pPr>
              <w:jc w:val="right"/>
              <w:ind w:right="17"/>
              <w:spacing w:after="0"/>
              <w:rPr>
                <w:sz w:val="20"/>
                <w:szCs w:val="20"/>
                <w:color w:val="auto"/>
              </w:rPr>
            </w:pPr>
            <w:r>
              <w:rPr>
                <w:rFonts w:ascii="Arial" w:cs="Arial" w:eastAsia="Arial" w:hAnsi="Arial"/>
                <w:sz w:val="18"/>
                <w:szCs w:val="18"/>
                <w:color w:val="auto"/>
              </w:rPr>
              <w:t>60.0</w:t>
            </w: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Chevrolet Total **</w:t>
            </w:r>
          </w:p>
        </w:tc>
        <w:tc>
          <w:tcPr>
            <w:tcW w:w="25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142,919</w:t>
            </w:r>
          </w:p>
        </w:tc>
        <w:tc>
          <w:tcPr>
            <w:tcW w:w="9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99,999</w:t>
            </w: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42.9</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42.9</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268,308</w:t>
            </w:r>
          </w:p>
        </w:tc>
        <w:tc>
          <w:tcPr>
            <w:tcW w:w="8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205,293</w:t>
            </w: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30.7</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GMC Total **</w:t>
            </w:r>
          </w:p>
        </w:tc>
        <w:tc>
          <w:tcPr>
            <w:tcW w:w="2580" w:type="dxa"/>
            <w:vAlign w:val="bottom"/>
          </w:tcPr>
          <w:p>
            <w:pPr>
              <w:jc w:val="right"/>
              <w:ind w:right="55"/>
              <w:spacing w:after="0"/>
              <w:rPr>
                <w:sz w:val="20"/>
                <w:szCs w:val="20"/>
                <w:color w:val="auto"/>
              </w:rPr>
            </w:pPr>
            <w:r>
              <w:rPr>
                <w:rFonts w:ascii="Arial" w:cs="Arial" w:eastAsia="Arial" w:hAnsi="Arial"/>
                <w:sz w:val="18"/>
                <w:szCs w:val="18"/>
                <w:color w:val="auto"/>
              </w:rPr>
              <w:t>32,534</w:t>
            </w:r>
          </w:p>
        </w:tc>
        <w:tc>
          <w:tcPr>
            <w:tcW w:w="900" w:type="dxa"/>
            <w:vAlign w:val="bottom"/>
          </w:tcPr>
          <w:p>
            <w:pPr>
              <w:jc w:val="right"/>
              <w:ind w:right="116"/>
              <w:spacing w:after="0"/>
              <w:rPr>
                <w:sz w:val="20"/>
                <w:szCs w:val="20"/>
                <w:color w:val="auto"/>
              </w:rPr>
            </w:pPr>
            <w:r>
              <w:rPr>
                <w:rFonts w:ascii="Arial" w:cs="Arial" w:eastAsia="Arial" w:hAnsi="Arial"/>
                <w:sz w:val="18"/>
                <w:szCs w:val="18"/>
                <w:color w:val="auto"/>
              </w:rPr>
              <w:t>20,456</w:t>
            </w:r>
          </w:p>
        </w:tc>
        <w:tc>
          <w:tcPr>
            <w:tcW w:w="580" w:type="dxa"/>
            <w:vAlign w:val="bottom"/>
          </w:tcPr>
          <w:p>
            <w:pPr>
              <w:jc w:val="right"/>
              <w:ind w:right="37"/>
              <w:spacing w:after="0"/>
              <w:rPr>
                <w:sz w:val="20"/>
                <w:szCs w:val="20"/>
                <w:color w:val="auto"/>
              </w:rPr>
            </w:pPr>
            <w:r>
              <w:rPr>
                <w:rFonts w:ascii="Arial" w:cs="Arial" w:eastAsia="Arial" w:hAnsi="Arial"/>
                <w:sz w:val="18"/>
                <w:szCs w:val="18"/>
                <w:color w:val="auto"/>
              </w:rPr>
              <w:t>59.0</w:t>
            </w:r>
          </w:p>
        </w:tc>
        <w:tc>
          <w:tcPr>
            <w:tcW w:w="680" w:type="dxa"/>
            <w:vAlign w:val="bottom"/>
          </w:tcPr>
          <w:p>
            <w:pPr>
              <w:jc w:val="right"/>
              <w:ind w:right="57"/>
              <w:spacing w:after="0"/>
              <w:rPr>
                <w:sz w:val="20"/>
                <w:szCs w:val="20"/>
                <w:color w:val="auto"/>
              </w:rPr>
            </w:pPr>
            <w:r>
              <w:rPr>
                <w:rFonts w:ascii="Arial" w:cs="Arial" w:eastAsia="Arial" w:hAnsi="Arial"/>
                <w:sz w:val="18"/>
                <w:szCs w:val="18"/>
                <w:color w:val="auto"/>
              </w:rPr>
              <w:t>59.0</w:t>
            </w:r>
          </w:p>
        </w:tc>
        <w:tc>
          <w:tcPr>
            <w:tcW w:w="840" w:type="dxa"/>
            <w:vAlign w:val="bottom"/>
          </w:tcPr>
          <w:p>
            <w:pPr>
              <w:jc w:val="right"/>
              <w:ind w:right="57"/>
              <w:spacing w:after="0"/>
              <w:rPr>
                <w:sz w:val="20"/>
                <w:szCs w:val="20"/>
                <w:color w:val="auto"/>
              </w:rPr>
            </w:pPr>
            <w:r>
              <w:rPr>
                <w:rFonts w:ascii="Arial" w:cs="Arial" w:eastAsia="Arial" w:hAnsi="Arial"/>
                <w:sz w:val="18"/>
                <w:szCs w:val="18"/>
                <w:color w:val="auto"/>
              </w:rPr>
              <w:t>60,192</w:t>
            </w:r>
          </w:p>
        </w:tc>
        <w:tc>
          <w:tcPr>
            <w:tcW w:w="860" w:type="dxa"/>
            <w:vAlign w:val="bottom"/>
          </w:tcPr>
          <w:p>
            <w:pPr>
              <w:jc w:val="right"/>
              <w:ind w:right="75"/>
              <w:spacing w:after="0"/>
              <w:rPr>
                <w:sz w:val="20"/>
                <w:szCs w:val="20"/>
                <w:color w:val="auto"/>
              </w:rPr>
            </w:pPr>
            <w:r>
              <w:rPr>
                <w:rFonts w:ascii="Arial" w:cs="Arial" w:eastAsia="Arial" w:hAnsi="Arial"/>
                <w:sz w:val="18"/>
                <w:szCs w:val="18"/>
                <w:color w:val="auto"/>
              </w:rPr>
              <w:t>41,759</w:t>
            </w:r>
          </w:p>
        </w:tc>
        <w:tc>
          <w:tcPr>
            <w:tcW w:w="600" w:type="dxa"/>
            <w:vAlign w:val="bottom"/>
          </w:tcPr>
          <w:p>
            <w:pPr>
              <w:jc w:val="right"/>
              <w:ind w:right="17"/>
              <w:spacing w:after="0"/>
              <w:rPr>
                <w:sz w:val="20"/>
                <w:szCs w:val="20"/>
                <w:color w:val="auto"/>
              </w:rPr>
            </w:pPr>
            <w:r>
              <w:rPr>
                <w:rFonts w:ascii="Arial" w:cs="Arial" w:eastAsia="Arial" w:hAnsi="Arial"/>
                <w:sz w:val="18"/>
                <w:szCs w:val="18"/>
                <w:color w:val="auto"/>
              </w:rPr>
              <w:t>44.1</w:t>
            </w: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Brand Total</w:t>
            </w:r>
          </w:p>
        </w:tc>
        <w:tc>
          <w:tcPr>
            <w:tcW w:w="25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207,028</w:t>
            </w:r>
          </w:p>
        </w:tc>
        <w:tc>
          <w:tcPr>
            <w:tcW w:w="9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138,849</w:t>
            </w: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49.1</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49.1</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385,924</w:t>
            </w:r>
          </w:p>
        </w:tc>
        <w:tc>
          <w:tcPr>
            <w:tcW w:w="8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283,947</w:t>
            </w: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35.9</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HUMMER Total</w:t>
            </w:r>
          </w:p>
        </w:tc>
        <w:tc>
          <w:tcPr>
            <w:tcW w:w="2580" w:type="dxa"/>
            <w:vAlign w:val="bottom"/>
          </w:tcPr>
          <w:p>
            <w:pPr>
              <w:jc w:val="right"/>
              <w:ind w:right="55"/>
              <w:spacing w:after="0"/>
              <w:rPr>
                <w:sz w:val="20"/>
                <w:szCs w:val="20"/>
                <w:color w:val="auto"/>
              </w:rPr>
            </w:pPr>
            <w:r>
              <w:rPr>
                <w:rFonts w:ascii="Arial" w:cs="Arial" w:eastAsia="Arial" w:hAnsi="Arial"/>
                <w:sz w:val="18"/>
                <w:szCs w:val="18"/>
                <w:color w:val="auto"/>
              </w:rPr>
              <w:t>0</w:t>
            </w:r>
          </w:p>
        </w:tc>
        <w:tc>
          <w:tcPr>
            <w:tcW w:w="900" w:type="dxa"/>
            <w:vAlign w:val="bottom"/>
          </w:tcPr>
          <w:p>
            <w:pPr>
              <w:jc w:val="right"/>
              <w:ind w:right="116"/>
              <w:spacing w:after="0"/>
              <w:rPr>
                <w:sz w:val="20"/>
                <w:szCs w:val="20"/>
                <w:color w:val="auto"/>
              </w:rPr>
            </w:pPr>
            <w:r>
              <w:rPr>
                <w:rFonts w:ascii="Arial" w:cs="Arial" w:eastAsia="Arial" w:hAnsi="Arial"/>
                <w:sz w:val="18"/>
                <w:szCs w:val="18"/>
                <w:color w:val="auto"/>
              </w:rPr>
              <w:t>296</w:t>
            </w:r>
          </w:p>
        </w:tc>
        <w:tc>
          <w:tcPr>
            <w:tcW w:w="58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7"/>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75"/>
              <w:spacing w:after="0"/>
              <w:rPr>
                <w:sz w:val="20"/>
                <w:szCs w:val="20"/>
                <w:color w:val="auto"/>
              </w:rPr>
            </w:pPr>
            <w:r>
              <w:rPr>
                <w:rFonts w:ascii="Arial" w:cs="Arial" w:eastAsia="Arial" w:hAnsi="Arial"/>
                <w:sz w:val="18"/>
                <w:szCs w:val="18"/>
                <w:color w:val="auto"/>
              </w:rPr>
              <w:t>561</w:t>
            </w:r>
          </w:p>
        </w:tc>
        <w:tc>
          <w:tcPr>
            <w:tcW w:w="60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Pontiac Total</w:t>
            </w:r>
          </w:p>
        </w:tc>
        <w:tc>
          <w:tcPr>
            <w:tcW w:w="25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84</w:t>
            </w: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0</w:t>
            </w:r>
          </w:p>
        </w:tc>
        <w:tc>
          <w:tcPr>
            <w:tcW w:w="8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473</w:t>
            </w: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Saab Total</w:t>
            </w:r>
          </w:p>
        </w:tc>
        <w:tc>
          <w:tcPr>
            <w:tcW w:w="2580" w:type="dxa"/>
            <w:vAlign w:val="bottom"/>
          </w:tcPr>
          <w:p>
            <w:pPr>
              <w:jc w:val="right"/>
              <w:ind w:right="55"/>
              <w:spacing w:after="0"/>
              <w:rPr>
                <w:sz w:val="20"/>
                <w:szCs w:val="20"/>
                <w:color w:val="auto"/>
              </w:rPr>
            </w:pPr>
            <w:r>
              <w:rPr>
                <w:rFonts w:ascii="Arial" w:cs="Arial" w:eastAsia="Arial" w:hAnsi="Arial"/>
                <w:sz w:val="18"/>
                <w:szCs w:val="18"/>
                <w:color w:val="auto"/>
              </w:rPr>
              <w:t>0</w:t>
            </w:r>
          </w:p>
        </w:tc>
        <w:tc>
          <w:tcPr>
            <w:tcW w:w="900" w:type="dxa"/>
            <w:vAlign w:val="bottom"/>
          </w:tcPr>
          <w:p>
            <w:pPr>
              <w:jc w:val="right"/>
              <w:ind w:right="116"/>
              <w:spacing w:after="0"/>
              <w:rPr>
                <w:sz w:val="20"/>
                <w:szCs w:val="20"/>
                <w:color w:val="auto"/>
              </w:rPr>
            </w:pPr>
            <w:r>
              <w:rPr>
                <w:rFonts w:ascii="Arial" w:cs="Arial" w:eastAsia="Arial" w:hAnsi="Arial"/>
                <w:sz w:val="18"/>
                <w:szCs w:val="18"/>
                <w:color w:val="auto"/>
              </w:rPr>
              <w:t>97</w:t>
            </w:r>
          </w:p>
        </w:tc>
        <w:tc>
          <w:tcPr>
            <w:tcW w:w="58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7"/>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75"/>
              <w:spacing w:after="0"/>
              <w:rPr>
                <w:sz w:val="20"/>
                <w:szCs w:val="20"/>
                <w:color w:val="auto"/>
              </w:rPr>
            </w:pPr>
            <w:r>
              <w:rPr>
                <w:rFonts w:ascii="Arial" w:cs="Arial" w:eastAsia="Arial" w:hAnsi="Arial"/>
                <w:sz w:val="18"/>
                <w:szCs w:val="18"/>
                <w:color w:val="auto"/>
              </w:rPr>
              <w:t>608</w:t>
            </w:r>
          </w:p>
        </w:tc>
        <w:tc>
          <w:tcPr>
            <w:tcW w:w="60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Saturn Total</w:t>
            </w:r>
          </w:p>
        </w:tc>
        <w:tc>
          <w:tcPr>
            <w:tcW w:w="25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2,625</w:t>
            </w: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0</w:t>
            </w:r>
          </w:p>
        </w:tc>
        <w:tc>
          <w:tcPr>
            <w:tcW w:w="8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3,187</w:t>
            </w: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Brand Total</w:t>
            </w:r>
          </w:p>
        </w:tc>
        <w:tc>
          <w:tcPr>
            <w:tcW w:w="25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0</w:t>
            </w:r>
          </w:p>
        </w:tc>
        <w:tc>
          <w:tcPr>
            <w:tcW w:w="9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3,102</w:t>
            </w:r>
          </w:p>
        </w:tc>
        <w:tc>
          <w:tcPr>
            <w:tcW w:w="5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0</w:t>
            </w: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4,829</w:t>
            </w:r>
          </w:p>
        </w:tc>
        <w:tc>
          <w:tcPr>
            <w:tcW w:w="6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GM Vehicle Total</w:t>
            </w:r>
          </w:p>
        </w:tc>
        <w:tc>
          <w:tcPr>
            <w:tcW w:w="2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207,028</w:t>
            </w:r>
          </w:p>
        </w:tc>
        <w:tc>
          <w:tcPr>
            <w:tcW w:w="9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141,951</w:t>
            </w:r>
          </w:p>
        </w:tc>
        <w:tc>
          <w:tcPr>
            <w:tcW w:w="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45.8</w:t>
            </w: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45.8</w:t>
            </w:r>
          </w:p>
        </w:tc>
        <w:tc>
          <w:tcPr>
            <w:tcW w:w="8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385,924</w:t>
            </w:r>
          </w:p>
        </w:tc>
        <w:tc>
          <w:tcPr>
            <w:tcW w:w="8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288,776</w:t>
            </w:r>
          </w:p>
        </w:tc>
        <w:tc>
          <w:tcPr>
            <w:tcW w:w="6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33.6</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Twenty-four selling days for the January period this year and twenty-four for last year.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Calendar Year 2010 includes GMC &amp; Chevrolet dealer deliveries of commercial vehicles distributed by American Isuzu Motors Inc.</w:t>
      </w:r>
    </w:p>
    <w:p>
      <w:pPr>
        <w:spacing w:after="0" w:line="158" w:lineRule="exact"/>
        <w:rPr>
          <w:sz w:val="20"/>
          <w:szCs w:val="20"/>
          <w:color w:val="auto"/>
        </w:rPr>
      </w:pPr>
    </w:p>
    <w:p>
      <w:pPr>
        <w:spacing w:after="0"/>
        <w:tabs>
          <w:tab w:leader="none" w:pos="10600" w:val="left"/>
        </w:tabs>
        <w:rPr>
          <w:sz w:val="20"/>
          <w:szCs w:val="20"/>
          <w:color w:val="auto"/>
        </w:rPr>
      </w:pPr>
      <w:r>
        <w:rPr>
          <w:rFonts w:ascii="Arial" w:cs="Arial" w:eastAsia="Arial" w:hAnsi="Arial"/>
          <w:sz w:val="18"/>
          <w:szCs w:val="18"/>
          <w:color w:val="auto"/>
        </w:rPr>
        <w:t>Sales Reporting and Data Management</w:t>
      </w:r>
      <w:r>
        <w:rPr>
          <w:sz w:val="20"/>
          <w:szCs w:val="20"/>
          <w:color w:val="auto"/>
        </w:rPr>
        <w:tab/>
      </w:r>
      <w:r>
        <w:rPr>
          <w:rFonts w:ascii="Arial" w:cs="Arial" w:eastAsia="Arial" w:hAnsi="Arial"/>
          <w:sz w:val="15"/>
          <w:szCs w:val="15"/>
          <w:color w:val="auto"/>
        </w:rPr>
        <w:t>Page 1 of 2</w:t>
      </w:r>
    </w:p>
    <w:p>
      <w:pPr>
        <w:sectPr>
          <w:pgSz w:w="11900" w:h="16838" w:orient="portrait"/>
          <w:cols w:equalWidth="0" w:num="1">
            <w:col w:w="11420"/>
          </w:cols>
          <w:pgMar w:left="240" w:top="2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U.S. Deliveries for February 2011 by Model</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20" w:type="dxa"/>
            <w:vAlign w:val="bottom"/>
            <w:gridSpan w:val="4"/>
          </w:tcPr>
          <w:p>
            <w:pPr>
              <w:ind w:left="480"/>
              <w:spacing w:after="0"/>
              <w:rPr>
                <w:sz w:val="20"/>
                <w:szCs w:val="20"/>
                <w:color w:val="auto"/>
              </w:rPr>
            </w:pPr>
            <w:r>
              <w:rPr>
                <w:rFonts w:ascii="Arial" w:cs="Arial" w:eastAsia="Arial" w:hAnsi="Arial"/>
                <w:sz w:val="14"/>
                <w:szCs w:val="14"/>
                <w:color w:val="auto"/>
              </w:rPr>
              <w:t>(Calendar Year-to-Date)</w:t>
            </w:r>
          </w:p>
        </w:tc>
      </w:tr>
      <w:tr>
        <w:trPr>
          <w:trHeight w:val="173"/>
        </w:trPr>
        <w:tc>
          <w:tcPr>
            <w:tcW w:w="20" w:type="dxa"/>
            <w:vAlign w:val="bottom"/>
          </w:tcPr>
          <w:p>
            <w:pPr>
              <w:spacing w:after="0"/>
              <w:rPr>
                <w:sz w:val="15"/>
                <w:szCs w:val="15"/>
                <w:color w:val="auto"/>
              </w:rPr>
            </w:pPr>
          </w:p>
        </w:tc>
        <w:tc>
          <w:tcPr>
            <w:tcW w:w="44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February</w:t>
            </w:r>
          </w:p>
        </w:tc>
        <w:tc>
          <w:tcPr>
            <w:tcW w:w="5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January - February</w:t>
            </w:r>
          </w:p>
        </w:tc>
        <w:tc>
          <w:tcPr>
            <w:tcW w:w="6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31"/>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0" w:type="dxa"/>
            <w:vAlign w:val="bottom"/>
          </w:tcPr>
          <w:p>
            <w:pPr>
              <w:jc w:val="right"/>
              <w:ind w:right="73"/>
              <w:spacing w:after="0" w:line="131" w:lineRule="exact"/>
              <w:rPr>
                <w:sz w:val="20"/>
                <w:szCs w:val="20"/>
                <w:color w:val="auto"/>
              </w:rPr>
            </w:pPr>
            <w:r>
              <w:rPr>
                <w:rFonts w:ascii="Arial" w:cs="Arial" w:eastAsia="Arial" w:hAnsi="Arial"/>
                <w:sz w:val="14"/>
                <w:szCs w:val="14"/>
                <w:color w:val="auto"/>
                <w:w w:val="95"/>
              </w:rPr>
              <w:t>% Chg</w:t>
            </w:r>
          </w:p>
        </w:tc>
        <w:tc>
          <w:tcPr>
            <w:tcW w:w="680" w:type="dxa"/>
            <w:vAlign w:val="bottom"/>
          </w:tcPr>
          <w:p>
            <w:pPr>
              <w:jc w:val="right"/>
              <w:ind w:right="93"/>
              <w:spacing w:after="0" w:line="131" w:lineRule="exact"/>
              <w:rPr>
                <w:sz w:val="20"/>
                <w:szCs w:val="20"/>
                <w:color w:val="auto"/>
              </w:rPr>
            </w:pPr>
            <w:r>
              <w:rPr>
                <w:rFonts w:ascii="Arial" w:cs="Arial" w:eastAsia="Arial" w:hAnsi="Arial"/>
                <w:sz w:val="14"/>
                <w:szCs w:val="14"/>
                <w:color w:val="auto"/>
              </w:rPr>
              <w:t>% Chg</w:t>
            </w: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jc w:val="center"/>
              <w:spacing w:after="0" w:line="131" w:lineRule="exact"/>
              <w:rPr>
                <w:sz w:val="20"/>
                <w:szCs w:val="20"/>
                <w:color w:val="auto"/>
              </w:rPr>
            </w:pPr>
            <w:r>
              <w:rPr>
                <w:rFonts w:ascii="Arial" w:cs="Arial" w:eastAsia="Arial" w:hAnsi="Arial"/>
                <w:sz w:val="14"/>
                <w:szCs w:val="14"/>
                <w:color w:val="auto"/>
                <w:w w:val="85"/>
              </w:rPr>
              <w:t>% Chg</w:t>
            </w:r>
          </w:p>
        </w:tc>
        <w:tc>
          <w:tcPr>
            <w:tcW w:w="20" w:type="dxa"/>
            <w:vAlign w:val="bottom"/>
          </w:tcPr>
          <w:p>
            <w:pPr>
              <w:spacing w:after="0"/>
              <w:rPr>
                <w:sz w:val="11"/>
                <w:szCs w:val="11"/>
                <w:color w:val="auto"/>
              </w:rPr>
            </w:pPr>
          </w:p>
        </w:tc>
      </w:tr>
      <w:tr>
        <w:trPr>
          <w:trHeight w:val="173"/>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460" w:type="dxa"/>
            <w:vAlign w:val="bottom"/>
          </w:tcPr>
          <w:p>
            <w:pPr>
              <w:jc w:val="right"/>
              <w:ind w:right="233"/>
              <w:spacing w:after="0"/>
              <w:rPr>
                <w:sz w:val="20"/>
                <w:szCs w:val="20"/>
                <w:color w:val="auto"/>
              </w:rPr>
            </w:pPr>
            <w:r>
              <w:rPr>
                <w:rFonts w:ascii="Arial" w:cs="Arial" w:eastAsia="Arial" w:hAnsi="Arial"/>
                <w:sz w:val="14"/>
                <w:szCs w:val="14"/>
                <w:color w:val="auto"/>
              </w:rPr>
              <w:t>2011</w:t>
            </w:r>
          </w:p>
        </w:tc>
        <w:tc>
          <w:tcPr>
            <w:tcW w:w="900" w:type="dxa"/>
            <w:vAlign w:val="bottom"/>
          </w:tcPr>
          <w:p>
            <w:pPr>
              <w:jc w:val="right"/>
              <w:ind w:right="293"/>
              <w:spacing w:after="0"/>
              <w:rPr>
                <w:sz w:val="20"/>
                <w:szCs w:val="20"/>
                <w:color w:val="auto"/>
              </w:rPr>
            </w:pPr>
            <w:r>
              <w:rPr>
                <w:rFonts w:ascii="Arial" w:cs="Arial" w:eastAsia="Arial" w:hAnsi="Arial"/>
                <w:sz w:val="14"/>
                <w:szCs w:val="14"/>
                <w:color w:val="auto"/>
              </w:rPr>
              <w:t>2010</w:t>
            </w:r>
          </w:p>
        </w:tc>
        <w:tc>
          <w:tcPr>
            <w:tcW w:w="580" w:type="dxa"/>
            <w:vAlign w:val="bottom"/>
          </w:tcPr>
          <w:p>
            <w:pPr>
              <w:jc w:val="right"/>
              <w:ind w:right="53"/>
              <w:spacing w:after="0"/>
              <w:rPr>
                <w:sz w:val="20"/>
                <w:szCs w:val="20"/>
                <w:color w:val="auto"/>
              </w:rPr>
            </w:pPr>
            <w:r>
              <w:rPr>
                <w:rFonts w:ascii="Arial" w:cs="Arial" w:eastAsia="Arial" w:hAnsi="Arial"/>
                <w:sz w:val="14"/>
                <w:szCs w:val="14"/>
                <w:color w:val="auto"/>
                <w:w w:val="88"/>
              </w:rPr>
              <w:t>Volume</w:t>
            </w:r>
          </w:p>
        </w:tc>
        <w:tc>
          <w:tcPr>
            <w:tcW w:w="680" w:type="dxa"/>
            <w:vAlign w:val="bottom"/>
          </w:tcPr>
          <w:p>
            <w:pPr>
              <w:jc w:val="right"/>
              <w:ind w:right="73"/>
              <w:spacing w:after="0"/>
              <w:rPr>
                <w:sz w:val="20"/>
                <w:szCs w:val="20"/>
                <w:color w:val="auto"/>
              </w:rPr>
            </w:pPr>
            <w:r>
              <w:rPr>
                <w:rFonts w:ascii="Arial" w:cs="Arial" w:eastAsia="Arial" w:hAnsi="Arial"/>
                <w:sz w:val="14"/>
                <w:szCs w:val="14"/>
                <w:color w:val="auto"/>
              </w:rPr>
              <w:t>per S/D</w:t>
            </w:r>
          </w:p>
        </w:tc>
        <w:tc>
          <w:tcPr>
            <w:tcW w:w="840" w:type="dxa"/>
            <w:vAlign w:val="bottom"/>
          </w:tcPr>
          <w:p>
            <w:pPr>
              <w:jc w:val="right"/>
              <w:ind w:right="233"/>
              <w:spacing w:after="0"/>
              <w:rPr>
                <w:sz w:val="20"/>
                <w:szCs w:val="20"/>
                <w:color w:val="auto"/>
              </w:rPr>
            </w:pPr>
            <w:r>
              <w:rPr>
                <w:rFonts w:ascii="Arial" w:cs="Arial" w:eastAsia="Arial" w:hAnsi="Arial"/>
                <w:sz w:val="14"/>
                <w:szCs w:val="14"/>
                <w:color w:val="auto"/>
              </w:rPr>
              <w:t>2011</w:t>
            </w:r>
          </w:p>
        </w:tc>
        <w:tc>
          <w:tcPr>
            <w:tcW w:w="860" w:type="dxa"/>
            <w:vAlign w:val="bottom"/>
          </w:tcPr>
          <w:p>
            <w:pPr>
              <w:jc w:val="right"/>
              <w:ind w:right="253"/>
              <w:spacing w:after="0"/>
              <w:rPr>
                <w:sz w:val="20"/>
                <w:szCs w:val="20"/>
                <w:color w:val="auto"/>
              </w:rPr>
            </w:pPr>
            <w:r>
              <w:rPr>
                <w:rFonts w:ascii="Arial" w:cs="Arial" w:eastAsia="Arial" w:hAnsi="Arial"/>
                <w:sz w:val="14"/>
                <w:szCs w:val="14"/>
                <w:color w:val="auto"/>
              </w:rPr>
              <w:t>2010</w:t>
            </w:r>
          </w:p>
        </w:tc>
        <w:tc>
          <w:tcPr>
            <w:tcW w:w="620" w:type="dxa"/>
            <w:vAlign w:val="bottom"/>
            <w:gridSpan w:val="2"/>
          </w:tcPr>
          <w:p>
            <w:pPr>
              <w:jc w:val="center"/>
              <w:ind w:right="80"/>
              <w:spacing w:after="0"/>
              <w:rPr>
                <w:sz w:val="20"/>
                <w:szCs w:val="20"/>
                <w:color w:val="auto"/>
              </w:rPr>
            </w:pPr>
            <w:r>
              <w:rPr>
                <w:rFonts w:ascii="Arial" w:cs="Arial" w:eastAsia="Arial" w:hAnsi="Arial"/>
                <w:sz w:val="14"/>
                <w:szCs w:val="14"/>
                <w:color w:val="auto"/>
                <w:w w:val="88"/>
              </w:rPr>
              <w:t>Volume</w:t>
            </w:r>
          </w:p>
        </w:tc>
      </w:tr>
      <w:tr>
        <w:trPr>
          <w:trHeight w:val="210"/>
        </w:trPr>
        <w:tc>
          <w:tcPr>
            <w:tcW w:w="20" w:type="dxa"/>
            <w:vAlign w:val="bottom"/>
          </w:tcPr>
          <w:p>
            <w:pPr>
              <w:spacing w:after="0"/>
              <w:rPr>
                <w:sz w:val="18"/>
                <w:szCs w:val="18"/>
                <w:color w:val="auto"/>
              </w:rPr>
            </w:pPr>
          </w:p>
        </w:tc>
        <w:tc>
          <w:tcPr>
            <w:tcW w:w="4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Selling Days (S/D)</w:t>
            </w:r>
          </w:p>
        </w:tc>
        <w:tc>
          <w:tcPr>
            <w:tcW w:w="24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24</w:t>
            </w:r>
          </w:p>
        </w:tc>
        <w:tc>
          <w:tcPr>
            <w:tcW w:w="9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24</w:t>
            </w: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Enclave</w:t>
            </w:r>
          </w:p>
        </w:tc>
        <w:tc>
          <w:tcPr>
            <w:tcW w:w="2460" w:type="dxa"/>
            <w:vAlign w:val="bottom"/>
          </w:tcPr>
          <w:p>
            <w:pPr>
              <w:jc w:val="right"/>
              <w:ind w:right="53"/>
              <w:spacing w:after="0"/>
              <w:rPr>
                <w:sz w:val="20"/>
                <w:szCs w:val="20"/>
                <w:color w:val="auto"/>
              </w:rPr>
            </w:pPr>
            <w:r>
              <w:rPr>
                <w:rFonts w:ascii="Arial" w:cs="Arial" w:eastAsia="Arial" w:hAnsi="Arial"/>
                <w:sz w:val="18"/>
                <w:szCs w:val="18"/>
                <w:color w:val="auto"/>
              </w:rPr>
              <w:t>5,199</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3,778</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37.6</w:t>
            </w: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37.6</w:t>
            </w: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9,546</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7,853</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21.6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LaCrosse</w:t>
            </w:r>
          </w:p>
        </w:tc>
        <w:tc>
          <w:tcPr>
            <w:tcW w:w="24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4,329</w:t>
            </w: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4,045</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7.0</w:t>
            </w: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7.0</w:t>
            </w: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8,100</w:t>
            </w: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8,291</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Lucerne</w:t>
            </w:r>
          </w:p>
        </w:tc>
        <w:tc>
          <w:tcPr>
            <w:tcW w:w="2460" w:type="dxa"/>
            <w:vAlign w:val="bottom"/>
          </w:tcPr>
          <w:p>
            <w:pPr>
              <w:jc w:val="right"/>
              <w:ind w:right="53"/>
              <w:spacing w:after="0"/>
              <w:rPr>
                <w:sz w:val="20"/>
                <w:szCs w:val="20"/>
                <w:color w:val="auto"/>
              </w:rPr>
            </w:pPr>
            <w:r>
              <w:rPr>
                <w:rFonts w:ascii="Arial" w:cs="Arial" w:eastAsia="Arial" w:hAnsi="Arial"/>
                <w:sz w:val="18"/>
                <w:szCs w:val="18"/>
                <w:color w:val="auto"/>
              </w:rPr>
              <w:t>2,574</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1,298</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98.3</w:t>
            </w: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98.3</w:t>
            </w: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5,390</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3,038</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77.4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Regal</w:t>
            </w:r>
          </w:p>
        </w:tc>
        <w:tc>
          <w:tcPr>
            <w:tcW w:w="24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3,705</w:t>
            </w: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6,040</w:t>
            </w: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Buick Total</w:t>
            </w:r>
          </w:p>
        </w:tc>
        <w:tc>
          <w:tcPr>
            <w:tcW w:w="24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15,807</w:t>
            </w:r>
          </w:p>
        </w:tc>
        <w:tc>
          <w:tcPr>
            <w:tcW w:w="9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9,121</w:t>
            </w: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73.3</w:t>
            </w: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73.3</w:t>
            </w: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29,076</w:t>
            </w:r>
          </w:p>
        </w:tc>
        <w:tc>
          <w:tcPr>
            <w:tcW w:w="8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19,182</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51.6</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CTS</w:t>
            </w:r>
          </w:p>
        </w:tc>
        <w:tc>
          <w:tcPr>
            <w:tcW w:w="24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6,033</w:t>
            </w: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2,690</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7"/>
              </w:rPr>
              <w:t>124.3</w:t>
            </w: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124.3</w:t>
            </w: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10,395</w:t>
            </w: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5,255</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97.8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DTS</w:t>
            </w:r>
          </w:p>
        </w:tc>
        <w:tc>
          <w:tcPr>
            <w:tcW w:w="2460" w:type="dxa"/>
            <w:vAlign w:val="bottom"/>
          </w:tcPr>
          <w:p>
            <w:pPr>
              <w:jc w:val="right"/>
              <w:ind w:right="53"/>
              <w:spacing w:after="0"/>
              <w:rPr>
                <w:sz w:val="20"/>
                <w:szCs w:val="20"/>
                <w:color w:val="auto"/>
              </w:rPr>
            </w:pPr>
            <w:r>
              <w:rPr>
                <w:rFonts w:ascii="Arial" w:cs="Arial" w:eastAsia="Arial" w:hAnsi="Arial"/>
                <w:sz w:val="18"/>
                <w:szCs w:val="18"/>
                <w:color w:val="auto"/>
              </w:rPr>
              <w:t>1,512</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611</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w w:val="97"/>
              </w:rPr>
              <w:t>147.5</w:t>
            </w: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147.5</w:t>
            </w: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2,877</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1,229</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134.1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Escalade</w:t>
            </w:r>
          </w:p>
        </w:tc>
        <w:tc>
          <w:tcPr>
            <w:tcW w:w="24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1,279</w:t>
            </w: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1,418</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-9.8</w:t>
            </w: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-9.8</w:t>
            </w: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2,793</w:t>
            </w: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2,655</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Escalade ESV</w:t>
            </w:r>
          </w:p>
        </w:tc>
        <w:tc>
          <w:tcPr>
            <w:tcW w:w="2460" w:type="dxa"/>
            <w:vAlign w:val="bottom"/>
          </w:tcPr>
          <w:p>
            <w:pPr>
              <w:jc w:val="right"/>
              <w:ind w:right="53"/>
              <w:spacing w:after="0"/>
              <w:rPr>
                <w:sz w:val="20"/>
                <w:szCs w:val="20"/>
                <w:color w:val="auto"/>
              </w:rPr>
            </w:pPr>
            <w:r>
              <w:rPr>
                <w:rFonts w:ascii="Arial" w:cs="Arial" w:eastAsia="Arial" w:hAnsi="Arial"/>
                <w:sz w:val="18"/>
                <w:szCs w:val="18"/>
                <w:color w:val="auto"/>
              </w:rPr>
              <w:t>756</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552</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37.0</w:t>
            </w: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37.0</w:t>
            </w: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1,348</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948</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42.2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Escalade EXT</w:t>
            </w:r>
          </w:p>
        </w:tc>
        <w:tc>
          <w:tcPr>
            <w:tcW w:w="24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167</w:t>
            </w: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102</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63.7</w:t>
            </w: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63.7</w:t>
            </w: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320</w:t>
            </w: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223</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43.5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SRX</w:t>
            </w:r>
          </w:p>
        </w:tc>
        <w:tc>
          <w:tcPr>
            <w:tcW w:w="2460" w:type="dxa"/>
            <w:vAlign w:val="bottom"/>
          </w:tcPr>
          <w:p>
            <w:pPr>
              <w:jc w:val="right"/>
              <w:ind w:right="53"/>
              <w:spacing w:after="0"/>
              <w:rPr>
                <w:sz w:val="20"/>
                <w:szCs w:val="20"/>
                <w:color w:val="auto"/>
              </w:rPr>
            </w:pPr>
            <w:r>
              <w:rPr>
                <w:rFonts w:ascii="Arial" w:cs="Arial" w:eastAsia="Arial" w:hAnsi="Arial"/>
                <w:sz w:val="18"/>
                <w:szCs w:val="18"/>
                <w:color w:val="auto"/>
              </w:rPr>
              <w:t>5,502</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3,542</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55.3</w:t>
            </w: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55.3</w:t>
            </w: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9,738</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6,776</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43.7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STS</w:t>
            </w:r>
          </w:p>
        </w:tc>
        <w:tc>
          <w:tcPr>
            <w:tcW w:w="24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519</w:t>
            </w: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332</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56.3</w:t>
            </w: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56.3</w:t>
            </w: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878</w:t>
            </w: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565</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XLR</w:t>
            </w:r>
          </w:p>
        </w:tc>
        <w:tc>
          <w:tcPr>
            <w:tcW w:w="2460" w:type="dxa"/>
            <w:vAlign w:val="bottom"/>
          </w:tcPr>
          <w:p>
            <w:pPr>
              <w:jc w:val="right"/>
              <w:ind w:right="53"/>
              <w:spacing w:after="0"/>
              <w:rPr>
                <w:sz w:val="20"/>
                <w:szCs w:val="20"/>
                <w:color w:val="auto"/>
              </w:rPr>
            </w:pPr>
            <w:r>
              <w:rPr>
                <w:rFonts w:ascii="Arial" w:cs="Arial" w:eastAsia="Arial" w:hAnsi="Arial"/>
                <w:sz w:val="18"/>
                <w:szCs w:val="18"/>
                <w:color w:val="auto"/>
              </w:rPr>
              <w:t>0</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26</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-1</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62</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Cadillac Total</w:t>
            </w:r>
          </w:p>
        </w:tc>
        <w:tc>
          <w:tcPr>
            <w:tcW w:w="24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15,768</w:t>
            </w:r>
          </w:p>
        </w:tc>
        <w:tc>
          <w:tcPr>
            <w:tcW w:w="9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9,273</w:t>
            </w:r>
          </w:p>
        </w:tc>
        <w:tc>
          <w:tcPr>
            <w:tcW w:w="5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70.0</w:t>
            </w:r>
          </w:p>
        </w:tc>
        <w:tc>
          <w:tcPr>
            <w:tcW w:w="6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70.0</w:t>
            </w:r>
          </w:p>
        </w:tc>
        <w:tc>
          <w:tcPr>
            <w:tcW w:w="8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28,348</w:t>
            </w:r>
          </w:p>
        </w:tc>
        <w:tc>
          <w:tcPr>
            <w:tcW w:w="8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17,713</w:t>
            </w: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60.0</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Avalanche</w:t>
            </w:r>
          </w:p>
        </w:tc>
        <w:tc>
          <w:tcPr>
            <w:tcW w:w="2460" w:type="dxa"/>
            <w:vAlign w:val="bottom"/>
          </w:tcPr>
          <w:p>
            <w:pPr>
              <w:jc w:val="right"/>
              <w:ind w:right="53"/>
              <w:spacing w:after="0"/>
              <w:rPr>
                <w:sz w:val="20"/>
                <w:szCs w:val="20"/>
                <w:color w:val="auto"/>
              </w:rPr>
            </w:pPr>
            <w:r>
              <w:rPr>
                <w:rFonts w:ascii="Arial" w:cs="Arial" w:eastAsia="Arial" w:hAnsi="Arial"/>
                <w:sz w:val="18"/>
                <w:szCs w:val="18"/>
                <w:color w:val="auto"/>
              </w:rPr>
              <w:t>1,414</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1,029</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37.4</w:t>
            </w: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37.4</w:t>
            </w: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2,811</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2,401</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Aveo</w:t>
            </w:r>
          </w:p>
        </w:tc>
        <w:tc>
          <w:tcPr>
            <w:tcW w:w="24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2,760</w:t>
            </w: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2,062</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33.9</w:t>
            </w: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33.9</w:t>
            </w: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5,499</w:t>
            </w: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4,105</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Camaro</w:t>
            </w:r>
          </w:p>
        </w:tc>
        <w:tc>
          <w:tcPr>
            <w:tcW w:w="2460" w:type="dxa"/>
            <w:vAlign w:val="bottom"/>
          </w:tcPr>
          <w:p>
            <w:pPr>
              <w:jc w:val="right"/>
              <w:ind w:right="53"/>
              <w:spacing w:after="0"/>
              <w:rPr>
                <w:sz w:val="20"/>
                <w:szCs w:val="20"/>
                <w:color w:val="auto"/>
              </w:rPr>
            </w:pPr>
            <w:r>
              <w:rPr>
                <w:rFonts w:ascii="Arial" w:cs="Arial" w:eastAsia="Arial" w:hAnsi="Arial"/>
                <w:sz w:val="18"/>
                <w:szCs w:val="18"/>
                <w:color w:val="auto"/>
              </w:rPr>
              <w:t>6,245</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6,482</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-3.7</w:t>
            </w: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-3.7</w:t>
            </w: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11,008</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11,853</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Chevy C/T Series</w:t>
            </w:r>
          </w:p>
        </w:tc>
        <w:tc>
          <w:tcPr>
            <w:tcW w:w="24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w:t>
            </w: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Chevy W Series</w:t>
            </w:r>
          </w:p>
        </w:tc>
        <w:tc>
          <w:tcPr>
            <w:tcW w:w="2460" w:type="dxa"/>
            <w:vAlign w:val="bottom"/>
          </w:tcPr>
          <w:p>
            <w:pPr>
              <w:jc w:val="right"/>
              <w:ind w:right="53"/>
              <w:spacing w:after="0"/>
              <w:rPr>
                <w:sz w:val="20"/>
                <w:szCs w:val="20"/>
                <w:color w:val="auto"/>
              </w:rPr>
            </w:pPr>
            <w:r>
              <w:rPr>
                <w:rFonts w:ascii="Arial" w:cs="Arial" w:eastAsia="Arial" w:hAnsi="Arial"/>
                <w:sz w:val="18"/>
                <w:szCs w:val="18"/>
                <w:color w:val="auto"/>
              </w:rPr>
              <w:t>0</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30</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67</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Cobalt</w:t>
            </w:r>
          </w:p>
        </w:tc>
        <w:tc>
          <w:tcPr>
            <w:tcW w:w="24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153</w:t>
            </w: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14,101</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-98.9</w:t>
            </w: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-98.9</w:t>
            </w: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559</w:t>
            </w: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27,063</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-97.9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Colorado</w:t>
            </w:r>
          </w:p>
        </w:tc>
        <w:tc>
          <w:tcPr>
            <w:tcW w:w="2460" w:type="dxa"/>
            <w:vAlign w:val="bottom"/>
          </w:tcPr>
          <w:p>
            <w:pPr>
              <w:jc w:val="right"/>
              <w:ind w:right="53"/>
              <w:spacing w:after="0"/>
              <w:rPr>
                <w:sz w:val="20"/>
                <w:szCs w:val="20"/>
                <w:color w:val="auto"/>
              </w:rPr>
            </w:pPr>
            <w:r>
              <w:rPr>
                <w:rFonts w:ascii="Arial" w:cs="Arial" w:eastAsia="Arial" w:hAnsi="Arial"/>
                <w:sz w:val="18"/>
                <w:szCs w:val="18"/>
                <w:color w:val="auto"/>
              </w:rPr>
              <w:t>2,606</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1,247</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w w:val="97"/>
              </w:rPr>
              <w:t>109.0</w:t>
            </w: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109.0</w:t>
            </w: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4,810</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3,186</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51.0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Corvette</w:t>
            </w:r>
          </w:p>
        </w:tc>
        <w:tc>
          <w:tcPr>
            <w:tcW w:w="24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955</w:t>
            </w: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624</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53.0</w:t>
            </w: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53.0</w:t>
            </w: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1,676</w:t>
            </w: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1,478</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Cruze</w:t>
            </w:r>
          </w:p>
        </w:tc>
        <w:tc>
          <w:tcPr>
            <w:tcW w:w="2460" w:type="dxa"/>
            <w:vAlign w:val="bottom"/>
          </w:tcPr>
          <w:p>
            <w:pPr>
              <w:jc w:val="right"/>
              <w:ind w:right="53"/>
              <w:spacing w:after="0"/>
              <w:rPr>
                <w:sz w:val="20"/>
                <w:szCs w:val="20"/>
                <w:color w:val="auto"/>
              </w:rPr>
            </w:pPr>
            <w:r>
              <w:rPr>
                <w:rFonts w:ascii="Arial" w:cs="Arial" w:eastAsia="Arial" w:hAnsi="Arial"/>
                <w:sz w:val="18"/>
                <w:szCs w:val="18"/>
                <w:color w:val="auto"/>
              </w:rPr>
              <w:t>18,556</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32,187</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Equinox</w:t>
            </w:r>
          </w:p>
        </w:tc>
        <w:tc>
          <w:tcPr>
            <w:tcW w:w="24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15,434</w:t>
            </w: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8,061</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91.5</w:t>
            </w: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91.5</w:t>
            </w: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28,281</w:t>
            </w: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17,574</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Express</w:t>
            </w:r>
          </w:p>
        </w:tc>
        <w:tc>
          <w:tcPr>
            <w:tcW w:w="2460" w:type="dxa"/>
            <w:vAlign w:val="bottom"/>
          </w:tcPr>
          <w:p>
            <w:pPr>
              <w:jc w:val="right"/>
              <w:ind w:right="53"/>
              <w:spacing w:after="0"/>
              <w:rPr>
                <w:sz w:val="20"/>
                <w:szCs w:val="20"/>
                <w:color w:val="auto"/>
              </w:rPr>
            </w:pPr>
            <w:r>
              <w:rPr>
                <w:rFonts w:ascii="Arial" w:cs="Arial" w:eastAsia="Arial" w:hAnsi="Arial"/>
                <w:sz w:val="18"/>
                <w:szCs w:val="18"/>
                <w:color w:val="auto"/>
              </w:rPr>
              <w:t>4,021</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3,899</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3.1</w:t>
            </w: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3.1</w:t>
            </w: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9,294</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6,661</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39.5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HHR</w:t>
            </w:r>
          </w:p>
        </w:tc>
        <w:tc>
          <w:tcPr>
            <w:tcW w:w="24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6,398</w:t>
            </w: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4,658</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37.4</w:t>
            </w: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37.4</w:t>
            </w: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13,785</w:t>
            </w: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10,110</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Impala</w:t>
            </w:r>
          </w:p>
        </w:tc>
        <w:tc>
          <w:tcPr>
            <w:tcW w:w="2460" w:type="dxa"/>
            <w:vAlign w:val="bottom"/>
          </w:tcPr>
          <w:p>
            <w:pPr>
              <w:jc w:val="right"/>
              <w:ind w:right="53"/>
              <w:spacing w:after="0"/>
              <w:rPr>
                <w:sz w:val="20"/>
                <w:szCs w:val="20"/>
                <w:color w:val="auto"/>
              </w:rPr>
            </w:pPr>
            <w:r>
              <w:rPr>
                <w:rFonts w:ascii="Arial" w:cs="Arial" w:eastAsia="Arial" w:hAnsi="Arial"/>
                <w:sz w:val="18"/>
                <w:szCs w:val="18"/>
                <w:color w:val="auto"/>
              </w:rPr>
              <w:t>16,290</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11,740</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38.8</w:t>
            </w: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38.8</w:t>
            </w: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31,478</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22,679</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38.8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Kodiak 4/5 Series</w:t>
            </w:r>
          </w:p>
        </w:tc>
        <w:tc>
          <w:tcPr>
            <w:tcW w:w="24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155</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w:t>
            </w: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293</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Kodiak 6/7/8 Series</w:t>
            </w:r>
          </w:p>
        </w:tc>
        <w:tc>
          <w:tcPr>
            <w:tcW w:w="2460" w:type="dxa"/>
            <w:vAlign w:val="bottom"/>
          </w:tcPr>
          <w:p>
            <w:pPr>
              <w:jc w:val="right"/>
              <w:ind w:right="53"/>
              <w:spacing w:after="0"/>
              <w:rPr>
                <w:sz w:val="20"/>
                <w:szCs w:val="20"/>
                <w:color w:val="auto"/>
              </w:rPr>
            </w:pPr>
            <w:r>
              <w:rPr>
                <w:rFonts w:ascii="Arial" w:cs="Arial" w:eastAsia="Arial" w:hAnsi="Arial"/>
                <w:sz w:val="18"/>
                <w:szCs w:val="18"/>
                <w:color w:val="auto"/>
              </w:rPr>
              <w:t>0</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17</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36</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Malibu</w:t>
            </w:r>
          </w:p>
        </w:tc>
        <w:tc>
          <w:tcPr>
            <w:tcW w:w="24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19,092</w:t>
            </w: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15,150</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26.0</w:t>
            </w: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26.0</w:t>
            </w: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33,194</w:t>
            </w: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31,589</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Silverado-C/K Pickup</w:t>
            </w:r>
          </w:p>
        </w:tc>
        <w:tc>
          <w:tcPr>
            <w:tcW w:w="2460" w:type="dxa"/>
            <w:vAlign w:val="bottom"/>
          </w:tcPr>
          <w:p>
            <w:pPr>
              <w:jc w:val="right"/>
              <w:ind w:right="53"/>
              <w:spacing w:after="0"/>
              <w:rPr>
                <w:sz w:val="20"/>
                <w:szCs w:val="20"/>
                <w:color w:val="auto"/>
              </w:rPr>
            </w:pPr>
            <w:r>
              <w:rPr>
                <w:rFonts w:ascii="Arial" w:cs="Arial" w:eastAsia="Arial" w:hAnsi="Arial"/>
                <w:sz w:val="18"/>
                <w:szCs w:val="18"/>
                <w:color w:val="auto"/>
              </w:rPr>
              <w:t>31,728</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19,822</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60.1</w:t>
            </w: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60.1</w:t>
            </w: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59,900</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42,594</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40.6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Suburban (Chevy)</w:t>
            </w:r>
          </w:p>
        </w:tc>
        <w:tc>
          <w:tcPr>
            <w:tcW w:w="24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2,383</w:t>
            </w: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1,680</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41.8</w:t>
            </w: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41.8</w:t>
            </w: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4,726</w:t>
            </w: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3,995</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Tahoe</w:t>
            </w:r>
          </w:p>
        </w:tc>
        <w:tc>
          <w:tcPr>
            <w:tcW w:w="2460" w:type="dxa"/>
            <w:vAlign w:val="bottom"/>
          </w:tcPr>
          <w:p>
            <w:pPr>
              <w:jc w:val="right"/>
              <w:ind w:right="53"/>
              <w:spacing w:after="0"/>
              <w:rPr>
                <w:sz w:val="20"/>
                <w:szCs w:val="20"/>
                <w:color w:val="auto"/>
              </w:rPr>
            </w:pPr>
            <w:r>
              <w:rPr>
                <w:rFonts w:ascii="Arial" w:cs="Arial" w:eastAsia="Arial" w:hAnsi="Arial"/>
                <w:sz w:val="18"/>
                <w:szCs w:val="18"/>
                <w:color w:val="auto"/>
              </w:rPr>
              <w:t>5,068</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3,325</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52.4</w:t>
            </w: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52.4</w:t>
            </w: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10,349</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7,881</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31.3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TrailBlazer</w:t>
            </w:r>
          </w:p>
        </w:tc>
        <w:tc>
          <w:tcPr>
            <w:tcW w:w="24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w:t>
            </w: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22</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-90.9</w:t>
            </w: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-90.9</w:t>
            </w: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w:t>
            </w: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88</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Traverse</w:t>
            </w:r>
          </w:p>
        </w:tc>
        <w:tc>
          <w:tcPr>
            <w:tcW w:w="2460" w:type="dxa"/>
            <w:vAlign w:val="bottom"/>
          </w:tcPr>
          <w:p>
            <w:pPr>
              <w:jc w:val="right"/>
              <w:ind w:right="53"/>
              <w:spacing w:after="0"/>
              <w:rPr>
                <w:sz w:val="20"/>
                <w:szCs w:val="20"/>
                <w:color w:val="auto"/>
              </w:rPr>
            </w:pPr>
            <w:r>
              <w:rPr>
                <w:rFonts w:ascii="Arial" w:cs="Arial" w:eastAsia="Arial" w:hAnsi="Arial"/>
                <w:sz w:val="18"/>
                <w:szCs w:val="18"/>
                <w:color w:val="auto"/>
              </w:rPr>
              <w:t>9,533</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5,882</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62.1</w:t>
            </w: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62.1</w:t>
            </w: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18,138</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11,606</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56.3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Uplander</w:t>
            </w:r>
          </w:p>
        </w:tc>
        <w:tc>
          <w:tcPr>
            <w:tcW w:w="24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13</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w:t>
            </w: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33</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Volt</w:t>
            </w:r>
          </w:p>
        </w:tc>
        <w:tc>
          <w:tcPr>
            <w:tcW w:w="2460" w:type="dxa"/>
            <w:vAlign w:val="bottom"/>
          </w:tcPr>
          <w:p>
            <w:pPr>
              <w:jc w:val="right"/>
              <w:ind w:right="53"/>
              <w:spacing w:after="0"/>
              <w:rPr>
                <w:sz w:val="20"/>
                <w:szCs w:val="20"/>
                <w:color w:val="auto"/>
              </w:rPr>
            </w:pPr>
            <w:r>
              <w:rPr>
                <w:rFonts w:ascii="Arial" w:cs="Arial" w:eastAsia="Arial" w:hAnsi="Arial"/>
                <w:sz w:val="18"/>
                <w:szCs w:val="18"/>
                <w:color w:val="auto"/>
              </w:rPr>
              <w:t>281</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0</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602</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0</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Chevrolet Total</w:t>
            </w:r>
          </w:p>
        </w:tc>
        <w:tc>
          <w:tcPr>
            <w:tcW w:w="24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142,919</w:t>
            </w:r>
          </w:p>
        </w:tc>
        <w:tc>
          <w:tcPr>
            <w:tcW w:w="9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99,999</w:t>
            </w:r>
          </w:p>
        </w:tc>
        <w:tc>
          <w:tcPr>
            <w:tcW w:w="5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42.9</w:t>
            </w:r>
          </w:p>
        </w:tc>
        <w:tc>
          <w:tcPr>
            <w:tcW w:w="6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42.9</w:t>
            </w:r>
          </w:p>
        </w:tc>
        <w:tc>
          <w:tcPr>
            <w:tcW w:w="8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268,308</w:t>
            </w:r>
          </w:p>
        </w:tc>
        <w:tc>
          <w:tcPr>
            <w:tcW w:w="8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205,293</w:t>
            </w: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30.7</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Acadia</w:t>
            </w:r>
          </w:p>
        </w:tc>
        <w:tc>
          <w:tcPr>
            <w:tcW w:w="2460" w:type="dxa"/>
            <w:vAlign w:val="bottom"/>
          </w:tcPr>
          <w:p>
            <w:pPr>
              <w:jc w:val="right"/>
              <w:ind w:right="53"/>
              <w:spacing w:after="0"/>
              <w:rPr>
                <w:sz w:val="20"/>
                <w:szCs w:val="20"/>
                <w:color w:val="auto"/>
              </w:rPr>
            </w:pPr>
            <w:r>
              <w:rPr>
                <w:rFonts w:ascii="Arial" w:cs="Arial" w:eastAsia="Arial" w:hAnsi="Arial"/>
                <w:sz w:val="18"/>
                <w:szCs w:val="18"/>
                <w:color w:val="auto"/>
              </w:rPr>
              <w:t>7,547</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6,478</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16.5</w:t>
            </w: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16.5</w:t>
            </w: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13,270</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11,938</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Canyon</w:t>
            </w:r>
          </w:p>
        </w:tc>
        <w:tc>
          <w:tcPr>
            <w:tcW w:w="24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765</w:t>
            </w: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510</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50.0</w:t>
            </w: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50.0</w:t>
            </w: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1,459</w:t>
            </w: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1,210</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Envoy</w:t>
            </w:r>
          </w:p>
        </w:tc>
        <w:tc>
          <w:tcPr>
            <w:tcW w:w="2460" w:type="dxa"/>
            <w:vAlign w:val="bottom"/>
          </w:tcPr>
          <w:p>
            <w:pPr>
              <w:jc w:val="right"/>
              <w:ind w:right="53"/>
              <w:spacing w:after="0"/>
              <w:rPr>
                <w:sz w:val="20"/>
                <w:szCs w:val="20"/>
                <w:color w:val="auto"/>
              </w:rPr>
            </w:pPr>
            <w:r>
              <w:rPr>
                <w:rFonts w:ascii="Arial" w:cs="Arial" w:eastAsia="Arial" w:hAnsi="Arial"/>
                <w:sz w:val="18"/>
                <w:szCs w:val="18"/>
                <w:color w:val="auto"/>
              </w:rPr>
              <w:t>0</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6</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1</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34</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-97.1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GMC C/T Series</w:t>
            </w:r>
          </w:p>
        </w:tc>
        <w:tc>
          <w:tcPr>
            <w:tcW w:w="24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21</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w:t>
            </w: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29</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GMC W Series</w:t>
            </w:r>
          </w:p>
        </w:tc>
        <w:tc>
          <w:tcPr>
            <w:tcW w:w="2460" w:type="dxa"/>
            <w:vAlign w:val="bottom"/>
          </w:tcPr>
          <w:p>
            <w:pPr>
              <w:jc w:val="right"/>
              <w:ind w:right="53"/>
              <w:spacing w:after="0"/>
              <w:rPr>
                <w:sz w:val="20"/>
                <w:szCs w:val="20"/>
                <w:color w:val="auto"/>
              </w:rPr>
            </w:pPr>
            <w:r>
              <w:rPr>
                <w:rFonts w:ascii="Arial" w:cs="Arial" w:eastAsia="Arial" w:hAnsi="Arial"/>
                <w:sz w:val="18"/>
                <w:szCs w:val="18"/>
                <w:color w:val="auto"/>
              </w:rPr>
              <w:t>0</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27</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105</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Savana</w:t>
            </w:r>
          </w:p>
        </w:tc>
        <w:tc>
          <w:tcPr>
            <w:tcW w:w="24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673</w:t>
            </w: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720</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-6.5</w:t>
            </w: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-6.5</w:t>
            </w: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1,391</w:t>
            </w: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1,222</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Sierra</w:t>
            </w:r>
          </w:p>
        </w:tc>
        <w:tc>
          <w:tcPr>
            <w:tcW w:w="2460" w:type="dxa"/>
            <w:vAlign w:val="bottom"/>
          </w:tcPr>
          <w:p>
            <w:pPr>
              <w:jc w:val="right"/>
              <w:ind w:right="53"/>
              <w:spacing w:after="0"/>
              <w:rPr>
                <w:sz w:val="20"/>
                <w:szCs w:val="20"/>
                <w:color w:val="auto"/>
              </w:rPr>
            </w:pPr>
            <w:r>
              <w:rPr>
                <w:rFonts w:ascii="Arial" w:cs="Arial" w:eastAsia="Arial" w:hAnsi="Arial"/>
                <w:sz w:val="18"/>
                <w:szCs w:val="18"/>
                <w:color w:val="auto"/>
              </w:rPr>
              <w:t>11,696</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6,296</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85.8</w:t>
            </w: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85.8</w:t>
            </w: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22,323</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13,567</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64.5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Terrain</w:t>
            </w:r>
          </w:p>
        </w:tc>
        <w:tc>
          <w:tcPr>
            <w:tcW w:w="24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7,190</w:t>
            </w: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3,789</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89.8</w:t>
            </w: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89.8</w:t>
            </w: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13,559</w:t>
            </w: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8,091</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67.6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Topkick 4/5 Series</w:t>
            </w:r>
          </w:p>
        </w:tc>
        <w:tc>
          <w:tcPr>
            <w:tcW w:w="2460" w:type="dxa"/>
            <w:vAlign w:val="bottom"/>
          </w:tcPr>
          <w:p>
            <w:pPr>
              <w:jc w:val="right"/>
              <w:ind w:right="53"/>
              <w:spacing w:after="0"/>
              <w:rPr>
                <w:sz w:val="20"/>
                <w:szCs w:val="20"/>
                <w:color w:val="auto"/>
              </w:rPr>
            </w:pPr>
            <w:r>
              <w:rPr>
                <w:rFonts w:ascii="Arial" w:cs="Arial" w:eastAsia="Arial" w:hAnsi="Arial"/>
                <w:sz w:val="18"/>
                <w:szCs w:val="18"/>
                <w:color w:val="auto"/>
              </w:rPr>
              <w:t>0</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125</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0</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315</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Topkick 6/7/8 Series</w:t>
            </w:r>
          </w:p>
        </w:tc>
        <w:tc>
          <w:tcPr>
            <w:tcW w:w="24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41</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w:t>
            </w: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80</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Yukon</w:t>
            </w:r>
          </w:p>
        </w:tc>
        <w:tc>
          <w:tcPr>
            <w:tcW w:w="2460" w:type="dxa"/>
            <w:vAlign w:val="bottom"/>
          </w:tcPr>
          <w:p>
            <w:pPr>
              <w:jc w:val="right"/>
              <w:ind w:right="53"/>
              <w:spacing w:after="0"/>
              <w:rPr>
                <w:sz w:val="20"/>
                <w:szCs w:val="20"/>
                <w:color w:val="auto"/>
              </w:rPr>
            </w:pPr>
            <w:r>
              <w:rPr>
                <w:rFonts w:ascii="Arial" w:cs="Arial" w:eastAsia="Arial" w:hAnsi="Arial"/>
                <w:sz w:val="18"/>
                <w:szCs w:val="18"/>
                <w:color w:val="auto"/>
              </w:rPr>
              <w:t>2,817</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1,261</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w w:val="97"/>
              </w:rPr>
              <w:t>123.4</w:t>
            </w: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123.4</w:t>
            </w: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4,893</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2,764</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77.0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Yukon XL</w:t>
            </w:r>
          </w:p>
        </w:tc>
        <w:tc>
          <w:tcPr>
            <w:tcW w:w="24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1,846</w:t>
            </w: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1,182</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56.2</w:t>
            </w: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56.2</w:t>
            </w: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3,296</w:t>
            </w: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2,404</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GMC Total</w:t>
            </w:r>
          </w:p>
        </w:tc>
        <w:tc>
          <w:tcPr>
            <w:tcW w:w="24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32,534</w:t>
            </w:r>
          </w:p>
        </w:tc>
        <w:tc>
          <w:tcPr>
            <w:tcW w:w="9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20,456</w:t>
            </w: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59.0</w:t>
            </w: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59.0</w:t>
            </w: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60,192</w:t>
            </w:r>
          </w:p>
        </w:tc>
        <w:tc>
          <w:tcPr>
            <w:tcW w:w="8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41,759</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44.1</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Brand Total</w:t>
            </w:r>
          </w:p>
        </w:tc>
        <w:tc>
          <w:tcPr>
            <w:tcW w:w="24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207,028</w:t>
            </w:r>
          </w:p>
        </w:tc>
        <w:tc>
          <w:tcPr>
            <w:tcW w:w="9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138,849</w:t>
            </w:r>
          </w:p>
        </w:tc>
        <w:tc>
          <w:tcPr>
            <w:tcW w:w="5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49.1</w:t>
            </w:r>
          </w:p>
        </w:tc>
        <w:tc>
          <w:tcPr>
            <w:tcW w:w="6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49.1</w:t>
            </w:r>
          </w:p>
        </w:tc>
        <w:tc>
          <w:tcPr>
            <w:tcW w:w="8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385,924</w:t>
            </w:r>
          </w:p>
        </w:tc>
        <w:tc>
          <w:tcPr>
            <w:tcW w:w="8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283,947</w:t>
            </w: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35.9</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HUMMER Total</w:t>
            </w:r>
          </w:p>
        </w:tc>
        <w:tc>
          <w:tcPr>
            <w:tcW w:w="24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0</w:t>
            </w:r>
          </w:p>
        </w:tc>
        <w:tc>
          <w:tcPr>
            <w:tcW w:w="9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296</w:t>
            </w: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0</w:t>
            </w:r>
          </w:p>
        </w:tc>
        <w:tc>
          <w:tcPr>
            <w:tcW w:w="8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561</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Pontiac Total</w:t>
            </w:r>
          </w:p>
        </w:tc>
        <w:tc>
          <w:tcPr>
            <w:tcW w:w="24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0</w:t>
            </w:r>
          </w:p>
        </w:tc>
        <w:tc>
          <w:tcPr>
            <w:tcW w:w="9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84</w:t>
            </w:r>
          </w:p>
        </w:tc>
        <w:tc>
          <w:tcPr>
            <w:tcW w:w="5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0</w:t>
            </w:r>
          </w:p>
        </w:tc>
        <w:tc>
          <w:tcPr>
            <w:tcW w:w="8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473</w:t>
            </w: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Saab Total</w:t>
            </w:r>
          </w:p>
        </w:tc>
        <w:tc>
          <w:tcPr>
            <w:tcW w:w="24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0</w:t>
            </w:r>
          </w:p>
        </w:tc>
        <w:tc>
          <w:tcPr>
            <w:tcW w:w="9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97</w:t>
            </w: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0</w:t>
            </w:r>
          </w:p>
        </w:tc>
        <w:tc>
          <w:tcPr>
            <w:tcW w:w="8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608</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Saturn Total</w:t>
            </w:r>
          </w:p>
        </w:tc>
        <w:tc>
          <w:tcPr>
            <w:tcW w:w="24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0</w:t>
            </w:r>
          </w:p>
        </w:tc>
        <w:tc>
          <w:tcPr>
            <w:tcW w:w="9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2,625</w:t>
            </w:r>
          </w:p>
        </w:tc>
        <w:tc>
          <w:tcPr>
            <w:tcW w:w="5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0</w:t>
            </w:r>
          </w:p>
        </w:tc>
        <w:tc>
          <w:tcPr>
            <w:tcW w:w="8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3,187</w:t>
            </w: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Brand Total</w:t>
            </w:r>
          </w:p>
        </w:tc>
        <w:tc>
          <w:tcPr>
            <w:tcW w:w="24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0</w:t>
            </w:r>
          </w:p>
        </w:tc>
        <w:tc>
          <w:tcPr>
            <w:tcW w:w="9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3,102</w:t>
            </w: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0</w:t>
            </w:r>
          </w:p>
        </w:tc>
        <w:tc>
          <w:tcPr>
            <w:tcW w:w="8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4,829</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GM Vehicle Total</w:t>
            </w:r>
          </w:p>
        </w:tc>
        <w:tc>
          <w:tcPr>
            <w:tcW w:w="24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207,028</w:t>
            </w:r>
          </w:p>
        </w:tc>
        <w:tc>
          <w:tcPr>
            <w:tcW w:w="9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141,951</w:t>
            </w:r>
          </w:p>
        </w:tc>
        <w:tc>
          <w:tcPr>
            <w:tcW w:w="5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45.8</w:t>
            </w:r>
          </w:p>
        </w:tc>
        <w:tc>
          <w:tcPr>
            <w:tcW w:w="6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45.8</w:t>
            </w:r>
          </w:p>
        </w:tc>
        <w:tc>
          <w:tcPr>
            <w:tcW w:w="8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385,924</w:t>
            </w:r>
          </w:p>
        </w:tc>
        <w:tc>
          <w:tcPr>
            <w:tcW w:w="8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288,776</w:t>
            </w: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33.6</w:t>
            </w:r>
          </w:p>
        </w:tc>
        <w:tc>
          <w:tcPr>
            <w:tcW w:w="20" w:type="dxa"/>
            <w:vAlign w:val="bottom"/>
          </w:tcPr>
          <w:p>
            <w:pPr>
              <w:spacing w:after="0"/>
              <w:rPr>
                <w:sz w:val="18"/>
                <w:szCs w:val="18"/>
                <w:color w:val="auto"/>
              </w:rPr>
            </w:pPr>
          </w:p>
        </w:tc>
      </w:tr>
      <w:tr>
        <w:trPr>
          <w:trHeight w:val="356"/>
        </w:trPr>
        <w:tc>
          <w:tcPr>
            <w:tcW w:w="4500" w:type="dxa"/>
            <w:vAlign w:val="bottom"/>
            <w:gridSpan w:val="2"/>
          </w:tcPr>
          <w:p>
            <w:pPr>
              <w:spacing w:after="0"/>
              <w:rPr>
                <w:sz w:val="20"/>
                <w:szCs w:val="20"/>
                <w:color w:val="auto"/>
              </w:rPr>
            </w:pPr>
            <w:r>
              <w:rPr>
                <w:rFonts w:ascii="Arial" w:cs="Arial" w:eastAsia="Arial" w:hAnsi="Arial"/>
                <w:sz w:val="18"/>
                <w:szCs w:val="18"/>
                <w:color w:val="auto"/>
              </w:rPr>
              <w:t>Sales Reporting and Data Management</w:t>
            </w:r>
          </w:p>
        </w:tc>
        <w:tc>
          <w:tcPr>
            <w:tcW w:w="2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80" w:type="dxa"/>
            <w:vAlign w:val="bottom"/>
            <w:gridSpan w:val="3"/>
          </w:tcPr>
          <w:p>
            <w:pPr>
              <w:ind w:left="660"/>
              <w:spacing w:after="0"/>
              <w:rPr>
                <w:sz w:val="20"/>
                <w:szCs w:val="20"/>
                <w:color w:val="auto"/>
              </w:rPr>
            </w:pPr>
            <w:r>
              <w:rPr>
                <w:rFonts w:ascii="Arial" w:cs="Arial" w:eastAsia="Arial" w:hAnsi="Arial"/>
                <w:sz w:val="18"/>
                <w:szCs w:val="18"/>
                <w:color w:val="auto"/>
                <w:w w:val="86"/>
              </w:rPr>
              <w:t>Page 2 of 2</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2019-12-11T09:12:37Z</dcterms:created>
  <dcterms:modified xsi:type="dcterms:W3CDTF">2019-12-11T09:12:37Z</dcterms:modified>
</cp:coreProperties>
</file>