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550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50150"/>
                    </a:xfrm>
                    <a:prstGeom prst="rect">
                      <a:avLst/>
                    </a:prstGeom>
                    <a:noFill/>
                  </pic:spPr>
                </pic:pic>
              </a:graphicData>
            </a:graphic>
          </wp:anchor>
        </w:drawing>
      </w:r>
    </w:p>
    <w:p>
      <w:pPr>
        <w:spacing w:after="0" w:line="103" w:lineRule="exact"/>
        <w:rPr>
          <w:sz w:val="24"/>
          <w:szCs w:val="24"/>
          <w:color w:val="auto"/>
        </w:rPr>
      </w:pPr>
    </w:p>
    <w:p>
      <w:pPr>
        <w:sectPr>
          <w:pgSz w:w="11900" w:h="16909"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909"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4,223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4,723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2,829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1,894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1,394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5,616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6,116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3,762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2,354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1,854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3"/>
              </w:rPr>
              <w:t>2,646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3,146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89"/>
              </w:rPr>
              <w:t>1,772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1,374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03/31/2012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0000FF"/>
                <w:w w:val="91"/>
              </w:rPr>
              <w:t>874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25.45</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4,223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4,223</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8,445</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5,616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5,616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5,613</w:t>
            </w:r>
            <w:r>
              <w:rPr>
                <w:rFonts w:ascii="Arial" w:cs="Arial" w:eastAsia="Arial" w:hAnsi="Arial"/>
                <w:sz w:val="21"/>
                <w:szCs w:val="21"/>
                <w:color w:val="008000"/>
                <w:w w:val="84"/>
                <w:vertAlign w:val="superscript"/>
              </w:rPr>
              <w:t>(4)</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2,646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2,646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15,570</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15,570</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15,570</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2011 pursuant to the Company's Salary Stock Plan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jc w:val="both"/>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SSUs are fully vested when made and will be settled in three equal annual installments beginning one year after the date of the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$25.45.</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6" w:lineRule="exact"/>
        <w:rPr>
          <w:rFonts w:ascii="Arial" w:cs="Arial" w:eastAsia="Arial" w:hAnsi="Arial"/>
          <w:sz w:val="13"/>
          <w:szCs w:val="13"/>
          <w:color w:val="008000"/>
        </w:rPr>
      </w:pPr>
    </w:p>
    <w:p>
      <w:pPr>
        <w:ind w:left="40" w:right="22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5,616 SSUs of which 1,872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16,845 SSUs granted on March 31, 2010 of which 5,616 SSUs became payable on March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2009.</w:t>
      </w:r>
    </w:p>
    <w:p>
      <w:pPr>
        <w:spacing w:after="0" w:line="46" w:lineRule="exact"/>
        <w:rPr>
          <w:rFonts w:ascii="Arial" w:cs="Arial" w:eastAsia="Arial" w:hAnsi="Arial"/>
          <w:sz w:val="13"/>
          <w:szCs w:val="13"/>
          <w:color w:val="008000"/>
        </w:rPr>
      </w:pPr>
    </w:p>
    <w:p>
      <w:pPr>
        <w:ind w:left="40" w:right="140" w:firstLine="4"/>
        <w:spacing w:after="0" w:line="306"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2009, the employee received a grant of 2,646 SSUs of which 882 SSUs were scheduled to be payable on March 31, 2012. On November 1, 2010, the Company amended its certificate of incorporation to effect a stock split in which each issued and outstanding share of Common Stock was converted into three shares of Common Stock. Pursuant to the terms of the GMSSP, each issued and outstanding SSU was automatically converted into three SSUs, so that the employee was credited with a total of 7,938 SSUs granted on March 31, 2010 of which 2,646 SSUs became payable on December 31, 2010.</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2012.</w:t>
      </w:r>
    </w:p>
    <w:p>
      <w:pPr>
        <w:sectPr>
          <w:pgSz w:w="11900" w:h="16909"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04/03/2012</w:t>
            </w:r>
          </w:p>
        </w:tc>
        <w:tc>
          <w:tcPr>
            <w:tcW w:w="0" w:type="dxa"/>
            <w:vAlign w:val="bottom"/>
          </w:tcPr>
          <w:p>
            <w:pPr>
              <w:spacing w:after="0"/>
              <w:rPr>
                <w:sz w:val="1"/>
                <w:szCs w:val="1"/>
                <w:color w:val="auto"/>
              </w:rPr>
            </w:pPr>
          </w:p>
        </w:tc>
      </w:tr>
      <w:tr>
        <w:trPr>
          <w:trHeight w:val="85"/>
        </w:trPr>
        <w:tc>
          <w:tcPr>
            <w:tcW w:w="108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Mr. Lee</w:t>
            </w:r>
          </w:p>
        </w:tc>
        <w:tc>
          <w:tcPr>
            <w:tcW w:w="9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80" w:type="dxa"/>
            <w:vAlign w:val="bottom"/>
            <w:tcBorders>
              <w:top w:val="single" w:sz="8" w:color="auto"/>
              <w:bottom w:val="single" w:sz="8" w:color="auto"/>
            </w:tcBorders>
            <w:vMerge w:val="continue"/>
          </w:tcPr>
          <w:p>
            <w:pPr>
              <w:spacing w:after="0"/>
              <w:rPr>
                <w:sz w:val="7"/>
                <w:szCs w:val="7"/>
                <w:color w:val="auto"/>
              </w:rPr>
            </w:pPr>
          </w:p>
        </w:tc>
        <w:tc>
          <w:tcPr>
            <w:tcW w:w="9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619" w:firstLine="4"/>
        <w:spacing w:after="0" w:line="313" w:lineRule="auto"/>
        <w:tabs>
          <w:tab w:leader="none" w:pos="13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2019-12-17T01:11:40Z</dcterms:created>
  <dcterms:modified xsi:type="dcterms:W3CDTF">2019-12-17T01:11:40Z</dcterms:modified>
</cp:coreProperties>
</file>