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19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197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10/07/2015</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4,489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12,039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Arial" w:cs="Arial" w:eastAsia="Arial" w:hAnsi="Arial"/>
                <w:sz w:val="18"/>
                <w:szCs w:val="18"/>
                <w:color w:val="0000FF"/>
              </w:rPr>
              <w:t>10/07/2015</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8"/>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1,884</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32.8</w:t>
            </w: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10,155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4,489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10/07/2015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4,489</w:t>
            </w:r>
          </w:p>
        </w:tc>
        <w:tc>
          <w:tcPr>
            <w:tcW w:w="78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4,489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pursuant to the Company's 2009 Long-Term Incentive Plan (the "GMLTIP").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RSUs reported in this item were granted on October 7, 2013 and began being settled in three equal, annual installments on October 7, 2014. Each RSU represents a right to receive one share of the</w:t>
      </w:r>
    </w:p>
    <w:p>
      <w:pPr>
        <w:spacing w:after="0" w:line="22" w:lineRule="exact"/>
        <w:rPr>
          <w:rFonts w:ascii="Arial" w:cs="Arial" w:eastAsia="Arial" w:hAnsi="Arial"/>
          <w:sz w:val="12"/>
          <w:szCs w:val="12"/>
          <w:color w:val="008000"/>
        </w:rPr>
      </w:pPr>
    </w:p>
    <w:p>
      <w:pPr>
        <w:ind w:left="40" w:right="400"/>
        <w:spacing w:after="0" w:line="230" w:lineRule="auto"/>
        <w:rPr>
          <w:rFonts w:ascii="Arial" w:cs="Arial" w:eastAsia="Arial" w:hAnsi="Arial"/>
          <w:sz w:val="12"/>
          <w:szCs w:val="12"/>
          <w:color w:val="008000"/>
        </w:rPr>
      </w:pPr>
      <w:r>
        <w:rPr>
          <w:rFonts w:ascii="Arial" w:cs="Arial" w:eastAsia="Arial" w:hAnsi="Arial"/>
          <w:sz w:val="14"/>
          <w:szCs w:val="14"/>
          <w:color w:val="008000"/>
        </w:rPr>
        <w:t>Company's Common Stock upon settlement. RSUs will be settled when they vest provided that the conditions in the GMLTIP have been satisfied. RSUs do not have an expiration or exercise date or carry a conversion or exercise price.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09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2019-12-08T21:50:14Z</dcterms:created>
  <dcterms:modified xsi:type="dcterms:W3CDTF">2019-12-08T21:50:14Z</dcterms:modified>
</cp:coreProperties>
</file>