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65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ind w:left="2580"/>
        <w:spacing w:after="0"/>
        <w:rPr>
          <w:sz w:val="20"/>
          <w:szCs w:val="20"/>
          <w:color w:val="auto"/>
        </w:rPr>
      </w:pPr>
      <w:r>
        <w:rPr>
          <w:rFonts w:ascii="Arial" w:cs="Arial" w:eastAsia="Arial" w:hAnsi="Arial"/>
          <w:sz w:val="19"/>
          <w:szCs w:val="19"/>
          <w:b w:val="1"/>
          <w:bCs w:val="1"/>
          <w:color w:val="auto"/>
        </w:rPr>
        <w:t>Date of Report (Date of earliest event reported): September 30,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135890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5" w:lineRule="exact"/>
        <w:rPr>
          <w:sz w:val="24"/>
          <w:szCs w:val="24"/>
          <w:color w:val="auto"/>
        </w:rPr>
      </w:pPr>
    </w:p>
    <w:p>
      <w:pPr>
        <w:jc w:val="center"/>
        <w:ind w:right="-659"/>
        <w:spacing w:after="0"/>
        <w:rPr>
          <w:sz w:val="20"/>
          <w:szCs w:val="20"/>
          <w:color w:val="auto"/>
        </w:rPr>
      </w:pPr>
      <w:r>
        <w:rPr>
          <w:rFonts w:ascii="Arial" w:cs="Arial" w:eastAsia="Arial" w:hAnsi="Arial"/>
          <w:sz w:val="43"/>
          <w:szCs w:val="43"/>
          <w:b w:val="1"/>
          <w:bCs w:val="1"/>
          <w:color w:val="auto"/>
        </w:rPr>
        <w:t>GENERAL MOTORS COMPANY</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sectPr>
      </w:pPr>
    </w:p>
    <w:p>
      <w:pPr>
        <w:spacing w:after="0" w:line="286"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000-53930</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27-0756180</w:t>
      </w:r>
    </w:p>
    <w:p>
      <w:pPr>
        <w:spacing w:after="0" w:line="56" w:lineRule="exact"/>
        <w:rPr>
          <w:sz w:val="24"/>
          <w:szCs w:val="24"/>
          <w:color w:val="auto"/>
        </w:rPr>
      </w:pPr>
    </w:p>
    <w:p>
      <w:pPr>
        <w:sectPr>
          <w:pgSz w:w="11900" w:h="16838" w:orient="portrait"/>
          <w:cols w:equalWidth="0" w:num="3">
            <w:col w:w="4740" w:space="720"/>
            <w:col w:w="3000" w:space="720"/>
            <w:col w:w="1580"/>
          </w:cols>
          <w:pgMar w:left="240" w:top="314" w:right="899" w:bottom="1440" w:gutter="0" w:footer="0" w:header="0"/>
          <w:type w:val="continuous"/>
        </w:sect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222" w:lineRule="exact"/>
        <w:rPr>
          <w:sz w:val="24"/>
          <w:szCs w:val="24"/>
          <w:color w:val="auto"/>
        </w:rPr>
      </w:pPr>
    </w:p>
    <w:p>
      <w:pPr>
        <w:sectPr>
          <w:pgSz w:w="11900" w:h="16838" w:orient="portrait"/>
          <w:cols w:equalWidth="0" w:num="3">
            <w:col w:w="4740" w:space="720"/>
            <w:col w:w="2880" w:space="720"/>
            <w:col w:w="1700"/>
          </w:cols>
          <w:pgMar w:left="240" w:top="314" w:right="899" w:bottom="1440" w:gutter="0" w:footer="0" w:header="0"/>
          <w:type w:val="continuous"/>
        </w:sectPr>
      </w:pPr>
    </w:p>
    <w:p>
      <w:pPr>
        <w:spacing w:after="0" w:line="2" w:lineRule="exact"/>
        <w:rPr>
          <w:sz w:val="24"/>
          <w:szCs w:val="24"/>
          <w:color w:val="auto"/>
        </w:rPr>
      </w:pPr>
    </w:p>
    <w:p>
      <w:pPr>
        <w:ind w:left="2240"/>
        <w:spacing w:after="0"/>
        <w:rPr>
          <w:sz w:val="20"/>
          <w:szCs w:val="20"/>
          <w:color w:val="auto"/>
        </w:rPr>
      </w:pPr>
      <w:r>
        <w:rPr>
          <w:rFonts w:ascii="Arial" w:cs="Arial" w:eastAsia="Arial" w:hAnsi="Arial"/>
          <w:sz w:val="15"/>
          <w:szCs w:val="15"/>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48265-3000</w:t>
      </w:r>
    </w:p>
    <w:p>
      <w:pPr>
        <w:spacing w:after="0" w:line="56" w:lineRule="exact"/>
        <w:rPr>
          <w:sz w:val="24"/>
          <w:szCs w:val="24"/>
          <w:color w:val="auto"/>
        </w:rPr>
      </w:pPr>
    </w:p>
    <w:p>
      <w:pPr>
        <w:sectPr>
          <w:pgSz w:w="11900" w:h="16838" w:orient="portrait"/>
          <w:cols w:equalWidth="0" w:num="2">
            <w:col w:w="8460" w:space="720"/>
            <w:col w:w="1580"/>
          </w:cols>
          <w:pgMar w:left="240" w:top="314" w:right="899" w:bottom="1440" w:gutter="0" w:footer="0" w:header="0"/>
          <w:type w:val="continuous"/>
        </w:sectPr>
      </w:pPr>
    </w:p>
    <w:p>
      <w:pPr>
        <w:ind w:left="272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8560" w:space="720"/>
            <w:col w:w="1480"/>
          </w:cols>
          <w:pgMar w:left="240" w:top="314" w:right="899" w:bottom="1440" w:gutter="0" w:footer="0" w:header="0"/>
          <w:type w:val="continuous"/>
        </w:sectPr>
      </w:pPr>
    </w:p>
    <w:p>
      <w:pPr>
        <w:jc w:val="center"/>
        <w:ind w:right="-659"/>
        <w:spacing w:after="0"/>
        <w:rPr>
          <w:sz w:val="20"/>
          <w:szCs w:val="20"/>
          <w:color w:val="auto"/>
        </w:rPr>
      </w:pPr>
      <w:r>
        <w:rPr>
          <w:rFonts w:ascii="Arial" w:cs="Arial" w:eastAsia="Arial" w:hAnsi="Arial"/>
          <w:sz w:val="18"/>
          <w:szCs w:val="18"/>
          <w:b w:val="1"/>
          <w:bCs w:val="1"/>
          <w:color w:val="auto"/>
        </w:rPr>
        <w:t>(313) 556-5000</w:t>
      </w:r>
    </w:p>
    <w:p>
      <w:pPr>
        <w:spacing w:after="0" w:line="21" w:lineRule="exact"/>
        <w:rPr>
          <w:sz w:val="24"/>
          <w:szCs w:val="24"/>
          <w:color w:val="auto"/>
        </w:rPr>
      </w:pPr>
    </w:p>
    <w:p>
      <w:pPr>
        <w:ind w:left="4180"/>
        <w:spacing w:after="0"/>
        <w:rPr>
          <w:sz w:val="20"/>
          <w:szCs w:val="20"/>
          <w:color w:val="auto"/>
        </w:rPr>
      </w:pPr>
      <w:r>
        <w:rPr>
          <w:rFonts w:ascii="Arial" w:cs="Arial" w:eastAsia="Arial" w:hAnsi="Arial"/>
          <w:sz w:val="12"/>
          <w:szCs w:val="12"/>
          <w:b w:val="1"/>
          <w:bCs w:val="1"/>
          <w:color w:val="auto"/>
        </w:rPr>
        <w:t>(Registrant’s telephone number, including area code)</w:t>
      </w:r>
    </w:p>
    <w:p>
      <w:pPr>
        <w:sectPr>
          <w:pgSz w:w="11900" w:h="16838" w:orient="portrait"/>
          <w:cols w:equalWidth="0" w:num="1">
            <w:col w:w="10760"/>
          </w:cols>
          <w:pgMar w:left="240" w:top="314" w:right="899" w:bottom="1440" w:gutter="0" w:footer="0" w:header="0"/>
          <w:type w:val="continuous"/>
        </w:sectPr>
      </w:pPr>
    </w:p>
    <w:p>
      <w:pPr>
        <w:spacing w:after="0" w:line="160" w:lineRule="exact"/>
        <w:rPr>
          <w:sz w:val="24"/>
          <w:szCs w:val="24"/>
          <w:color w:val="auto"/>
        </w:rPr>
      </w:pPr>
    </w:p>
    <w:p>
      <w:pPr>
        <w:jc w:val="center"/>
        <w:ind w:right="-67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1.02</w:t>
      </w:r>
      <w:r>
        <w:rPr>
          <w:sz w:val="20"/>
          <w:szCs w:val="20"/>
          <w:color w:val="auto"/>
        </w:rPr>
        <w:tab/>
      </w:r>
      <w:r>
        <w:rPr>
          <w:rFonts w:ascii="Arial" w:cs="Arial" w:eastAsia="Arial" w:hAnsi="Arial"/>
          <w:sz w:val="16"/>
          <w:szCs w:val="16"/>
          <w:b w:val="1"/>
          <w:bCs w:val="1"/>
          <w:color w:val="auto"/>
        </w:rPr>
        <w:t>Termination of a Material Definitive Agreement.</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As previously reported in Current Report on Form 8-K dated February 19, 2010, Mr. Frederick A. Henderson, formerly the Chief Executive Officer and a director of General Motors Company (the “Company”), and General Motors Holdings LLC, a subsidiary of the Company, entered into an agreement to engage his services as a consultant on a month-to-month basis pursuant to the following material terms:</w:t>
      </w:r>
    </w:p>
    <w:p>
      <w:pPr>
        <w:spacing w:after="0" w:line="26"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agreement would expire on December 31, 2010 unless terminated earlier by either party;</w:t>
      </w:r>
    </w:p>
    <w:p>
      <w:pPr>
        <w:spacing w:after="0" w:line="9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Mr. Henderson agreed to provide an estimated 20 hours consulting per month on international operations and participate in one meeting per month with the President, International Operations or his designated representative;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Mr. Henderson would receive a fee of $59,090 payable monthly and reimbursement of reasonable expenses.</w:t>
      </w:r>
    </w:p>
    <w:p>
      <w:pPr>
        <w:spacing w:after="0" w:line="90" w:lineRule="exact"/>
        <w:rPr>
          <w:rFonts w:ascii="Arial" w:cs="Arial" w:eastAsia="Arial" w:hAnsi="Arial"/>
          <w:sz w:val="18"/>
          <w:szCs w:val="18"/>
          <w:color w:val="auto"/>
        </w:rPr>
      </w:pPr>
    </w:p>
    <w:p>
      <w:pPr>
        <w:ind w:left="900" w:right="120" w:hanging="325"/>
        <w:spacing w:after="0" w:line="332"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During the period of the consulting agreement Mr. Henderson would not engage in or perform any services for any business which designs, manufactures, develops, promotes, or sells any automobiles or trucks, in competition with or for competitors of the Company or any of its affiliates.</w:t>
      </w:r>
    </w:p>
    <w:p>
      <w:pPr>
        <w:spacing w:after="0" w:line="85"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agreement was terminated as of September 30, 2010, pursuant to notice duly given by Mr. Henderson on September 5, 2010 that he intended to join Sunoco Corporation as senior vice president in charge of SunCoke Energy operations.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74" w:right="2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920"/>
        <w:spacing w:after="0"/>
        <w:rPr>
          <w:sz w:val="20"/>
          <w:szCs w:val="20"/>
          <w:color w:val="auto"/>
        </w:rPr>
      </w:pPr>
      <w:r>
        <w:rPr>
          <w:rFonts w:ascii="Arial" w:cs="Arial" w:eastAsia="Arial" w:hAnsi="Arial"/>
          <w:sz w:val="18"/>
          <w:szCs w:val="18"/>
          <w:b w:val="1"/>
          <w:bCs w:val="1"/>
          <w:u w:val="single" w:color="auto"/>
          <w:color w:val="auto"/>
        </w:rPr>
        <w:t>GENERAL MOTORS COMPANY</w:t>
      </w:r>
    </w:p>
    <w:p>
      <w:pPr>
        <w:spacing w:after="0" w:line="21"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spacing w:after="0"/>
        <w:tabs>
          <w:tab w:leader="none" w:pos="5900" w:val="left"/>
        </w:tabs>
        <w:rPr>
          <w:sz w:val="20"/>
          <w:szCs w:val="20"/>
          <w:color w:val="auto"/>
        </w:rPr>
      </w:pPr>
      <w:r>
        <w:rPr>
          <w:rFonts w:ascii="Arial" w:cs="Arial" w:eastAsia="Arial" w:hAnsi="Arial"/>
          <w:sz w:val="18"/>
          <w:szCs w:val="18"/>
          <w:color w:val="auto"/>
        </w:rPr>
        <w:t>Date: October 6, 2010</w:t>
      </w:r>
      <w:r>
        <w:rPr>
          <w:sz w:val="20"/>
          <w:szCs w:val="20"/>
          <w:color w:val="auto"/>
        </w:rPr>
        <w:tab/>
      </w:r>
      <w:r>
        <w:rPr>
          <w:rFonts w:ascii="Arial" w:cs="Arial" w:eastAsia="Arial" w:hAnsi="Arial"/>
          <w:sz w:val="16"/>
          <w:szCs w:val="16"/>
          <w:color w:val="auto"/>
        </w:rPr>
        <w:t>By:  /s/ Nick S. Cyprus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Nick S. Cyprus</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Vice President, Controller and Chief Accounting Officer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2019-12-11T06:04:27Z</dcterms:created>
  <dcterms:modified xsi:type="dcterms:W3CDTF">2019-12-11T06:04:27Z</dcterms:modified>
</cp:coreProperties>
</file>