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August 2, 2012</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August 2, 2012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726"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August 2, 2012 a news release was issued on the subject of 2012 second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Charts furnished to securities analysts in connection with GM's 2012 second quarter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9"/>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rPr>
              <w:t>News Release Dated August 2, 2012 and Financial</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Statements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360"/>
          </w:cols>
          <w:pgMar w:left="240" w:top="726" w:right="29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080" w:type="dxa"/>
            <w:vAlign w:val="bottom"/>
            <w:vMerge w:val="restart"/>
          </w:tcPr>
          <w:p>
            <w:pPr>
              <w:spacing w:after="0"/>
              <w:rPr>
                <w:sz w:val="20"/>
                <w:szCs w:val="20"/>
                <w:color w:val="auto"/>
              </w:rPr>
            </w:pPr>
            <w:r>
              <w:rPr>
                <w:rFonts w:ascii="Arial" w:cs="Arial" w:eastAsia="Arial" w:hAnsi="Arial"/>
                <w:sz w:val="16"/>
                <w:szCs w:val="16"/>
                <w:color w:val="auto"/>
              </w:rPr>
              <w:t>Date: August 2, 2012</w:t>
            </w:r>
          </w:p>
        </w:tc>
        <w:tc>
          <w:tcPr>
            <w:tcW w:w="2340" w:type="dxa"/>
            <w:vAlign w:val="bottom"/>
            <w:vMerge w:val="restart"/>
          </w:tcPr>
          <w:p>
            <w:pPr>
              <w:ind w:left="172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533" w:right="6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349250</wp:posOffset>
            </wp:positionV>
            <wp:extent cx="7286625" cy="840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6625" cy="8401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9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 Release: August 2, 7:30 a.m. EDT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6"/>
          <w:szCs w:val="26"/>
          <w:b w:val="1"/>
          <w:bCs w:val="1"/>
          <w:color w:val="auto"/>
        </w:rPr>
        <w:t>GM Reports Second Quarter Net Income of $1.5 Billion and</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26"/>
          <w:szCs w:val="26"/>
          <w:b w:val="1"/>
          <w:bCs w:val="1"/>
          <w:color w:val="auto"/>
        </w:rPr>
        <w:t>EBIT-adjusted of $2.1 Billion</w:t>
      </w:r>
    </w:p>
    <w:p>
      <w:pPr>
        <w:spacing w:after="0" w:line="3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DETROIT - General Motors Co. (NYSE: GM) today announced second quarter net income attributable to common stockholders of $1.5 billion, or $0.90 per fully-diluted share. In the second quarter a year ago, GM's net income attributable to common stockholders was $2.5 billion, or $1.54 per fully-diluted share.</w:t>
      </w:r>
    </w:p>
    <w:p>
      <w:pPr>
        <w:spacing w:after="0" w:line="187"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Net revenue in the second quarter of 2012 was $37.6 billion, compared with $39.4 billion in the second quarter of 2011. The decrease was due almost entirely to the strengthening of the U.S. dollar versus other major currencies. Earnings before interest and tax (EBIT) adjusted was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$2.1 billion, compared with $3.0 billion in the second quarter of 2011. Total restructuring expense included in EBIT-adjusted for the second quarter of 2012 was $0.1 billion.</w:t>
      </w:r>
    </w:p>
    <w:p>
      <w:pPr>
        <w:spacing w:after="0" w:line="18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“Our results in North America, our International Operations and at GM Financial were solid but we clearly have more work to do to offset the headwinds we face, especially in regions like Europe and South America,” said GM chairman and CEO Dan Akerson. “Despite the challenging environment, GM has now achieved 10 consecutive quarters of profitability, which is a milestone the company has not achieved in more than a decade.”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2"/>
                <w:szCs w:val="12"/>
                <w:color w:val="auto"/>
              </w:rPr>
              <w:t>(in billions except for per share amounts)</w:t>
            </w: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6"/>
        </w:trPr>
        <w:tc>
          <w:tcPr>
            <w:tcW w:w="6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Q2 2012</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Q2 2011</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Revenue</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37.6</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 (EPS) fully diluted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0.90</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Impact of special items on EPS fully diluted</w:t>
            </w:r>
          </w:p>
        </w:tc>
        <w:tc>
          <w:tcPr>
            <w:tcW w:w="1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3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EBIT-adjusted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507"/>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Automotive net cash flow from operating activities</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Automotive free cash flow</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North America (GMNA) reported EBIT-adjusted of $2.0 billion, compared with $2.2 billion in the second quarter of 2011.</w:t>
      </w: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GM Europe (GME) reported an EBIT-adjusted loss of $0.4 billion, compared with EBIT-adjusted of $0.1 billion in second quarter of 2011.</w:t>
      </w:r>
    </w:p>
    <w:p>
      <w:pPr>
        <w:spacing w:after="0" w:line="9" w:lineRule="exact"/>
        <w:rPr>
          <w:rFonts w:ascii="Arial" w:cs="Arial" w:eastAsia="Arial" w:hAnsi="Arial"/>
          <w:sz w:val="15"/>
          <w:szCs w:val="15"/>
          <w:color w:val="auto"/>
        </w:rPr>
      </w:pPr>
    </w:p>
    <w:p>
      <w:pPr>
        <w:ind w:left="58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International Operations (GMIO) reported EBIT-adjusted of $0.6 billion, equal to the second quarter of 2011.</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South America (GMSA) reported breakeven results on an EBIT-adjusted basis, compared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80"/>
          </w:cols>
          <w:pgMar w:left="240" w:top="1440" w:right="279" w:bottom="1440" w:gutter="0" w:footer="0" w:header="0"/>
        </w:sectPr>
      </w:pPr>
    </w:p>
    <w:bookmarkStart w:id="5" w:name="page6"/>
    <w:bookmarkEnd w:id="5"/>
    <w:p>
      <w:pPr>
        <w:ind w:left="580" w:right="560"/>
        <w:spacing w:after="0" w:line="258" w:lineRule="auto"/>
        <w:rPr>
          <w:sz w:val="20"/>
          <w:szCs w:val="20"/>
          <w:color w:val="auto"/>
        </w:rPr>
      </w:pPr>
      <w:r>
        <w:rPr>
          <w:rFonts w:ascii="Arial" w:cs="Arial" w:eastAsia="Arial" w:hAnsi="Arial"/>
          <w:sz w:val="18"/>
          <w:szCs w:val="18"/>
          <w:color w:val="auto"/>
        </w:rPr>
        <w:t>with EBIT-adjusted of $0.1 billion in the second quarter of 2011. The second quarter 2012 results include $0.1 billion in restructuring expenses.</w:t>
      </w: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earnings before tax was $0.2 billion for the quarter, compared with $0.1 billion a year ago.</w:t>
      </w:r>
    </w:p>
    <w:p>
      <w:pPr>
        <w:ind w:left="580" w:right="620" w:hanging="294"/>
        <w:spacing w:after="0" w:line="243"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the Corporate segment, GM reported EBIT-adjusted of $(0.2) billion, of which $(0.1) billion was attributable to a non-cash foreign exchange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20"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For the quarter, automotive cash flow from operating activities was $3.8 billion and automotive free cash flow was $1.7 billion. GM ended the quarter with very strong total automotive liquidity of $38.5 billion. Automotive cash and marketable securities was $32.6 billion, compared with $31.5 billion at the end of the first quarter of 2012.</w:t>
      </w:r>
    </w:p>
    <w:p>
      <w:pPr>
        <w:spacing w:after="0" w:line="187"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At the end of the first quarter, GM indicated that GMNA's results for the second and third quarters of 2012 were expected to be comparable to the first quarter. Second quarter GMNA results were stronger in part due to timing of spending that was deferred to the third quarter. GM continues to expect that the average of its second and third quarter EBIT-adjusted in GMNA will be comparable to first quarter results.</w:t>
      </w:r>
    </w:p>
    <w:p>
      <w:pPr>
        <w:spacing w:after="0" w:line="187"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“We're executing an aggressive product plan around the world, and at the same time we are working systematically to simplify the business and truly leverage our scale to grow our margins,” said Dan Ammann, senior vice president and CFO.</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Cell 313-407-2843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james.cain@gm.com</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Randy Arickx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randy.c.arickx@gm.com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overall strength and stability of our markets, particularly Europe;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8" w:right="239" w:bottom="1440" w:gutter="0" w:footer="0" w:header="0"/>
        </w:sectPr>
      </w:pPr>
    </w:p>
    <w:bookmarkStart w:id="6" w:name="page7"/>
    <w:bookmarkEnd w:id="6"/>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ind w:left="4" w:right="200"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Automotive free cash flow. These metrics are not prepared in accordance with Accounting Principles Generally Accepted in the United States of America (U.S. GAAP) and have not been audited or reviewed by GM's independent auditors. EBIT-adjusted and Automotive free cash flow are considered non-GAAP financial measures.</w:t>
      </w:r>
    </w:p>
    <w:p>
      <w:pPr>
        <w:spacing w:after="0" w:line="136"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ind w:left="4" w:right="280"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173"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6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spacing w:after="0"/>
              <w:rPr>
                <w:sz w:val="19"/>
                <w:szCs w:val="19"/>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2012</w:t>
            </w:r>
          </w:p>
        </w:tc>
        <w:tc>
          <w:tcPr>
            <w:tcW w:w="90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4"/>
              </w:rPr>
              <w:t>June 30, 2011</w:t>
            </w:r>
          </w:p>
        </w:tc>
        <w:tc>
          <w:tcPr>
            <w:tcW w:w="0" w:type="dxa"/>
            <w:vAlign w:val="bottom"/>
          </w:tcPr>
          <w:p>
            <w:pPr>
              <w:spacing w:after="0"/>
              <w:rPr>
                <w:sz w:val="1"/>
                <w:szCs w:val="1"/>
                <w:color w:val="auto"/>
              </w:rPr>
            </w:pPr>
          </w:p>
        </w:tc>
      </w:tr>
      <w:tr>
        <w:trPr>
          <w:trHeight w:val="211"/>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Operating segments</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440" w:type="dxa"/>
            <w:vAlign w:val="bottom"/>
          </w:tcPr>
          <w:p>
            <w:pPr>
              <w:ind w:left="20"/>
              <w:spacing w:after="0"/>
              <w:rPr>
                <w:sz w:val="20"/>
                <w:szCs w:val="20"/>
                <w:color w:val="auto"/>
              </w:rPr>
            </w:pPr>
            <w:r>
              <w:rPr>
                <w:rFonts w:ascii="Arial" w:cs="Arial" w:eastAsia="Arial" w:hAnsi="Arial"/>
                <w:sz w:val="14"/>
                <w:szCs w:val="14"/>
                <w:color w:val="auto"/>
              </w:rPr>
              <w:t>GMNA(a)</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5"/>
              <w:spacing w:after="0"/>
              <w:rPr>
                <w:sz w:val="20"/>
                <w:szCs w:val="20"/>
                <w:color w:val="auto"/>
              </w:rPr>
            </w:pPr>
            <w:r>
              <w:rPr>
                <w:rFonts w:ascii="Arial" w:cs="Arial" w:eastAsia="Arial" w:hAnsi="Arial"/>
                <w:sz w:val="16"/>
                <w:szCs w:val="16"/>
                <w:color w:val="auto"/>
              </w:rPr>
              <w:t>2,249</w:t>
            </w:r>
          </w:p>
        </w:tc>
        <w:tc>
          <w:tcPr>
            <w:tcW w:w="120" w:type="dxa"/>
            <w:vAlign w:val="bottom"/>
          </w:tcPr>
          <w:p>
            <w:pPr>
              <w:spacing w:after="0"/>
              <w:rPr>
                <w:sz w:val="21"/>
                <w:szCs w:val="21"/>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3,656</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3,502</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GME(a)</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GMIO(a)</w:t>
            </w:r>
          </w:p>
        </w:tc>
        <w:tc>
          <w:tcPr>
            <w:tcW w:w="22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GMSA(a)</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 Financial(b)</w:t>
            </w:r>
          </w:p>
        </w:tc>
        <w:tc>
          <w:tcPr>
            <w:tcW w:w="22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60"/>
              <w:spacing w:after="0"/>
              <w:rPr>
                <w:sz w:val="20"/>
                <w:szCs w:val="20"/>
                <w:color w:val="auto"/>
              </w:rPr>
            </w:pPr>
            <w:r>
              <w:rPr>
                <w:rFonts w:ascii="Arial" w:cs="Arial" w:eastAsia="Arial" w:hAnsi="Arial"/>
                <w:sz w:val="14"/>
                <w:szCs w:val="14"/>
                <w:color w:val="auto"/>
              </w:rPr>
              <w:t>Total operating segments(b)</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3,125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4,587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5,189</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4"/>
                <w:szCs w:val="14"/>
                <w:color w:val="auto"/>
              </w:rPr>
              <w:t>Corporate and eliminations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5"/>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EBIT-adjusted(b)</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2,119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2,962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4,301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5,004</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Special items</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Corporate interest income</w:t>
            </w:r>
          </w:p>
        </w:tc>
        <w:tc>
          <w:tcPr>
            <w:tcW w:w="22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22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5"/>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stockholders</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1,846</w:t>
            </w:r>
          </w:p>
        </w:tc>
        <w:tc>
          <w:tcPr>
            <w:tcW w:w="120" w:type="dxa"/>
            <w:vAlign w:val="bottom"/>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2,992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6,358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4" w:right="20" w:hanging="284"/>
        <w:spacing w:after="0" w:line="251"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special items: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special items in the three months ended June 30, 2012 and 2011.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2012 special items included Goodwill impairment charges of $590 million in GME and $22 million in GMIO.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31, 2011 special items included the following:</w:t>
      </w:r>
    </w:p>
    <w:p>
      <w:pPr>
        <w:spacing w:after="0" w:line="202" w:lineRule="exact"/>
        <w:rPr>
          <w:sz w:val="20"/>
          <w:szCs w:val="20"/>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 of $1.6 billion in GMNA related to the sale of GM's Class A Membership Interests in Delphi Automotive LLP;</w:t>
      </w:r>
    </w:p>
    <w:p>
      <w:pPr>
        <w:spacing w:after="0" w:line="21" w:lineRule="exact"/>
        <w:rPr>
          <w:rFonts w:ascii="Arial" w:cs="Arial" w:eastAsia="Arial" w:hAnsi="Arial"/>
          <w:sz w:val="16"/>
          <w:szCs w:val="16"/>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 of $339 million in Corporate related to the sale of 100% of the Ally Financial, Inc. preferred stock;</w:t>
      </w:r>
    </w:p>
    <w:p>
      <w:pPr>
        <w:spacing w:after="0" w:line="9" w:lineRule="exact"/>
        <w:rPr>
          <w:rFonts w:ascii="Arial" w:cs="Arial" w:eastAsia="Arial" w:hAnsi="Arial"/>
          <w:sz w:val="16"/>
          <w:szCs w:val="16"/>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Goodwill impairment charges of $395 million in GME; and</w:t>
      </w:r>
    </w:p>
    <w:p>
      <w:pPr>
        <w:spacing w:after="0" w:line="9" w:lineRule="exact"/>
        <w:rPr>
          <w:rFonts w:ascii="Arial" w:cs="Arial" w:eastAsia="Arial" w:hAnsi="Arial"/>
          <w:sz w:val="16"/>
          <w:szCs w:val="16"/>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Charges of $106 million in GMIO related to GM's India joint venture.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the reconciliation of Automotive free cash flow to Automotive net cash provided by operating activities (dollars in millions):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3"/>
                <w:szCs w:val="13"/>
                <w:b w:val="1"/>
                <w:bCs w:val="1"/>
                <w:color w:val="auto"/>
                <w:w w:val="96"/>
              </w:rPr>
              <w:t>June 30, 2012</w:t>
            </w: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6"/>
              </w:rPr>
              <w:t>June 30, 2011</w:t>
            </w: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3"/>
                <w:szCs w:val="13"/>
                <w:b w:val="1"/>
                <w:bCs w:val="1"/>
                <w:color w:val="auto"/>
                <w:w w:val="94"/>
              </w:rPr>
              <w:t>June 30, 2012</w:t>
            </w: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June 30, 2011</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3040" w:type="dxa"/>
            <w:vAlign w:val="bottom"/>
            <w:gridSpan w:val="2"/>
          </w:tcPr>
          <w:p>
            <w:pPr>
              <w:jc w:val="right"/>
              <w:ind w:right="96"/>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18"/>
                <w:szCs w:val="18"/>
                <w:color w:val="auto"/>
              </w:rPr>
            </w:pPr>
          </w:p>
        </w:tc>
        <w:tc>
          <w:tcPr>
            <w:tcW w:w="28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3,789</w:t>
            </w:r>
          </w:p>
        </w:tc>
        <w:tc>
          <w:tcPr>
            <w:tcW w:w="120" w:type="dxa"/>
            <w:vAlign w:val="bottom"/>
          </w:tcPr>
          <w:p>
            <w:pPr>
              <w:spacing w:after="0"/>
              <w:rPr>
                <w:sz w:val="18"/>
                <w:szCs w:val="18"/>
                <w:color w:val="auto"/>
              </w:rPr>
            </w:pP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260" w:type="dxa"/>
            <w:vAlign w:val="bottom"/>
          </w:tcPr>
          <w:p>
            <w:pPr>
              <w:jc w:val="right"/>
              <w:ind w:right="85"/>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Arial" w:cs="Arial" w:eastAsia="Arial" w:hAnsi="Arial"/>
                <w:sz w:val="16"/>
                <w:szCs w:val="16"/>
                <w:color w:val="auto"/>
              </w:rPr>
              <w:t>Capital expenditures</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3040" w:type="dxa"/>
            <w:vAlign w:val="bottom"/>
            <w:gridSpan w:val="2"/>
          </w:tcPr>
          <w:p>
            <w:pPr>
              <w:jc w:val="right"/>
              <w:ind w:right="96"/>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44"/>
              <w:spacing w:after="0"/>
              <w:rPr>
                <w:sz w:val="20"/>
                <w:szCs w:val="20"/>
                <w:color w:val="auto"/>
              </w:rPr>
            </w:pPr>
            <w:r>
              <w:rPr>
                <w:rFonts w:ascii="Arial" w:cs="Arial" w:eastAsia="Arial" w:hAnsi="Arial"/>
                <w:sz w:val="16"/>
                <w:szCs w:val="16"/>
                <w:b w:val="1"/>
                <w:bCs w:val="1"/>
                <w:color w:val="auto"/>
              </w:rPr>
              <w:t>3,760</w:t>
            </w:r>
          </w:p>
        </w:tc>
        <w:tc>
          <w:tcPr>
            <w:tcW w:w="120" w:type="dxa"/>
            <w:vAlign w:val="bottom"/>
          </w:tcPr>
          <w:p>
            <w:pPr>
              <w:spacing w:after="0"/>
              <w:rPr>
                <w:sz w:val="19"/>
                <w:szCs w:val="19"/>
                <w:color w:val="auto"/>
              </w:rPr>
            </w:pPr>
          </w:p>
        </w:tc>
        <w:tc>
          <w:tcPr>
            <w:tcW w:w="280" w:type="dxa"/>
            <w:vAlign w:val="bottom"/>
          </w:tcPr>
          <w:p>
            <w:pPr>
              <w:jc w:val="right"/>
              <w:ind w:right="85"/>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b w:val="1"/>
                <w:bCs w:val="1"/>
                <w:color w:val="auto"/>
              </w:rPr>
              <w:t>4,961</w:t>
            </w:r>
          </w:p>
        </w:tc>
        <w:tc>
          <w:tcPr>
            <w:tcW w:w="120" w:type="dxa"/>
            <w:vAlign w:val="bottom"/>
          </w:tcPr>
          <w:p>
            <w:pPr>
              <w:spacing w:after="0"/>
              <w:rPr>
                <w:sz w:val="19"/>
                <w:szCs w:val="19"/>
                <w:color w:val="auto"/>
              </w:rPr>
            </w:pPr>
          </w:p>
        </w:tc>
        <w:tc>
          <w:tcPr>
            <w:tcW w:w="240" w:type="dxa"/>
            <w:vAlign w:val="bottom"/>
          </w:tcPr>
          <w:p>
            <w:pPr>
              <w:jc w:val="right"/>
              <w:ind w:right="65"/>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b w:val="1"/>
                <w:bCs w:val="1"/>
                <w:color w:val="auto"/>
              </w:rPr>
              <w:t>6,032</w:t>
            </w:r>
          </w:p>
        </w:tc>
        <w:tc>
          <w:tcPr>
            <w:tcW w:w="100" w:type="dxa"/>
            <w:vAlign w:val="bottom"/>
          </w:tcPr>
          <w:p>
            <w:pPr>
              <w:spacing w:after="0"/>
              <w:rPr>
                <w:sz w:val="19"/>
                <w:szCs w:val="19"/>
                <w:color w:val="auto"/>
              </w:rPr>
            </w:pPr>
          </w:p>
        </w:tc>
        <w:tc>
          <w:tcPr>
            <w:tcW w:w="260" w:type="dxa"/>
            <w:vAlign w:val="bottom"/>
          </w:tcPr>
          <w:p>
            <w:pPr>
              <w:jc w:val="right"/>
              <w:ind w:right="85"/>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b w:val="1"/>
                <w:bCs w:val="1"/>
                <w:color w:val="auto"/>
              </w:rPr>
              <w:t>4,365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80" w:type="dxa"/>
            <w:vAlign w:val="bottom"/>
            <w:vMerge w:val="restart"/>
          </w:tcPr>
          <w:p>
            <w:pPr>
              <w:jc w:val="right"/>
              <w:ind w:right="1600"/>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6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25" w:lineRule="exact"/>
        <w:rPr>
          <w:sz w:val="20"/>
          <w:szCs w:val="20"/>
          <w:color w:val="auto"/>
        </w:rPr>
      </w:pPr>
    </w:p>
    <w:tbl>
      <w:tblPr>
        <w:tblLayout w:type="fixed"/>
        <w:tblInd w:w="24"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Three Months Ended June 30,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22,900</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5,894</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6,945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(2,802)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37,126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37,614</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894</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1,468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1,520</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w w:val="94"/>
              </w:rPr>
              <w:t>Equity income, net of tax and gain on disposal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300</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Three Months Ended June 30, 2011</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revenue(a)</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23,128</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7,459</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6,402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(2,323)</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39,043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330</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39,373</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990</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374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1,615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1,634</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w w:val="94"/>
              </w:rPr>
              <w:t>Equity income, net of tax and gain on disposal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379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382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382</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Six Months Ended June 30,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47,076</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11,407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13,005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8,118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(5,177)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74,454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918</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75,373</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1,782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575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278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26</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2,895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2,988</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w w:val="94"/>
              </w:rPr>
              <w:t>Equity income, net of tax and gain on disposal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719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723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723</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Six Months Ended June 30, 2011</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revenue(a)</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45,238</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14,329</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11,610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8,259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(4,524)</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74,942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625</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75,567</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1,967</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714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26</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3,177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3,210</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w w:val="94"/>
              </w:rPr>
              <w:t>Equity income, net of tax and gain on disposal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1,732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794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2,526</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2,526</w:t>
            </w:r>
          </w:p>
        </w:tc>
      </w:tr>
    </w:tbl>
    <w:p>
      <w:pPr>
        <w:spacing w:after="0" w:line="4"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53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 2012</w:t>
            </w:r>
          </w:p>
        </w:tc>
        <w:tc>
          <w:tcPr>
            <w:tcW w:w="1600" w:type="dxa"/>
            <w:vAlign w:val="bottom"/>
          </w:tcPr>
          <w:p>
            <w:pPr>
              <w:jc w:val="right"/>
              <w:ind w:right="201"/>
              <w:spacing w:after="0"/>
              <w:rPr>
                <w:sz w:val="20"/>
                <w:szCs w:val="20"/>
                <w:color w:val="auto"/>
              </w:rPr>
            </w:pPr>
            <w:r>
              <w:rPr>
                <w:rFonts w:ascii="Arial" w:cs="Arial" w:eastAsia="Arial" w:hAnsi="Arial"/>
                <w:sz w:val="13"/>
                <w:szCs w:val="13"/>
                <w:b w:val="1"/>
                <w:bCs w:val="1"/>
                <w:color w:val="auto"/>
              </w:rPr>
              <w:t>December 31, 2011</w:t>
            </w:r>
          </w:p>
        </w:tc>
      </w:tr>
      <w:tr>
        <w:trPr>
          <w:trHeight w:val="217"/>
        </w:trPr>
        <w:tc>
          <w:tcPr>
            <w:tcW w:w="8440" w:type="dxa"/>
            <w:vAlign w:val="bottom"/>
          </w:tcPr>
          <w:p>
            <w:pPr>
              <w:spacing w:after="0"/>
              <w:rPr>
                <w:sz w:val="20"/>
                <w:szCs w:val="20"/>
                <w:color w:val="auto"/>
              </w:rPr>
            </w:pPr>
            <w:r>
              <w:rPr>
                <w:rFonts w:ascii="Arial" w:cs="Arial" w:eastAsia="Arial" w:hAnsi="Arial"/>
                <w:sz w:val="16"/>
                <w:szCs w:val="16"/>
                <w:b w:val="1"/>
                <w:bCs w:val="1"/>
                <w:color w:val="auto"/>
              </w:rPr>
              <w:t>Worldwide Employment (thousands)</w:t>
            </w: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41"/>
        </w:trPr>
        <w:tc>
          <w:tcPr>
            <w:tcW w:w="8440" w:type="dxa"/>
            <w:vAlign w:val="bottom"/>
          </w:tcPr>
          <w:p>
            <w:pPr>
              <w:spacing w:after="0"/>
              <w:rPr>
                <w:sz w:val="20"/>
                <w:szCs w:val="20"/>
                <w:color w:val="auto"/>
              </w:rPr>
            </w:pPr>
            <w:r>
              <w:rPr>
                <w:rFonts w:ascii="Arial" w:cs="Arial" w:eastAsia="Arial" w:hAnsi="Arial"/>
                <w:sz w:val="16"/>
                <w:szCs w:val="16"/>
                <w:color w:val="auto"/>
              </w:rPr>
              <w:t>GMNA</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98</w:t>
            </w:r>
          </w:p>
        </w:tc>
      </w:tr>
      <w:tr>
        <w:trPr>
          <w:trHeight w:val="241"/>
        </w:trPr>
        <w:tc>
          <w:tcPr>
            <w:tcW w:w="8440" w:type="dxa"/>
            <w:vAlign w:val="bottom"/>
          </w:tcPr>
          <w:p>
            <w:pPr>
              <w:spacing w:after="0"/>
              <w:rPr>
                <w:sz w:val="20"/>
                <w:szCs w:val="20"/>
                <w:color w:val="auto"/>
              </w:rPr>
            </w:pPr>
            <w:r>
              <w:rPr>
                <w:rFonts w:ascii="Arial" w:cs="Arial" w:eastAsia="Arial" w:hAnsi="Arial"/>
                <w:sz w:val="16"/>
                <w:szCs w:val="16"/>
                <w:color w:val="auto"/>
              </w:rPr>
              <w:t>GME</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r>
      <w:tr>
        <w:trPr>
          <w:trHeight w:val="241"/>
        </w:trPr>
        <w:tc>
          <w:tcPr>
            <w:tcW w:w="8440" w:type="dxa"/>
            <w:vAlign w:val="bottom"/>
          </w:tcPr>
          <w:p>
            <w:pPr>
              <w:spacing w:after="0"/>
              <w:rPr>
                <w:sz w:val="20"/>
                <w:szCs w:val="20"/>
                <w:color w:val="auto"/>
              </w:rPr>
            </w:pPr>
            <w:r>
              <w:rPr>
                <w:rFonts w:ascii="Arial" w:cs="Arial" w:eastAsia="Arial" w:hAnsi="Arial"/>
                <w:sz w:val="16"/>
                <w:szCs w:val="16"/>
                <w:color w:val="auto"/>
              </w:rPr>
              <w:t>GMIO</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34</w:t>
            </w:r>
          </w:p>
        </w:tc>
      </w:tr>
      <w:tr>
        <w:trPr>
          <w:trHeight w:val="241"/>
        </w:trPr>
        <w:tc>
          <w:tcPr>
            <w:tcW w:w="8440" w:type="dxa"/>
            <w:vAlign w:val="bottom"/>
          </w:tcPr>
          <w:p>
            <w:pPr>
              <w:spacing w:after="0"/>
              <w:rPr>
                <w:sz w:val="20"/>
                <w:szCs w:val="20"/>
                <w:color w:val="auto"/>
              </w:rPr>
            </w:pPr>
            <w:r>
              <w:rPr>
                <w:rFonts w:ascii="Arial" w:cs="Arial" w:eastAsia="Arial" w:hAnsi="Arial"/>
                <w:sz w:val="16"/>
                <w:szCs w:val="16"/>
                <w:color w:val="auto"/>
              </w:rPr>
              <w:t>GMSA</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33</w:t>
            </w:r>
          </w:p>
        </w:tc>
      </w:tr>
      <w:tr>
        <w:trPr>
          <w:trHeight w:val="241"/>
        </w:trPr>
        <w:tc>
          <w:tcPr>
            <w:tcW w:w="8440" w:type="dxa"/>
            <w:vAlign w:val="bottom"/>
          </w:tcPr>
          <w:p>
            <w:pPr>
              <w:spacing w:after="0"/>
              <w:rPr>
                <w:sz w:val="20"/>
                <w:szCs w:val="20"/>
                <w:color w:val="auto"/>
              </w:rPr>
            </w:pPr>
            <w:r>
              <w:rPr>
                <w:rFonts w:ascii="Arial" w:cs="Arial" w:eastAsia="Arial" w:hAnsi="Arial"/>
                <w:sz w:val="16"/>
                <w:szCs w:val="16"/>
                <w:color w:val="auto"/>
              </w:rPr>
              <w:t>GM Financial</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4"/>
        </w:trPr>
        <w:tc>
          <w:tcPr>
            <w:tcW w:w="8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8440" w:type="dxa"/>
            <w:vAlign w:val="bottom"/>
          </w:tcPr>
          <w:p>
            <w:pPr>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207</w:t>
            </w:r>
          </w:p>
        </w:tc>
      </w:tr>
      <w:tr>
        <w:trPr>
          <w:trHeight w:val="20"/>
        </w:trPr>
        <w:tc>
          <w:tcPr>
            <w:tcW w:w="8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8440" w:type="dxa"/>
            <w:vAlign w:val="bottom"/>
          </w:tcPr>
          <w:p>
            <w:pPr>
              <w:spacing w:after="0"/>
              <w:rPr>
                <w:sz w:val="20"/>
                <w:szCs w:val="20"/>
                <w:color w:val="auto"/>
              </w:rPr>
            </w:pPr>
            <w:r>
              <w:rPr>
                <w:rFonts w:ascii="Arial" w:cs="Arial" w:eastAsia="Arial" w:hAnsi="Arial"/>
                <w:sz w:val="16"/>
                <w:szCs w:val="16"/>
                <w:color w:val="auto"/>
              </w:rPr>
              <w:t>U.S. - Salaried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29</w:t>
            </w:r>
          </w:p>
        </w:tc>
      </w:tr>
      <w:tr>
        <w:trPr>
          <w:trHeight w:val="241"/>
        </w:trPr>
        <w:tc>
          <w:tcPr>
            <w:tcW w:w="8440" w:type="dxa"/>
            <w:vAlign w:val="bottom"/>
          </w:tcPr>
          <w:p>
            <w:pPr>
              <w:spacing w:after="0"/>
              <w:rPr>
                <w:sz w:val="20"/>
                <w:szCs w:val="20"/>
                <w:color w:val="auto"/>
              </w:rPr>
            </w:pPr>
            <w:r>
              <w:rPr>
                <w:rFonts w:ascii="Arial" w:cs="Arial" w:eastAsia="Arial" w:hAnsi="Arial"/>
                <w:sz w:val="16"/>
                <w:szCs w:val="16"/>
                <w:color w:val="auto"/>
              </w:rPr>
              <w:t>U.S. - Hourly</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60" w:top="726"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2012</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2012</w:t>
            </w:r>
          </w:p>
        </w:tc>
        <w:tc>
          <w:tcPr>
            <w:tcW w:w="920" w:type="dxa"/>
            <w:vAlign w:val="bottom"/>
          </w:tcPr>
          <w:p>
            <w:pPr>
              <w:jc w:val="right"/>
              <w:ind w:right="21"/>
              <w:spacing w:after="0"/>
              <w:rPr>
                <w:sz w:val="20"/>
                <w:szCs w:val="20"/>
                <w:color w:val="auto"/>
              </w:rPr>
            </w:pPr>
            <w:r>
              <w:rPr>
                <w:rFonts w:ascii="Arial" w:cs="Arial" w:eastAsia="Arial" w:hAnsi="Arial"/>
                <w:sz w:val="13"/>
                <w:szCs w:val="13"/>
                <w:b w:val="1"/>
                <w:bCs w:val="1"/>
                <w:color w:val="auto"/>
                <w:w w:val="94"/>
              </w:rPr>
              <w:t>June 30, 2011</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Production Volume (units in thousands)(a)</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GMNA - Cars</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GMNA - Trucks</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GMNA</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GME</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GMIO - Consolidated Entities</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GMIO - Joint Ventures(b)</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GMIO</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GMSA</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2,393</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2,400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4,816</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4,727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4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Production volume includes vehicles produced by certain joint ventures.</w:t>
      </w:r>
    </w:p>
    <w:p>
      <w:pPr>
        <w:ind w:left="284" w:hanging="284"/>
        <w:spacing w:after="0"/>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joint venture agreements with SGMW and FAW-GM allow for significant rights as a member as well as the contractual right to report SGMW and FAW-GM joint venture production in China.</w:t>
      </w:r>
    </w:p>
    <w:p>
      <w:pPr>
        <w:spacing w:after="0" w:line="200" w:lineRule="exact"/>
        <w:rPr>
          <w:sz w:val="20"/>
          <w:szCs w:val="20"/>
          <w:color w:val="auto"/>
        </w:rPr>
      </w:pP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4"/>
          </w:cols>
          <w:pgMar w:left="236" w:top="726"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2012</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2012</w:t>
            </w:r>
          </w:p>
        </w:tc>
        <w:tc>
          <w:tcPr>
            <w:tcW w:w="920" w:type="dxa"/>
            <w:vAlign w:val="bottom"/>
          </w:tcPr>
          <w:p>
            <w:pPr>
              <w:jc w:val="right"/>
              <w:ind w:right="20"/>
              <w:spacing w:after="0"/>
              <w:rPr>
                <w:sz w:val="20"/>
                <w:szCs w:val="20"/>
                <w:color w:val="auto"/>
              </w:rPr>
            </w:pPr>
            <w:r>
              <w:rPr>
                <w:rFonts w:ascii="Arial" w:cs="Arial" w:eastAsia="Arial" w:hAnsi="Arial"/>
                <w:sz w:val="13"/>
                <w:szCs w:val="13"/>
                <w:b w:val="1"/>
                <w:bCs w:val="1"/>
                <w:color w:val="auto"/>
                <w:w w:val="94"/>
              </w:rPr>
              <w:t>June 30, 2011</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Vehicle Sales (units in thousands)(a)(b)(c)</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Chevrolet - Cars</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Chevrolet - Trucks</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Chevrolet - Crossovers</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Cadillac</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Buick</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GMC</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United States</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707</w:t>
            </w:r>
          </w:p>
        </w:tc>
        <w:tc>
          <w:tcPr>
            <w:tcW w:w="1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669</w:t>
            </w: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1,316</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1,262</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Canada, Mexico and Other</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GMNA</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820</w:t>
            </w:r>
          </w:p>
        </w:tc>
        <w:tc>
          <w:tcPr>
            <w:tcW w:w="1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784</w:t>
            </w: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1,524</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1,468</w:t>
            </w:r>
          </w:p>
        </w:tc>
        <w:tc>
          <w:tcPr>
            <w:tcW w:w="0" w:type="dxa"/>
            <w:vAlign w:val="bottom"/>
          </w:tcPr>
          <w:p>
            <w:pPr>
              <w:spacing w:after="0"/>
              <w:rPr>
                <w:sz w:val="1"/>
                <w:szCs w:val="1"/>
                <w:color w:val="auto"/>
              </w:rPr>
            </w:pPr>
          </w:p>
        </w:tc>
      </w:tr>
      <w:tr>
        <w:trPr>
          <w:trHeight w:val="24"/>
        </w:trPr>
        <w:tc>
          <w:tcPr>
            <w:tcW w:w="7440" w:type="dxa"/>
            <w:vAlign w:val="bottom"/>
            <w:vMerge w:val="restart"/>
          </w:tcPr>
          <w:p>
            <w:pPr>
              <w:ind w:left="20"/>
              <w:spacing w:after="0"/>
              <w:rPr>
                <w:sz w:val="20"/>
                <w:szCs w:val="20"/>
                <w:color w:val="auto"/>
              </w:rPr>
            </w:pPr>
            <w:r>
              <w:rPr>
                <w:rFonts w:ascii="Arial" w:cs="Arial" w:eastAsia="Arial" w:hAnsi="Arial"/>
                <w:sz w:val="16"/>
                <w:szCs w:val="16"/>
                <w:color w:val="auto"/>
              </w:rPr>
              <w:t>GME</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Opel/Vauxhall</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Other</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GME</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454</w:t>
            </w:r>
          </w:p>
        </w:tc>
        <w:tc>
          <w:tcPr>
            <w:tcW w:w="1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488</w:t>
            </w: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852</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922</w:t>
            </w:r>
          </w:p>
        </w:tc>
        <w:tc>
          <w:tcPr>
            <w:tcW w:w="0" w:type="dxa"/>
            <w:vAlign w:val="bottom"/>
          </w:tcPr>
          <w:p>
            <w:pPr>
              <w:spacing w:after="0"/>
              <w:rPr>
                <w:sz w:val="1"/>
                <w:szCs w:val="1"/>
                <w:color w:val="auto"/>
              </w:rPr>
            </w:pPr>
          </w:p>
        </w:tc>
      </w:tr>
      <w:tr>
        <w:trPr>
          <w:trHeight w:val="24"/>
        </w:trPr>
        <w:tc>
          <w:tcPr>
            <w:tcW w:w="7440" w:type="dxa"/>
            <w:vAlign w:val="bottom"/>
            <w:vMerge w:val="restart"/>
          </w:tcPr>
          <w:p>
            <w:pPr>
              <w:ind w:left="20"/>
              <w:spacing w:after="0"/>
              <w:rPr>
                <w:sz w:val="20"/>
                <w:szCs w:val="20"/>
                <w:color w:val="auto"/>
              </w:rPr>
            </w:pPr>
            <w:r>
              <w:rPr>
                <w:rFonts w:ascii="Arial" w:cs="Arial" w:eastAsia="Arial" w:hAnsi="Arial"/>
                <w:sz w:val="16"/>
                <w:szCs w:val="16"/>
                <w:color w:val="auto"/>
              </w:rPr>
              <w:t>GMIO</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Wuling</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Buick</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GM Daewoo</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Holden</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GMC</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Cadillac</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Other</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GMIO(d)</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863</w:t>
            </w:r>
          </w:p>
        </w:tc>
        <w:tc>
          <w:tcPr>
            <w:tcW w:w="1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775</w:t>
            </w: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1,791</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1,627</w:t>
            </w:r>
          </w:p>
        </w:tc>
        <w:tc>
          <w:tcPr>
            <w:tcW w:w="0" w:type="dxa"/>
            <w:vAlign w:val="bottom"/>
          </w:tcPr>
          <w:p>
            <w:pPr>
              <w:spacing w:after="0"/>
              <w:rPr>
                <w:sz w:val="1"/>
                <w:szCs w:val="1"/>
                <w:color w:val="auto"/>
              </w:rPr>
            </w:pPr>
          </w:p>
        </w:tc>
      </w:tr>
      <w:tr>
        <w:trPr>
          <w:trHeight w:val="24"/>
        </w:trPr>
        <w:tc>
          <w:tcPr>
            <w:tcW w:w="7440" w:type="dxa"/>
            <w:vAlign w:val="bottom"/>
            <w:vMerge w:val="restart"/>
          </w:tcPr>
          <w:p>
            <w:pPr>
              <w:ind w:left="20"/>
              <w:spacing w:after="0"/>
              <w:rPr>
                <w:sz w:val="20"/>
                <w:szCs w:val="20"/>
                <w:color w:val="auto"/>
              </w:rPr>
            </w:pPr>
            <w:r>
              <w:rPr>
                <w:rFonts w:ascii="Arial" w:cs="Arial" w:eastAsia="Arial" w:hAnsi="Arial"/>
                <w:sz w:val="16"/>
                <w:szCs w:val="16"/>
                <w:color w:val="auto"/>
              </w:rPr>
              <w:t>GMSA</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Other</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GMSA</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254</w:t>
            </w:r>
          </w:p>
        </w:tc>
        <w:tc>
          <w:tcPr>
            <w:tcW w:w="1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274</w:t>
            </w:r>
          </w:p>
        </w:tc>
        <w:tc>
          <w:tcPr>
            <w:tcW w:w="1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504</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522</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2,391</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2,320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4,671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4,538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4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right="20"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Certain fleet sales that are accounted for as operating leases are included in vehicle sales at the time of delivery to the daily rental car companies.</w:t>
      </w:r>
    </w:p>
    <w:p>
      <w:pPr>
        <w:ind w:left="284"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Vehicle sales data may include rounding differences.</w:t>
      </w:r>
    </w:p>
    <w:p>
      <w:pPr>
        <w:ind w:left="284" w:hanging="284"/>
        <w:spacing w:after="0"/>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the following joint venture sales:</w:t>
      </w:r>
    </w:p>
    <w:p>
      <w:pPr>
        <w:spacing w:after="0" w:line="186" w:lineRule="exact"/>
        <w:rPr>
          <w:sz w:val="20"/>
          <w:szCs w:val="20"/>
          <w:color w:val="auto"/>
        </w:rPr>
      </w:pPr>
    </w:p>
    <w:tbl>
      <w:tblPr>
        <w:tblLayout w:type="fixed"/>
        <w:tblInd w:w="24"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3"/>
                <w:szCs w:val="13"/>
                <w:b w:val="1"/>
                <w:bCs w:val="1"/>
                <w:color w:val="auto"/>
              </w:rPr>
              <w:t>Six Months Ended</w:t>
            </w:r>
          </w:p>
        </w:tc>
      </w:tr>
      <w:tr>
        <w:trPr>
          <w:trHeight w:val="230"/>
        </w:trPr>
        <w:tc>
          <w:tcPr>
            <w:tcW w:w="74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2012</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2012</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w w:val="94"/>
              </w:rPr>
              <w:t>June 30, 2011</w:t>
            </w:r>
          </w:p>
        </w:tc>
      </w:tr>
      <w:tr>
        <w:trPr>
          <w:trHeight w:val="231"/>
        </w:trPr>
        <w:tc>
          <w:tcPr>
            <w:tcW w:w="7420" w:type="dxa"/>
            <w:vAlign w:val="bottom"/>
          </w:tcPr>
          <w:p>
            <w:pPr>
              <w:spacing w:after="0"/>
              <w:rPr>
                <w:sz w:val="20"/>
                <w:szCs w:val="20"/>
                <w:color w:val="auto"/>
              </w:rPr>
            </w:pPr>
            <w:r>
              <w:rPr>
                <w:rFonts w:ascii="Arial" w:cs="Arial" w:eastAsia="Arial" w:hAnsi="Arial"/>
                <w:sz w:val="13"/>
                <w:szCs w:val="13"/>
                <w:color w:val="auto"/>
              </w:rPr>
              <w:t>Joint venture sales in China</w:t>
            </w: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3"/>
                <w:szCs w:val="13"/>
                <w:color w:val="auto"/>
              </w:rPr>
              <w:t>SGM</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600</w:t>
            </w:r>
          </w:p>
        </w:tc>
      </w:tr>
      <w:tr>
        <w:trPr>
          <w:trHeight w:val="241"/>
        </w:trPr>
        <w:tc>
          <w:tcPr>
            <w:tcW w:w="742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672</w:t>
            </w:r>
          </w:p>
        </w:tc>
      </w:tr>
      <w:tr>
        <w:trPr>
          <w:trHeight w:val="241"/>
        </w:trPr>
        <w:tc>
          <w:tcPr>
            <w:tcW w:w="7420" w:type="dxa"/>
            <w:vAlign w:val="bottom"/>
          </w:tcPr>
          <w:p>
            <w:pPr>
              <w:spacing w:after="0"/>
              <w:rPr>
                <w:sz w:val="20"/>
                <w:szCs w:val="20"/>
                <w:color w:val="auto"/>
              </w:rPr>
            </w:pPr>
            <w:r>
              <w:rPr>
                <w:rFonts w:ascii="Arial" w:cs="Arial" w:eastAsia="Arial" w:hAnsi="Arial"/>
                <w:sz w:val="13"/>
                <w:szCs w:val="13"/>
                <w:color w:val="auto"/>
              </w:rPr>
              <w:t>Joint venture sales in India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3"/>
                <w:szCs w:val="13"/>
                <w:color w:val="auto"/>
              </w:rPr>
              <w:t>HKJV</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55</w:t>
            </w:r>
          </w:p>
        </w:tc>
      </w:tr>
    </w:tbl>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33" w:right="219" w:bottom="1440" w:gutter="0" w:footer="0" w:header="0"/>
        </w:sectPr>
      </w:pPr>
    </w:p>
    <w:bookmarkStart w:id="12" w:name="page13"/>
    <w:bookmarkEnd w:id="12"/>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96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rPr>
              <w:t>Six Months Ended</w:t>
            </w:r>
          </w:p>
        </w:tc>
      </w:tr>
      <w:tr>
        <w:trPr>
          <w:trHeight w:val="230"/>
        </w:trPr>
        <w:tc>
          <w:tcPr>
            <w:tcW w:w="74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2012</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2012</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w w:val="96"/>
              </w:rPr>
              <w:t>June 30, 2011</w:t>
            </w: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15.4%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18.5%</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14.8%</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17.0%</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23.8%</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23.1%</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24.3%</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18.5%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19.2%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17.9%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19.5%</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20.0%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17.7%</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19.6%</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Total GMNA</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17.4%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19.1%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17.1%</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18.7%</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Total GME</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8.8%</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9.0%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8.5%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8.7%</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Total GMIO(c)</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9.2%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9.8%</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9.3%</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9.5%</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Total GMSA</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19.3%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19.0%</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11.6%</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12.3%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11.4%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11.9%</w:t>
            </w:r>
          </w:p>
        </w:tc>
      </w:tr>
      <w:tr>
        <w:trPr>
          <w:trHeight w:val="48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31.0%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38.6%</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32.1%</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34.3%</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30.6%</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29.2%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28.0%</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25.2%</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25.7%</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17.0%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21.9%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18.4%</w:t>
            </w:r>
          </w:p>
        </w:tc>
      </w:tr>
      <w:tr>
        <w:trPr>
          <w:trHeight w:val="241"/>
        </w:trPr>
        <w:tc>
          <w:tcPr>
            <w:tcW w:w="744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29.6%</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30.6%</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28.2%</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27.3%</w:t>
            </w:r>
          </w:p>
        </w:tc>
      </w:tr>
      <w:tr>
        <w:trPr>
          <w:trHeight w:val="482"/>
        </w:trPr>
        <w:tc>
          <w:tcPr>
            <w:tcW w:w="7440" w:type="dxa"/>
            <w:vAlign w:val="bottom"/>
          </w:tcPr>
          <w:p>
            <w:pPr>
              <w:ind w:left="20"/>
              <w:spacing w:after="0"/>
              <w:rPr>
                <w:sz w:val="20"/>
                <w:szCs w:val="20"/>
                <w:color w:val="auto"/>
              </w:rPr>
            </w:pPr>
            <w:r>
              <w:rPr>
                <w:rFonts w:ascii="Arial" w:cs="Arial" w:eastAsia="Arial" w:hAnsi="Arial"/>
                <w:sz w:val="16"/>
                <w:szCs w:val="16"/>
                <w:color w:val="auto"/>
              </w:rPr>
              <w:t>GMNA Capacity Utilization</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100.8%</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102.1%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99.7%</w:t>
            </w:r>
          </w:p>
        </w:tc>
      </w:tr>
      <w:tr>
        <w:trPr>
          <w:trHeight w:val="211"/>
        </w:trPr>
        <w:tc>
          <w:tcPr>
            <w:tcW w:w="7440" w:type="dxa"/>
            <w:vAlign w:val="bottom"/>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284" w:hanging="284"/>
        <w:spacing w:after="0" w:line="232" w:lineRule="auto"/>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Market share information is based on vehicle sales volume.</w:t>
      </w:r>
    </w:p>
    <w:p>
      <w:pPr>
        <w:ind w:left="284" w:right="140" w:hanging="284"/>
        <w:spacing w:after="0" w:line="232" w:lineRule="auto"/>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the following joint venture sales:</w:t>
      </w:r>
    </w:p>
    <w:p>
      <w:pPr>
        <w:spacing w:after="0" w:line="186" w:lineRule="exact"/>
        <w:rPr>
          <w:sz w:val="20"/>
          <w:szCs w:val="20"/>
          <w:color w:val="auto"/>
        </w:rPr>
      </w:pPr>
    </w:p>
    <w:tbl>
      <w:tblPr>
        <w:tblLayout w:type="fixed"/>
        <w:tblInd w:w="1624" w:type="dxa"/>
        <w:tblCellMar>
          <w:top w:w="0" w:type="dxa"/>
          <w:left w:w="0" w:type="dxa"/>
          <w:bottom w:w="0" w:type="dxa"/>
          <w:right w:w="0" w:type="dxa"/>
        </w:tblCellMar>
      </w:tblPr>
      <w:tr>
        <w:trPr>
          <w:trHeight w:val="172"/>
        </w:trPr>
        <w:tc>
          <w:tcPr>
            <w:tcW w:w="522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Six Months Ended</w:t>
            </w:r>
          </w:p>
        </w:tc>
      </w:tr>
      <w:tr>
        <w:trPr>
          <w:trHeight w:val="134"/>
        </w:trPr>
        <w:tc>
          <w:tcPr>
            <w:tcW w:w="5220" w:type="dxa"/>
            <w:vAlign w:val="bottom"/>
          </w:tcPr>
          <w:p>
            <w:pPr>
              <w:spacing w:after="0"/>
              <w:rPr>
                <w:sz w:val="11"/>
                <w:szCs w:val="11"/>
                <w:color w:val="auto"/>
              </w:rPr>
            </w:pPr>
          </w:p>
        </w:tc>
        <w:tc>
          <w:tcPr>
            <w:tcW w:w="780" w:type="dxa"/>
            <w:vAlign w:val="bottom"/>
            <w:gridSpan w:val="2"/>
          </w:tcPr>
          <w:p>
            <w:pPr>
              <w:ind w:left="120"/>
              <w:spacing w:after="0" w:line="134" w:lineRule="exact"/>
              <w:rPr>
                <w:sz w:val="20"/>
                <w:szCs w:val="20"/>
                <w:color w:val="auto"/>
              </w:rPr>
            </w:pPr>
            <w:r>
              <w:rPr>
                <w:rFonts w:ascii="Arial" w:cs="Arial" w:eastAsia="Arial" w:hAnsi="Arial"/>
                <w:sz w:val="13"/>
                <w:szCs w:val="13"/>
                <w:b w:val="1"/>
                <w:bCs w:val="1"/>
                <w:color w:val="auto"/>
              </w:rPr>
              <w:t>June 30,</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rPr>
              <w:t>June 30,</w:t>
            </w:r>
          </w:p>
        </w:tc>
        <w:tc>
          <w:tcPr>
            <w:tcW w:w="76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June 30,</w:t>
            </w:r>
          </w:p>
        </w:tc>
        <w:tc>
          <w:tcPr>
            <w:tcW w:w="680" w:type="dxa"/>
            <w:vAlign w:val="bottom"/>
          </w:tcPr>
          <w:p>
            <w:pPr>
              <w:jc w:val="right"/>
              <w:ind w:right="36"/>
              <w:spacing w:after="0" w:line="134" w:lineRule="exact"/>
              <w:rPr>
                <w:sz w:val="20"/>
                <w:szCs w:val="20"/>
                <w:color w:val="auto"/>
              </w:rPr>
            </w:pPr>
            <w:r>
              <w:rPr>
                <w:rFonts w:ascii="Arial" w:cs="Arial" w:eastAsia="Arial" w:hAnsi="Arial"/>
                <w:sz w:val="13"/>
                <w:szCs w:val="13"/>
                <w:b w:val="1"/>
                <w:bCs w:val="1"/>
                <w:color w:val="auto"/>
              </w:rPr>
              <w:t>June 30,</w:t>
            </w:r>
          </w:p>
        </w:tc>
      </w:tr>
      <w:tr>
        <w:trPr>
          <w:trHeight w:val="169"/>
        </w:trPr>
        <w:tc>
          <w:tcPr>
            <w:tcW w:w="522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2011</w:t>
            </w:r>
          </w:p>
        </w:tc>
      </w:tr>
      <w:tr>
        <w:trPr>
          <w:trHeight w:val="231"/>
        </w:trPr>
        <w:tc>
          <w:tcPr>
            <w:tcW w:w="5220" w:type="dxa"/>
            <w:vAlign w:val="bottom"/>
          </w:tcPr>
          <w:p>
            <w:pPr>
              <w:spacing w:after="0"/>
              <w:rPr>
                <w:sz w:val="20"/>
                <w:szCs w:val="20"/>
                <w:color w:val="auto"/>
              </w:rPr>
            </w:pPr>
            <w:r>
              <w:rPr>
                <w:rFonts w:ascii="Arial" w:cs="Arial" w:eastAsia="Arial" w:hAnsi="Arial"/>
                <w:sz w:val="13"/>
                <w:szCs w:val="13"/>
                <w:color w:val="auto"/>
              </w:rPr>
              <w:t>Joint venture sales in China</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1"/>
        </w:trPr>
        <w:tc>
          <w:tcPr>
            <w:tcW w:w="5220" w:type="dxa"/>
            <w:vAlign w:val="bottom"/>
          </w:tcPr>
          <w:p>
            <w:pPr>
              <w:ind w:left="140"/>
              <w:spacing w:after="0"/>
              <w:rPr>
                <w:sz w:val="20"/>
                <w:szCs w:val="20"/>
                <w:color w:val="auto"/>
              </w:rPr>
            </w:pPr>
            <w:r>
              <w:rPr>
                <w:rFonts w:ascii="Arial" w:cs="Arial" w:eastAsia="Arial" w:hAnsi="Arial"/>
                <w:sz w:val="13"/>
                <w:szCs w:val="13"/>
                <w:color w:val="auto"/>
              </w:rPr>
              <w:t>SGM</w:t>
            </w:r>
          </w:p>
        </w:tc>
        <w:tc>
          <w:tcPr>
            <w:tcW w:w="680" w:type="dxa"/>
            <w:vAlign w:val="bottom"/>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241"/>
        </w:trPr>
        <w:tc>
          <w:tcPr>
            <w:tcW w:w="522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68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672</w:t>
            </w:r>
          </w:p>
        </w:tc>
      </w:tr>
      <w:tr>
        <w:trPr>
          <w:trHeight w:val="241"/>
        </w:trPr>
        <w:tc>
          <w:tcPr>
            <w:tcW w:w="5220" w:type="dxa"/>
            <w:vAlign w:val="bottom"/>
          </w:tcPr>
          <w:p>
            <w:pPr>
              <w:spacing w:after="0"/>
              <w:rPr>
                <w:sz w:val="20"/>
                <w:szCs w:val="20"/>
                <w:color w:val="auto"/>
              </w:rPr>
            </w:pPr>
            <w:r>
              <w:rPr>
                <w:rFonts w:ascii="Arial" w:cs="Arial" w:eastAsia="Arial" w:hAnsi="Arial"/>
                <w:sz w:val="13"/>
                <w:szCs w:val="13"/>
                <w:color w:val="auto"/>
              </w:rPr>
              <w:t>Joint venture sales in India</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1"/>
        </w:trPr>
        <w:tc>
          <w:tcPr>
            <w:tcW w:w="5220" w:type="dxa"/>
            <w:vAlign w:val="bottom"/>
          </w:tcPr>
          <w:p>
            <w:pPr>
              <w:ind w:left="140"/>
              <w:spacing w:after="0"/>
              <w:rPr>
                <w:sz w:val="20"/>
                <w:szCs w:val="20"/>
                <w:color w:val="auto"/>
              </w:rPr>
            </w:pPr>
            <w:r>
              <w:rPr>
                <w:rFonts w:ascii="Arial" w:cs="Arial" w:eastAsia="Arial" w:hAnsi="Arial"/>
                <w:sz w:val="13"/>
                <w:szCs w:val="13"/>
                <w:color w:val="auto"/>
              </w:rPr>
              <w:t>HKJV</w:t>
            </w: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r>
    </w:tbl>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726" w:right="219" w:bottom="1440" w:gutter="0" w:footer="0" w:header="0"/>
        </w:sectPr>
      </w:pPr>
    </w:p>
    <w:bookmarkStart w:id="13" w:name="page14"/>
    <w:bookmarkEnd w:id="13"/>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Condensed Consolidated Income Statements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2012</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June 30, 2011</w:t>
            </w:r>
          </w:p>
        </w:tc>
        <w:tc>
          <w:tcPr>
            <w:tcW w:w="0" w:type="dxa"/>
            <w:vAlign w:val="bottom"/>
          </w:tcPr>
          <w:p>
            <w:pPr>
              <w:spacing w:after="0"/>
              <w:rPr>
                <w:sz w:val="1"/>
                <w:szCs w:val="1"/>
                <w:color w:val="auto"/>
              </w:rPr>
            </w:pPr>
          </w:p>
        </w:tc>
      </w:tr>
      <w:tr>
        <w:trPr>
          <w:trHeight w:val="217"/>
        </w:trPr>
        <w:tc>
          <w:tcPr>
            <w:tcW w:w="742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sales and revenue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37,127</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39,043</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74,455</w:t>
            </w:r>
          </w:p>
        </w:tc>
        <w:tc>
          <w:tcPr>
            <w:tcW w:w="10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74,942</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GM Financial revenue</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Total net sales and revenue</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37,614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39,373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75,373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75,567</w:t>
            </w:r>
          </w:p>
        </w:tc>
        <w:tc>
          <w:tcPr>
            <w:tcW w:w="0" w:type="dxa"/>
            <w:vAlign w:val="bottom"/>
          </w:tcPr>
          <w:p>
            <w:pPr>
              <w:spacing w:after="0"/>
              <w:rPr>
                <w:sz w:val="1"/>
                <w:szCs w:val="1"/>
                <w:color w:val="auto"/>
              </w:rPr>
            </w:pPr>
          </w:p>
        </w:tc>
      </w:tr>
      <w:tr>
        <w:trPr>
          <w:trHeight w:val="24"/>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cost of sales</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32,678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33,793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65,588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65,478</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GM Financial operating and other expenses</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2,842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5,815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Other automotive expenses, net</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Goodwill impairment charges</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35,793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36,922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72,556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72,167</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30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6"/>
                <w:szCs w:val="16"/>
                <w:color w:val="auto"/>
              </w:rPr>
              <w:t>Income before income taxes and equity income</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3,998</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Equity income, net of tax and gain on disposal of investments</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r>
        <w:trPr>
          <w:trHeight w:val="24"/>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6,448</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20" w:type="dxa"/>
            <w:vAlign w:val="bottom"/>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6,358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60" w:top="726" w:right="219" w:bottom="1440" w:gutter="0" w:footer="0" w:header="0"/>
        </w:sectPr>
      </w:pPr>
    </w:p>
    <w:bookmarkStart w:id="14" w:name="page15"/>
    <w:bookmarkEnd w:id="14"/>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4" w:right="120" w:firstLine="145"/>
        <w:spacing w:after="0" w:line="284" w:lineRule="auto"/>
        <w:rPr>
          <w:sz w:val="20"/>
          <w:szCs w:val="20"/>
          <w:color w:val="auto"/>
        </w:rPr>
      </w:pPr>
      <w:r>
        <w:rPr>
          <w:rFonts w:ascii="Arial" w:cs="Arial" w:eastAsia="Arial" w:hAnsi="Arial"/>
          <w:sz w:val="14"/>
          <w:szCs w:val="14"/>
          <w:color w:val="auto"/>
        </w:rPr>
        <w:t>In the three months and six months ended June 30, 2012 GM was required to use the two-class method for calculating earnings per share as the applicable market value of its common stock was below $33.00 per common share in the period ended June 30, 2012.</w:t>
      </w:r>
    </w:p>
    <w:p>
      <w:pPr>
        <w:spacing w:after="0" w:line="15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(in millions, except per share amounts):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2011</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2012</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June 30, 2011</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6,358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w w:val="94"/>
              </w:rPr>
              <w:t>Less: cumulative dividends on preferred stock and undistributed earnings allocated to Series B Preferred Stock</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40" w:type="dxa"/>
            <w:vAlign w:val="bottom"/>
          </w:tcPr>
          <w:p>
            <w:pPr>
              <w:ind w:left="160"/>
              <w:spacing w:after="0"/>
              <w:rPr>
                <w:sz w:val="20"/>
                <w:szCs w:val="20"/>
                <w:color w:val="auto"/>
              </w:rPr>
            </w:pPr>
            <w:r>
              <w:rPr>
                <w:rFonts w:ascii="Arial" w:cs="Arial" w:eastAsia="Arial" w:hAnsi="Arial"/>
                <w:sz w:val="16"/>
                <w:szCs w:val="16"/>
                <w:color w:val="auto"/>
              </w:rPr>
              <w:t>participating security(b)</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6,358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w w:val="94"/>
              </w:rPr>
              <w:t>Less: cumulative dividends on preferred stock and undistributed earnings allocated to Series B Preferred Stock</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40" w:type="dxa"/>
            <w:vAlign w:val="bottom"/>
          </w:tcPr>
          <w:p>
            <w:pPr>
              <w:ind w:left="160"/>
              <w:spacing w:after="0"/>
              <w:rPr>
                <w:sz w:val="20"/>
                <w:szCs w:val="20"/>
                <w:color w:val="auto"/>
              </w:rPr>
            </w:pPr>
            <w:r>
              <w:rPr>
                <w:rFonts w:ascii="Arial" w:cs="Arial" w:eastAsia="Arial" w:hAnsi="Arial"/>
                <w:sz w:val="16"/>
                <w:szCs w:val="16"/>
                <w:color w:val="auto"/>
              </w:rPr>
              <w:t>participating security(c)</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5,434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shares outstanding - diluted</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Dilutive effect of restricted stock units</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1,654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7"/>
                <w:szCs w:val="17"/>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4" w:hanging="284"/>
        <w:spacing w:after="0"/>
        <w:tabs>
          <w:tab w:leader="none" w:pos="284"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earned but undistributed dividends of $26 million on GM's Series A Preferred Stock and $20 million on GM's Series B Preferred Stock in the three and six months ended June 30, 2012 and 2011.</w:t>
      </w:r>
    </w:p>
    <w:p>
      <w:pPr>
        <w:spacing w:after="0" w:line="6" w:lineRule="exact"/>
        <w:rPr>
          <w:rFonts w:ascii="Arial" w:cs="Arial" w:eastAsia="Arial" w:hAnsi="Arial"/>
          <w:sz w:val="12"/>
          <w:szCs w:val="12"/>
          <w:color w:val="auto"/>
        </w:rPr>
      </w:pPr>
    </w:p>
    <w:p>
      <w:pPr>
        <w:jc w:val="both"/>
        <w:ind w:left="284" w:right="20" w:hanging="284"/>
        <w:spacing w:after="0" w:line="251" w:lineRule="auto"/>
        <w:tabs>
          <w:tab w:leader="none" w:pos="284"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cumulative dividends on preferred stock of $214 million and earnings of $145 million that have been allocated to the Series B Preferred Stock holders in the three months ended June 30, 2012 and cumulative dividends on preferred stock of $214 million and earnings of $254 million that have been allocated to the Series B Preferred Stock holders in the three months ended June 30, 2011. Includes cumulative dividends on preferred stock of $429 million and earnings of $241 million that have been allocated to the Series B Preferred Stock holders in the six months ended June 30, 2012 and cumulative dividends on preferred stock of $429 million and earnings of $542 million allocated to the Series B Preferred Stock holders in the six months ended June 30, 2011.</w:t>
      </w:r>
    </w:p>
    <w:p>
      <w:pPr>
        <w:spacing w:after="0" w:line="1" w:lineRule="exact"/>
        <w:rPr>
          <w:rFonts w:ascii="Arial" w:cs="Arial" w:eastAsia="Arial" w:hAnsi="Arial"/>
          <w:sz w:val="12"/>
          <w:szCs w:val="12"/>
          <w:color w:val="auto"/>
        </w:rPr>
      </w:pPr>
    </w:p>
    <w:p>
      <w:pPr>
        <w:jc w:val="both"/>
        <w:ind w:left="284" w:right="20" w:hanging="284"/>
        <w:spacing w:after="0" w:line="260" w:lineRule="auto"/>
        <w:tabs>
          <w:tab w:leader="none" w:pos="284"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cumulative dividends on preferred stock of $214 million and earnings of $136 million that have been allocated to the Series B Preferred Stock holders in the three months ended June 30, 2012 and cumulative dividends on preferred stock of $214 million and earnings of $233 million that have been allocated to the Series B Preferred Stock holders in the three months ended June 30, 2011. Includes cumulative dividends on preferred stock of $429 million and earnings of $226 million that have been allocated to the Series B Preferred Stock holders in the six months ended June 30, 2012 and cumulative dividends on preferred stock of $429 million and earnings of $495 million that have been allocated to the Series B Preferred Stock holders in the six months ended June 30, 2011.</w:t>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726" w:right="219" w:bottom="1440" w:gutter="0" w:footer="0" w:header="0"/>
        </w:sectPr>
      </w:pPr>
    </w:p>
    <w:bookmarkStart w:id="15" w:name="page16"/>
    <w:bookmarkEnd w:id="15"/>
    <w:p>
      <w:pPr>
        <w:jc w:val="center"/>
        <w:ind w:left="352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35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jc w:val="center"/>
        <w:ind w:left="352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left="3520"/>
        <w:spacing w:after="0"/>
        <w:rPr>
          <w:sz w:val="20"/>
          <w:szCs w:val="20"/>
          <w:color w:val="auto"/>
        </w:rPr>
      </w:pPr>
      <w:r>
        <w:rPr>
          <w:rFonts w:ascii="Arial" w:cs="Arial" w:eastAsia="Arial" w:hAnsi="Arial"/>
          <w:sz w:val="16"/>
          <w:szCs w:val="16"/>
          <w:i w:val="1"/>
          <w:iCs w:val="1"/>
          <w:color w:val="auto"/>
        </w:rPr>
        <w:t>(Unaudited)</w:t>
      </w:r>
    </w:p>
    <w:p>
      <w:pPr>
        <w:spacing w:after="0" w:line="379" w:lineRule="exact"/>
        <w:rPr>
          <w:sz w:val="20"/>
          <w:szCs w:val="20"/>
          <w:color w:val="auto"/>
        </w:rPr>
      </w:pPr>
    </w:p>
    <w:p>
      <w:pPr>
        <w:jc w:val="center"/>
        <w:ind w:left="460"/>
        <w:spacing w:after="0"/>
        <w:rPr>
          <w:sz w:val="20"/>
          <w:szCs w:val="20"/>
          <w:color w:val="auto"/>
        </w:rPr>
      </w:pPr>
      <w:r>
        <w:rPr>
          <w:rFonts w:ascii="Arial" w:cs="Arial" w:eastAsia="Arial" w:hAnsi="Arial"/>
          <w:sz w:val="11"/>
          <w:szCs w:val="11"/>
          <w:b w:val="1"/>
          <w:bCs w:val="1"/>
          <w:color w:val="auto"/>
        </w:rPr>
        <w:t>ASSETS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Cash and cash equivalents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and notes receivable (net of allowance of $324 and $331)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finance receivables transferred to SPEs of $3,359 and $3,295)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Inventories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Equipment on operating leases,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current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finance receivables transferred to SPEs of $6,427 and $5,773)</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Equity in net assets of nonconsolidated affiliates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Property,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Goodwill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Intangible assets,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equipment on operating leases, net (including assets transferred to SPEs of $478 and $274)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w:t>
      </w:r>
    </w:p>
    <w:p>
      <w:pPr>
        <w:spacing w:after="0" w:line="115" w:lineRule="exact"/>
        <w:rPr>
          <w:sz w:val="20"/>
          <w:szCs w:val="20"/>
          <w:color w:val="auto"/>
        </w:rPr>
      </w:pPr>
    </w:p>
    <w:p>
      <w:pPr>
        <w:jc w:val="center"/>
        <w:ind w:left="460"/>
        <w:spacing w:after="0"/>
        <w:rPr>
          <w:sz w:val="20"/>
          <w:szCs w:val="20"/>
          <w:color w:val="auto"/>
        </w:rPr>
      </w:pPr>
      <w:r>
        <w:rPr>
          <w:rFonts w:ascii="Arial" w:cs="Arial" w:eastAsia="Arial" w:hAnsi="Arial"/>
          <w:sz w:val="11"/>
          <w:szCs w:val="11"/>
          <w:b w:val="1"/>
          <w:bCs w:val="1"/>
          <w:color w:val="auto"/>
        </w:rPr>
        <w:t>LIABILITIES AND EQUITY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payable (principally trade)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Short-term debt and current portion of 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 (including certain debt at GM Korea of $116 and $171)</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Accrued liabilities (including derivative liabilities at GM Korea of $31 and $44)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Postretirement benefits other than 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liabilities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Equity</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Preferred stock, $0.01 par value, 2,000,000,000 shares authorized: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A (276,101,695 shares issued and outstanding (each with a $25.00 liquidation preference) at June 30, 2012 and December 31, 2011)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B (100,000,000 shares issued and outstanding (each with a $50.00 liquidation preference) at June 30, 2012 and December 31, 2011)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0"/>
          <w:szCs w:val="10"/>
          <w:color w:val="auto"/>
        </w:rPr>
        <w:t>Common stock, $0.01 par value (5,000,000,000 shares authorized and 1,565,941,048 shares and 1,564,727,289 shares issued and outstanding at June 30, 2012 and December 31, 2011)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Capital surplus (principally additional paid-in capital)</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Retained earnings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Accumulated other comprehensive loss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Total stockholders’ equity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Noncontrolling interests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Equity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220" w:type="dxa"/>
            <w:vAlign w:val="bottom"/>
          </w:tcPr>
          <w:p>
            <w:pPr>
              <w:spacing w:after="0"/>
              <w:rPr>
                <w:sz w:val="10"/>
                <w:szCs w:val="10"/>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2012</w:t>
            </w:r>
          </w:p>
        </w:tc>
        <w:tc>
          <w:tcPr>
            <w:tcW w:w="160" w:type="dxa"/>
            <w:vAlign w:val="bottom"/>
          </w:tcPr>
          <w:p>
            <w:pPr>
              <w:spacing w:after="0"/>
              <w:rPr>
                <w:sz w:val="10"/>
                <w:szCs w:val="10"/>
                <w:color w:val="auto"/>
              </w:rPr>
            </w:pPr>
          </w:p>
        </w:tc>
        <w:tc>
          <w:tcPr>
            <w:tcW w:w="1100" w:type="dxa"/>
            <w:vAlign w:val="bottom"/>
          </w:tcPr>
          <w:p>
            <w:pPr>
              <w:jc w:val="right"/>
              <w:ind w:right="184"/>
              <w:spacing w:after="0"/>
              <w:rPr>
                <w:sz w:val="20"/>
                <w:szCs w:val="20"/>
                <w:color w:val="auto"/>
              </w:rPr>
            </w:pPr>
            <w:r>
              <w:rPr>
                <w:rFonts w:ascii="Arial" w:cs="Arial" w:eastAsia="Arial" w:hAnsi="Arial"/>
                <w:sz w:val="10"/>
                <w:szCs w:val="10"/>
                <w:b w:val="1"/>
                <w:bCs w:val="1"/>
                <w:color w:val="auto"/>
                <w:w w:val="93"/>
              </w:rPr>
              <w:t>December 31, 2011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0"/>
        </w:trPr>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22,184</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16,071</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11,381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16,148</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1,005</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11,117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9,964</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3,478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3,251</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15,433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14,324</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3,819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2,464</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2,087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1,696</w:t>
            </w:r>
          </w:p>
        </w:tc>
      </w:tr>
      <w:tr>
        <w:trPr>
          <w:trHeight w:val="213"/>
        </w:trPr>
        <w:tc>
          <w:tcPr>
            <w:tcW w:w="2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70,233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64,923</w:t>
            </w:r>
          </w:p>
        </w:tc>
      </w:tr>
      <w:tr>
        <w:trPr>
          <w:trHeight w:val="482"/>
        </w:trPr>
        <w:tc>
          <w:tcPr>
            <w:tcW w:w="2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1,046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1,228</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6,552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5,911</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7,058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6,790</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25,026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23,005</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28,405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29,019</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9,192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10,014</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1,324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785</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3,151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2,928</w:t>
            </w:r>
          </w:p>
        </w:tc>
      </w:tr>
      <w:tr>
        <w:trPr>
          <w:trHeight w:val="221"/>
        </w:trPr>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81,754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79,680</w:t>
            </w:r>
          </w:p>
        </w:tc>
      </w:tr>
      <w:tr>
        <w:trPr>
          <w:trHeight w:val="209"/>
        </w:trPr>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151,987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2"/>
        </w:trPr>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26,425</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24,551</w:t>
            </w:r>
          </w:p>
        </w:tc>
      </w:tr>
      <w:tr>
        <w:trPr>
          <w:trHeight w:val="482"/>
        </w:trPr>
        <w:tc>
          <w:tcPr>
            <w:tcW w:w="2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1,360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1,682</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3,732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4,118</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25,134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22,875</w:t>
            </w:r>
          </w:p>
        </w:tc>
      </w:tr>
      <w:tr>
        <w:trPr>
          <w:trHeight w:val="213"/>
        </w:trPr>
        <w:tc>
          <w:tcPr>
            <w:tcW w:w="2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56,651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53,226</w:t>
            </w:r>
          </w:p>
        </w:tc>
      </w:tr>
      <w:tr>
        <w:trPr>
          <w:trHeight w:val="724"/>
        </w:trPr>
        <w:tc>
          <w:tcPr>
            <w:tcW w:w="2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3,783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3,613</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5,918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4,420</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6,732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6,836</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24,558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25,075</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12,735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12,442</w:t>
            </w:r>
          </w:p>
        </w:tc>
      </w:tr>
      <w:tr>
        <w:trPr>
          <w:trHeight w:val="221"/>
        </w:trPr>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53,726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52,386</w:t>
            </w:r>
          </w:p>
        </w:tc>
      </w:tr>
      <w:tr>
        <w:trPr>
          <w:trHeight w:val="213"/>
        </w:trPr>
        <w:tc>
          <w:tcPr>
            <w:tcW w:w="2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110,377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105,612</w:t>
            </w:r>
          </w:p>
        </w:tc>
      </w:tr>
      <w:tr>
        <w:trPr>
          <w:trHeight w:val="965"/>
        </w:trPr>
        <w:tc>
          <w:tcPr>
            <w:tcW w:w="2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5,536</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4,855</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26,399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26,391</w:t>
            </w:r>
          </w:p>
        </w:tc>
      </w:tr>
      <w:tr>
        <w:trPr>
          <w:trHeight w:val="241"/>
        </w:trPr>
        <w:tc>
          <w:tcPr>
            <w:tcW w:w="220" w:type="dxa"/>
            <w:vAlign w:val="bottom"/>
          </w:tcPr>
          <w:p>
            <w:pPr>
              <w:spacing w:after="0"/>
              <w:rPr>
                <w:sz w:val="20"/>
                <w:szCs w:val="20"/>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9,889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7,183</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(5,995)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(5,861)</w:t>
            </w:r>
          </w:p>
        </w:tc>
      </w:tr>
      <w:tr>
        <w:trPr>
          <w:trHeight w:val="213"/>
        </w:trPr>
        <w:tc>
          <w:tcPr>
            <w:tcW w:w="2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40,700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38,120</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910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871</w:t>
            </w:r>
          </w:p>
        </w:tc>
      </w:tr>
      <w:tr>
        <w:trPr>
          <w:trHeight w:val="221"/>
        </w:trPr>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41,610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38,991</w:t>
            </w:r>
          </w:p>
        </w:tc>
      </w:tr>
      <w:tr>
        <w:trPr>
          <w:trHeight w:val="209"/>
        </w:trPr>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151,987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40" w:space="460"/>
            <w:col w:w="2640"/>
          </w:cols>
          <w:pgMar w:left="240" w:top="726" w:right="21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40" w:top="726" w:right="219" w:bottom="144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2019-12-09T19:33:31Z</dcterms:created>
  <dcterms:modified xsi:type="dcterms:W3CDTF">2019-12-09T19:33:31Z</dcterms:modified>
</cp:coreProperties>
</file>