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875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75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7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STEPHENS THOMAS G</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Chairman</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764"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760" w:type="dxa"/>
            <w:vAlign w:val="bottom"/>
            <w:gridSpan w:val="7"/>
          </w:tcPr>
          <w:p>
            <w:pPr>
              <w:jc w:val="center"/>
              <w:ind w:right="45"/>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60" w:type="dxa"/>
            <w:vAlign w:val="bottom"/>
            <w:gridSpan w:val="9"/>
          </w:tcPr>
          <w:p>
            <w:pPr>
              <w:ind w:left="3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3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6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6"/>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jc w:val="center"/>
              <w:ind w:left="75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jc w:val="right"/>
              <w:ind w:right="272"/>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40"/>
              <w:spacing w:after="0" w:line="129" w:lineRule="exact"/>
              <w:rPr>
                <w:sz w:val="20"/>
                <w:szCs w:val="20"/>
                <w:color w:val="auto"/>
              </w:rPr>
            </w:pPr>
            <w:r>
              <w:rPr>
                <w:rFonts w:ascii="Arial" w:cs="Arial" w:eastAsia="Arial" w:hAnsi="Arial"/>
                <w:sz w:val="12"/>
                <w:szCs w:val="12"/>
                <w:b w:val="1"/>
                <w:bCs w:val="1"/>
                <w:color w:val="auto"/>
                <w:w w:val="99"/>
              </w:rPr>
              <w:t>Date</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jc w:val="right"/>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3"/>
          </w:tcPr>
          <w:p>
            <w:pPr>
              <w:jc w:val="center"/>
              <w:ind w:left="66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520" w:type="dxa"/>
            <w:vAlign w:val="bottom"/>
          </w:tcPr>
          <w:p>
            <w:pPr>
              <w:ind w:left="180"/>
              <w:spacing w:after="0" w:line="132"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3"/>
              </w:rPr>
              <w:t>4,380</w:t>
            </w:r>
            <w:r>
              <w:rPr>
                <w:rFonts w:ascii="Arial" w:cs="Arial" w:eastAsia="Arial" w:hAnsi="Arial"/>
                <w:sz w:val="21"/>
                <w:szCs w:val="21"/>
                <w:color w:val="008000"/>
                <w:w w:val="83"/>
                <w:vertAlign w:val="superscript"/>
              </w:rPr>
              <w:t>(2)</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12"/>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63,446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9"/>
              </w:rPr>
              <w:t>2,233</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20.3</w:t>
            </w:r>
            <w:r>
              <w:rPr>
                <w:rFonts w:ascii="Arial" w:cs="Arial" w:eastAsia="Arial" w:hAnsi="Arial"/>
                <w:sz w:val="21"/>
                <w:szCs w:val="21"/>
                <w:color w:val="008000"/>
                <w:w w:val="87"/>
                <w:vertAlign w:val="superscript"/>
              </w:rPr>
              <w:t>(3)</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61,213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82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0000FF"/>
                <w:w w:val="83"/>
              </w:rPr>
              <w:t>15,627</w:t>
            </w:r>
            <w:r>
              <w:rPr>
                <w:rFonts w:ascii="Arial" w:cs="Arial" w:eastAsia="Arial" w:hAnsi="Arial"/>
                <w:sz w:val="21"/>
                <w:szCs w:val="21"/>
                <w:color w:val="008000"/>
                <w:w w:val="83"/>
                <w:vertAlign w:val="superscript"/>
              </w:rPr>
              <w:t>(5)</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12"/>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76,840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9"/>
              </w:rPr>
              <w:t>7,965</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20.3</w:t>
            </w:r>
            <w:r>
              <w:rPr>
                <w:rFonts w:ascii="Arial" w:cs="Arial" w:eastAsia="Arial" w:hAnsi="Arial"/>
                <w:sz w:val="21"/>
                <w:szCs w:val="21"/>
                <w:color w:val="008000"/>
                <w:w w:val="87"/>
                <w:vertAlign w:val="superscript"/>
              </w:rPr>
              <w:t>(3)</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68,875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(6)</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87"/>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71"/>
              <w:spacing w:after="0"/>
              <w:rPr>
                <w:sz w:val="20"/>
                <w:szCs w:val="20"/>
                <w:color w:val="auto"/>
              </w:rPr>
            </w:pPr>
            <w:r>
              <w:rPr>
                <w:rFonts w:ascii="Arial" w:cs="Arial" w:eastAsia="Arial" w:hAnsi="Arial"/>
                <w:sz w:val="17"/>
                <w:szCs w:val="17"/>
                <w:color w:val="0000FF"/>
                <w:w w:val="88"/>
              </w:rPr>
              <w:t>66,503</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12"/>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135,378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60" w:type="dxa"/>
            <w:vAlign w:val="bottom"/>
            <w:gridSpan w:val="10"/>
          </w:tcPr>
          <w:p>
            <w:pPr>
              <w:jc w:val="right"/>
              <w:ind w:right="1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60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jc w:val="right"/>
              <w:ind w:right="12"/>
              <w:spacing w:after="0" w:line="132"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jc w:val="right"/>
              <w:ind w:right="212"/>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vMerge w:val="restart"/>
          </w:tcPr>
          <w:p>
            <w:pPr>
              <w:jc w:val="center"/>
              <w:ind w:right="60"/>
              <w:spacing w:after="0"/>
              <w:rPr>
                <w:sz w:val="20"/>
                <w:szCs w:val="20"/>
                <w:color w:val="auto"/>
              </w:rPr>
            </w:pPr>
            <w:r>
              <w:rPr>
                <w:rFonts w:ascii="Arial" w:cs="Arial" w:eastAsia="Arial" w:hAnsi="Arial"/>
                <w:sz w:val="13"/>
                <w:szCs w:val="13"/>
                <w:color w:val="0000FF"/>
              </w:rPr>
              <w:t>4,380</w:t>
            </w:r>
            <w:r>
              <w:rPr>
                <w:rFonts w:ascii="Arial" w:cs="Arial" w:eastAsia="Arial" w:hAnsi="Arial"/>
                <w:sz w:val="21"/>
                <w:szCs w:val="21"/>
                <w:color w:val="008000"/>
                <w:vertAlign w:val="superscript"/>
              </w:rPr>
              <w:t>(2)</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ind w:right="12"/>
              <w:spacing w:after="0"/>
              <w:rPr>
                <w:sz w:val="20"/>
                <w:szCs w:val="20"/>
                <w:color w:val="auto"/>
              </w:rPr>
            </w:pPr>
            <w:r>
              <w:rPr>
                <w:rFonts w:ascii="Arial" w:cs="Arial" w:eastAsia="Arial" w:hAnsi="Arial"/>
                <w:sz w:val="17"/>
                <w:szCs w:val="17"/>
                <w:color w:val="0000FF"/>
                <w:w w:val="97"/>
              </w:rPr>
              <w:t>4,380</w:t>
            </w:r>
            <w:r>
              <w:rPr>
                <w:rFonts w:ascii="Arial" w:cs="Arial" w:eastAsia="Arial" w:hAnsi="Arial"/>
                <w:sz w:val="21"/>
                <w:szCs w:val="21"/>
                <w:color w:val="008000"/>
                <w:w w:val="97"/>
                <w:vertAlign w:val="superscript"/>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ind w:right="161"/>
              <w:spacing w:after="0"/>
              <w:rPr>
                <w:sz w:val="20"/>
                <w:szCs w:val="20"/>
                <w:color w:val="auto"/>
              </w:rPr>
            </w:pPr>
            <w:r>
              <w:rPr>
                <w:rFonts w:ascii="Arial" w:cs="Arial" w:eastAsia="Arial" w:hAnsi="Arial"/>
                <w:sz w:val="13"/>
                <w:szCs w:val="13"/>
                <w:color w:val="0000FF"/>
              </w:rPr>
              <w:t>4,380</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174"/>
              <w:spacing w:after="0"/>
              <w:rPr>
                <w:sz w:val="20"/>
                <w:szCs w:val="20"/>
                <w:color w:val="auto"/>
              </w:rPr>
            </w:pPr>
            <w:r>
              <w:rPr>
                <w:rFonts w:ascii="Arial" w:cs="Arial" w:eastAsia="Arial" w:hAnsi="Arial"/>
                <w:sz w:val="13"/>
                <w:szCs w:val="13"/>
                <w:color w:val="0000FF"/>
              </w:rPr>
              <w:t>09/30/2011</w:t>
            </w:r>
          </w:p>
        </w:tc>
        <w:tc>
          <w:tcPr>
            <w:tcW w:w="1120" w:type="dxa"/>
            <w:vAlign w:val="bottom"/>
          </w:tcPr>
          <w:p>
            <w:pPr>
              <w:spacing w:after="0"/>
              <w:rPr>
                <w:sz w:val="6"/>
                <w:szCs w:val="6"/>
                <w:color w:val="auto"/>
              </w:rPr>
            </w:pPr>
          </w:p>
        </w:tc>
        <w:tc>
          <w:tcPr>
            <w:tcW w:w="780" w:type="dxa"/>
            <w:vAlign w:val="bottom"/>
            <w:gridSpan w:val="2"/>
            <w:vMerge w:val="restart"/>
          </w:tcPr>
          <w:p>
            <w:pPr>
              <w:jc w:val="center"/>
              <w:ind w:right="285"/>
              <w:spacing w:after="0"/>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6"/>
                <w:szCs w:val="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1"/>
              <w:spacing w:after="0"/>
              <w:rPr>
                <w:sz w:val="20"/>
                <w:szCs w:val="20"/>
                <w:color w:val="auto"/>
              </w:rPr>
            </w:pPr>
            <w:r>
              <w:rPr>
                <w:rFonts w:ascii="Arial" w:cs="Arial" w:eastAsia="Arial" w:hAnsi="Arial"/>
                <w:sz w:val="11"/>
                <w:szCs w:val="11"/>
                <w:color w:val="008000"/>
                <w:w w:val="88"/>
              </w:rPr>
              <w:t>(1)</w:t>
            </w:r>
          </w:p>
        </w:tc>
        <w:tc>
          <w:tcPr>
            <w:tcW w:w="6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vMerge w:val="restart"/>
          </w:tcPr>
          <w:p>
            <w:pPr>
              <w:jc w:val="center"/>
              <w:ind w:right="40"/>
              <w:spacing w:after="0"/>
              <w:rPr>
                <w:sz w:val="20"/>
                <w:szCs w:val="20"/>
                <w:color w:val="auto"/>
              </w:rPr>
            </w:pPr>
            <w:r>
              <w:rPr>
                <w:rFonts w:ascii="Arial" w:cs="Arial" w:eastAsia="Arial" w:hAnsi="Arial"/>
                <w:sz w:val="13"/>
                <w:szCs w:val="13"/>
                <w:color w:val="0000FF"/>
              </w:rPr>
              <w:t>15,627</w:t>
            </w:r>
            <w:r>
              <w:rPr>
                <w:rFonts w:ascii="Arial" w:cs="Arial" w:eastAsia="Arial" w:hAnsi="Arial"/>
                <w:sz w:val="21"/>
                <w:szCs w:val="21"/>
                <w:color w:val="008000"/>
                <w:vertAlign w:val="superscript"/>
              </w:rPr>
              <w:t>(5)</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15,627</w:t>
            </w:r>
            <w:r>
              <w:rPr>
                <w:rFonts w:ascii="Arial" w:cs="Arial" w:eastAsia="Arial" w:hAnsi="Arial"/>
                <w:sz w:val="21"/>
                <w:szCs w:val="21"/>
                <w:color w:val="008000"/>
                <w:w w:val="89"/>
                <w:vertAlign w:val="superscript"/>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ind w:right="121"/>
              <w:spacing w:after="0"/>
              <w:rPr>
                <w:sz w:val="20"/>
                <w:szCs w:val="20"/>
                <w:color w:val="auto"/>
              </w:rPr>
            </w:pPr>
            <w:r>
              <w:rPr>
                <w:rFonts w:ascii="Arial" w:cs="Arial" w:eastAsia="Arial" w:hAnsi="Arial"/>
                <w:sz w:val="13"/>
                <w:szCs w:val="13"/>
                <w:color w:val="0000FF"/>
              </w:rPr>
              <w:t>31,248</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74"/>
              <w:spacing w:after="0"/>
              <w:rPr>
                <w:sz w:val="20"/>
                <w:szCs w:val="20"/>
                <w:color w:val="auto"/>
              </w:rPr>
            </w:pPr>
            <w:r>
              <w:rPr>
                <w:rFonts w:ascii="Arial" w:cs="Arial" w:eastAsia="Arial" w:hAnsi="Arial"/>
                <w:sz w:val="13"/>
                <w:szCs w:val="13"/>
                <w:color w:val="0000FF"/>
              </w:rPr>
              <w:t>09/30/2011</w:t>
            </w:r>
          </w:p>
        </w:tc>
        <w:tc>
          <w:tcPr>
            <w:tcW w:w="1120" w:type="dxa"/>
            <w:vAlign w:val="bottom"/>
          </w:tcPr>
          <w:p>
            <w:pPr>
              <w:spacing w:after="0"/>
              <w:rPr>
                <w:sz w:val="13"/>
                <w:szCs w:val="13"/>
                <w:color w:val="auto"/>
              </w:rPr>
            </w:pPr>
          </w:p>
        </w:tc>
        <w:tc>
          <w:tcPr>
            <w:tcW w:w="780" w:type="dxa"/>
            <w:vAlign w:val="bottom"/>
            <w:gridSpan w:val="2"/>
          </w:tcPr>
          <w:p>
            <w:pPr>
              <w:jc w:val="center"/>
              <w:ind w:right="285"/>
              <w:spacing w:after="0"/>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3"/>
                <w:szCs w:val="13"/>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31"/>
              <w:spacing w:after="0"/>
              <w:rPr>
                <w:sz w:val="20"/>
                <w:szCs w:val="20"/>
                <w:color w:val="auto"/>
              </w:rPr>
            </w:pPr>
            <w:r>
              <w:rPr>
                <w:rFonts w:ascii="Arial" w:cs="Arial" w:eastAsia="Arial" w:hAnsi="Arial"/>
                <w:sz w:val="11"/>
                <w:szCs w:val="11"/>
                <w:color w:val="008000"/>
                <w:w w:val="88"/>
              </w:rPr>
              <w:t>(1)</w:t>
            </w:r>
          </w:p>
        </w:tc>
        <w:tc>
          <w:tcPr>
            <w:tcW w:w="6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44"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4"/>
        <w:spacing w:after="0" w:line="323"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 September 30, 2011 in shares of Common Stock, less a portion withheld for taxes.</w:t>
      </w:r>
    </w:p>
    <w:p>
      <w:pPr>
        <w:ind w:left="40" w:right="1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is deemed to have received a grant of 4,380 SSUs, of which 1,460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13,140 SSUs granted on September 30, 2009, of which 4,380 SSUs became payable on September 30, 2011.</w:t>
      </w:r>
    </w:p>
    <w:p>
      <w:pPr>
        <w:spacing w:after="0" w:line="31" w:lineRule="exact"/>
        <w:rPr>
          <w:rFonts w:ascii="Arial" w:cs="Arial" w:eastAsia="Arial" w:hAnsi="Arial"/>
          <w:sz w:val="13"/>
          <w:szCs w:val="13"/>
          <w:color w:val="008000"/>
        </w:rPr>
      </w:pPr>
    </w:p>
    <w:p>
      <w:pPr>
        <w:ind w:left="40" w:right="200" w:firstLine="4"/>
        <w:spacing w:after="0" w:line="323"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do not have an expiration or exercise date or carry a conversion or exercise price. Each SSU is the economic equivalent of one share of Common Stock. Under the GMSSP, the fair value of the Common Stock is the average of the high and low trading prices for the Common Stock as reported on the New York Stock Exchange, on which the Common Stock is listed, on the date of the transaction, which was $20.30.</w:t>
      </w:r>
    </w:p>
    <w:p>
      <w:pPr>
        <w:ind w:left="40" w:right="42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September 30, 2011 in shares of Common Stock, less a portion withheld for taxes.</w:t>
      </w:r>
    </w:p>
    <w:p>
      <w:pPr>
        <w:spacing w:after="0" w:line="22" w:lineRule="exact"/>
        <w:rPr>
          <w:rFonts w:ascii="Arial" w:cs="Arial" w:eastAsia="Arial" w:hAnsi="Arial"/>
          <w:sz w:val="13"/>
          <w:szCs w:val="13"/>
          <w:color w:val="008000"/>
        </w:rPr>
      </w:pPr>
    </w:p>
    <w:p>
      <w:pPr>
        <w:ind w:left="40" w:right="460" w:firstLine="4"/>
        <w:spacing w:after="0" w:line="24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15,625 SSUs, of which 5,209 SSUs were scheduled to be payable on September 30, 2011. Pursuant to the terms of the GMSSP, each issued and outstanding SSUs was automatically converted upon the effectiveness of the Stock Split into three SSUs, so that the employee was credited with a total of 46,875 SSUs granted on September 30, 2010, of which 15,627 SSUs became payable on September 30, 2011.</w:t>
      </w:r>
    </w:p>
    <w:p>
      <w:pPr>
        <w:spacing w:after="0" w:line="29" w:lineRule="exact"/>
        <w:rPr>
          <w:rFonts w:ascii="Arial" w:cs="Arial" w:eastAsia="Arial" w:hAnsi="Arial"/>
          <w:sz w:val="13"/>
          <w:szCs w:val="13"/>
          <w:color w:val="008000"/>
        </w:rPr>
      </w:pPr>
    </w:p>
    <w:p>
      <w:pPr>
        <w:ind w:left="40" w:right="32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10/04/2011</w:t>
            </w:r>
          </w:p>
        </w:tc>
        <w:tc>
          <w:tcPr>
            <w:tcW w:w="0" w:type="dxa"/>
            <w:vAlign w:val="bottom"/>
          </w:tcPr>
          <w:p>
            <w:pPr>
              <w:spacing w:after="0"/>
              <w:rPr>
                <w:sz w:val="1"/>
                <w:szCs w:val="1"/>
                <w:color w:val="auto"/>
              </w:rPr>
            </w:pPr>
          </w:p>
        </w:tc>
      </w:tr>
      <w:tr>
        <w:trPr>
          <w:trHeight w:val="90"/>
        </w:trPr>
        <w:tc>
          <w:tcPr>
            <w:tcW w:w="2060" w:type="dxa"/>
            <w:vAlign w:val="bottom"/>
            <w:tcBorders>
              <w:top w:val="single" w:sz="8" w:color="auto"/>
              <w:bottom w:val="single" w:sz="8" w:color="auto"/>
            </w:tcBorders>
            <w:gridSpan w:val="2"/>
            <w:vMerge w:val="restart"/>
          </w:tcPr>
          <w:p>
            <w:pPr>
              <w:spacing w:after="0" w:line="190" w:lineRule="exact"/>
              <w:rPr>
                <w:sz w:val="20"/>
                <w:szCs w:val="20"/>
                <w:color w:val="auto"/>
              </w:rPr>
            </w:pPr>
            <w:r>
              <w:rPr>
                <w:rFonts w:ascii="Arial" w:cs="Arial" w:eastAsia="Arial" w:hAnsi="Arial"/>
                <w:sz w:val="17"/>
                <w:szCs w:val="17"/>
                <w:color w:val="0000FF"/>
              </w:rPr>
              <w:t>fact for Mr. Stephens</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7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76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2019-12-17T01:04:12Z</dcterms:created>
  <dcterms:modified xsi:type="dcterms:W3CDTF">2019-12-17T01:04:12Z</dcterms:modified>
</cp:coreProperties>
</file>