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Engle Barry L 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7"/>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8"/>
                <w:szCs w:val="18"/>
                <w:color w:val="0000FF"/>
                <w:w w:val="87"/>
              </w:rPr>
              <w:t>64,027</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8"/>
                <w:szCs w:val="18"/>
                <w:color w:val="0000FF"/>
                <w:w w:val="86"/>
              </w:rPr>
              <w:t>110,594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640" w:type="dxa"/>
            <w:vAlign w:val="bottom"/>
            <w:gridSpan w:val="2"/>
          </w:tcPr>
          <w:p>
            <w:pPr>
              <w:jc w:val="center"/>
              <w:ind w:left="8"/>
              <w:spacing w:after="0"/>
              <w:rPr>
                <w:sz w:val="20"/>
                <w:szCs w:val="20"/>
                <w:color w:val="auto"/>
              </w:rPr>
            </w:pPr>
            <w:r>
              <w:rPr>
                <w:rFonts w:ascii="Arial" w:cs="Arial" w:eastAsia="Arial" w:hAnsi="Arial"/>
                <w:sz w:val="18"/>
                <w:szCs w:val="18"/>
                <w:color w:val="0000FF"/>
                <w:w w:val="87"/>
              </w:rPr>
              <w:t>27,916</w:t>
            </w: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center"/>
              <w:ind w:left="7"/>
              <w:spacing w:after="0"/>
              <w:rPr>
                <w:sz w:val="20"/>
                <w:szCs w:val="20"/>
                <w:color w:val="auto"/>
              </w:rPr>
            </w:pPr>
            <w:r>
              <w:rPr>
                <w:rFonts w:ascii="Arial" w:cs="Arial" w:eastAsia="Arial" w:hAnsi="Arial"/>
                <w:sz w:val="18"/>
                <w:szCs w:val="18"/>
                <w:color w:val="0000FF"/>
                <w:w w:val="87"/>
              </w:rPr>
              <w:t>82,678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8"/>
              <w:spacing w:after="0"/>
              <w:rPr>
                <w:sz w:val="20"/>
                <w:szCs w:val="20"/>
                <w:color w:val="auto"/>
              </w:rPr>
            </w:pPr>
            <w:r>
              <w:rPr>
                <w:rFonts w:ascii="Arial" w:cs="Arial" w:eastAsia="Arial" w:hAnsi="Arial"/>
                <w:sz w:val="18"/>
                <w:szCs w:val="18"/>
                <w:color w:val="0000FF"/>
                <w:w w:val="88"/>
              </w:rPr>
              <w:t>4,285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8"/>
                <w:szCs w:val="18"/>
                <w:color w:val="0000FF"/>
                <w:w w:val="87"/>
              </w:rPr>
              <w:t>86,963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88"/>
              <w:spacing w:after="0"/>
              <w:rPr>
                <w:sz w:val="20"/>
                <w:szCs w:val="20"/>
                <w:color w:val="auto"/>
              </w:rPr>
            </w:pPr>
            <w:r>
              <w:rPr>
                <w:rFonts w:ascii="Arial" w:cs="Arial" w:eastAsia="Arial" w:hAnsi="Arial"/>
                <w:sz w:val="18"/>
                <w:szCs w:val="18"/>
                <w:color w:val="0000FF"/>
                <w:w w:val="88"/>
              </w:rPr>
              <w:t>1,226</w:t>
            </w:r>
          </w:p>
        </w:tc>
        <w:tc>
          <w:tcPr>
            <w:tcW w:w="8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center"/>
              <w:ind w:left="7"/>
              <w:spacing w:after="0"/>
              <w:rPr>
                <w:sz w:val="20"/>
                <w:szCs w:val="20"/>
                <w:color w:val="auto"/>
              </w:rPr>
            </w:pPr>
            <w:r>
              <w:rPr>
                <w:rFonts w:ascii="Arial" w:cs="Arial" w:eastAsia="Arial" w:hAnsi="Arial"/>
                <w:sz w:val="18"/>
                <w:szCs w:val="18"/>
                <w:color w:val="0000FF"/>
                <w:w w:val="87"/>
              </w:rPr>
              <w:t>85,737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3"/>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4,285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02/10/2019</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4,285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10, 2016, the Reporting Person received a grant of Performance Stock Units ("PSUs") under the Company's 2014 Long-Term Incentive Plan (the "2014 LTIP"). Under the grant, the PSUs could be earned based on the achievement of certain financial targets. The PSUs vested on February 10, 2019, and were awarded in shares of Common Stock.</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to the Reporting Person on February 10, 2016, under the Company's 2014 LTIP.</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under the 2014 LTIP. One-third of the RSUs vested on February 10, 2017, February 10, 2018, and February 10, 2019, respectively.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02/12/2019</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Engle</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2019-12-24T07:24:59Z</dcterms:created>
  <dcterms:modified xsi:type="dcterms:W3CDTF">2019-12-24T07:24:59Z</dcterms:modified>
</cp:coreProperties>
</file>