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Date of Report (Date of earliest event reported) July 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000-53930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40"/>
          </w:cols>
          <w:pgMar w:left="240" w:top="230" w:right="63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40" w:space="720"/>
            <w:col w:w="1960"/>
          </w:cols>
          <w:pgMar w:left="240" w:top="230" w:right="6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480" w:space="720"/>
            <w:col w:w="2820"/>
          </w:cols>
          <w:pgMar w:left="240" w:top="230"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00" w:space="720"/>
            <w:col w:w="270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tabs>
          <w:tab w:leader="none" w:pos="1020" w:val="left"/>
        </w:tabs>
        <w:rPr>
          <w:rFonts w:ascii="Arial" w:cs="Arial" w:eastAsia="Arial" w:hAnsi="Arial"/>
          <w:sz w:val="16"/>
          <w:szCs w:val="16"/>
          <w:b w:val="1"/>
          <w:bCs w:val="1"/>
          <w:u w:val="single" w:color="auto"/>
          <w:color w:val="0000EE"/>
        </w:rPr>
      </w:pPr>
      <w:hyperlink w:anchor="page3">
        <w:r>
          <w:rPr>
            <w:rFonts w:ascii="Arial" w:cs="Arial" w:eastAsia="Arial" w:hAnsi="Arial"/>
            <w:sz w:val="18"/>
            <w:szCs w:val="18"/>
            <w:b w:val="1"/>
            <w:bCs w:val="1"/>
            <w:u w:val="single" w:color="auto"/>
            <w:color w:val="0000EE"/>
          </w:rPr>
          <w:t>ITEM 8.01</w:t>
        </w:r>
      </w:hyperlink>
      <w:r>
        <w:rPr>
          <w:rFonts w:ascii="Arial" w:cs="Arial" w:eastAsia="Arial" w:hAnsi="Arial"/>
          <w:sz w:val="18"/>
          <w:szCs w:val="18"/>
          <w:b w:val="1"/>
          <w:bCs w:val="1"/>
          <w:u w:val="single" w:color="auto"/>
          <w:color w:val="0000EE"/>
        </w:rPr>
        <w:tab/>
      </w:r>
      <w:hyperlink w:anchor="page3">
        <w:r>
          <w:rPr>
            <w:rFonts w:ascii="Arial" w:cs="Arial" w:eastAsia="Arial" w:hAnsi="Arial"/>
            <w:sz w:val="16"/>
            <w:szCs w:val="16"/>
            <w:b w:val="1"/>
            <w:bCs w:val="1"/>
            <w:u w:val="single" w:color="auto"/>
            <w:color w:val="0000EE"/>
          </w:rPr>
          <w:t>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Sales Release and Charts Dated July 1, 2010</w:t>
        </w:r>
      </w:hyperlink>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On July 1, 2010, General Motors Company (GM) issued a news release announcing June sales. The release and charts are attached as Exhibit 99.1.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8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94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3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Method of Filing</w:t>
            </w:r>
          </w:p>
        </w:tc>
        <w:tc>
          <w:tcPr>
            <w:tcW w:w="80" w:type="dxa"/>
            <w:vAlign w:val="bottom"/>
          </w:tcPr>
          <w:p>
            <w:pPr>
              <w:spacing w:after="0"/>
              <w:rPr>
                <w:sz w:val="24"/>
                <w:szCs w:val="24"/>
                <w:color w:val="auto"/>
              </w:rPr>
            </w:pPr>
          </w:p>
        </w:tc>
      </w:tr>
      <w:tr>
        <w:trPr>
          <w:trHeight w:val="316"/>
        </w:trPr>
        <w:tc>
          <w:tcPr>
            <w:tcW w:w="13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3980" w:type="dxa"/>
            <w:vAlign w:val="bottom"/>
            <w:gridSpan w:val="2"/>
          </w:tcPr>
          <w:p>
            <w:pPr>
              <w:spacing w:after="0"/>
              <w:rPr>
                <w:sz w:val="20"/>
                <w:szCs w:val="20"/>
                <w:color w:val="auto"/>
              </w:rPr>
            </w:pPr>
            <w:r>
              <w:rPr>
                <w:rFonts w:ascii="Arial" w:cs="Arial" w:eastAsia="Arial" w:hAnsi="Arial"/>
                <w:sz w:val="18"/>
                <w:szCs w:val="18"/>
                <w:color w:val="auto"/>
              </w:rPr>
              <w:t>Sales Release and Charts Dated July 1, 2010</w:t>
            </w:r>
          </w:p>
        </w:tc>
        <w:tc>
          <w:tcPr>
            <w:tcW w:w="740" w:type="dxa"/>
            <w:vAlign w:val="bottom"/>
          </w:tcPr>
          <w:p>
            <w:pPr>
              <w:spacing w:after="0"/>
              <w:rPr>
                <w:sz w:val="24"/>
                <w:szCs w:val="24"/>
                <w:color w:val="auto"/>
              </w:rPr>
            </w:pPr>
          </w:p>
        </w:tc>
        <w:tc>
          <w:tcPr>
            <w:tcW w:w="5100" w:type="dxa"/>
            <w:vAlign w:val="bottom"/>
            <w:gridSpan w:val="3"/>
          </w:tcPr>
          <w:p>
            <w:pPr>
              <w:ind w:left="3700"/>
              <w:spacing w:after="0"/>
              <w:rPr>
                <w:sz w:val="20"/>
                <w:szCs w:val="20"/>
                <w:color w:val="auto"/>
              </w:rPr>
            </w:pPr>
            <w:r>
              <w:rPr>
                <w:rFonts w:ascii="Arial" w:cs="Arial" w:eastAsia="Arial" w:hAnsi="Arial"/>
                <w:sz w:val="18"/>
                <w:szCs w:val="18"/>
                <w:color w:val="auto"/>
                <w:w w:val="89"/>
              </w:rPr>
              <w:t>Attached as Exhibit</w:t>
            </w: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8"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July 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3"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Nick S. Cyprus</w:t>
      </w:r>
    </w:p>
    <w:p>
      <w:pPr>
        <w:jc w:val="center"/>
        <w:ind w:left="630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1000"/>
          </w:cols>
          <w:pgMar w:left="240" w:top="459" w:right="659" w:bottom="1440" w:gutter="0" w:footer="0" w:header="0"/>
        </w:sectPr>
      </w:pPr>
    </w:p>
    <w:bookmarkStart w:id="4" w:name="page5"/>
    <w:bookmarkEnd w:id="4"/>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158115</wp:posOffset>
            </wp:positionV>
            <wp:extent cx="3439160" cy="900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916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Release: 10:45 a.m. 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 2010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Chevrolet-Buick-GMC-Cadillac Sales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36 Percent in June</w:t>
      </w:r>
    </w:p>
    <w:p>
      <w:pPr>
        <w:spacing w:after="0" w:line="20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Sixth straight month that GM’s four brand’s sales increased by more than 20 percent</w:t>
      </w:r>
    </w:p>
    <w:p>
      <w:pPr>
        <w:spacing w:after="0" w:line="211"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Calendar-year-to-date sales for GM’s four brands are up 32 percent</w:t>
      </w:r>
    </w:p>
    <w:p>
      <w:pPr>
        <w:spacing w:after="0" w:line="211"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 full-size pickup sales increase 27 percent; up 12 percent year-to-date</w:t>
      </w:r>
    </w:p>
    <w:p>
      <w:pPr>
        <w:spacing w:after="0" w:line="211"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 crossover sales are up 81 percent year-to-date</w:t>
      </w:r>
    </w:p>
    <w:p>
      <w:pPr>
        <w:spacing w:after="0" w:line="16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June sales for Chevrolet, Buick, GMC and Cadillac increased by a combined 36 percent to 194,828 units in the United States. This is the sixth</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 month in which sales for GM’s brands increased year-over-year by more than 20 percent. Year-to-date sales for the four brands also have risen 32 percent to 1,069,577 units – an increase of 258,368 units compared to last year.</w:t>
      </w:r>
    </w:p>
    <w:p>
      <w:pPr>
        <w:spacing w:after="0" w:line="13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increase was fueled by the continuing success of the company’s launch vehicles, its growing sales of compact, midsize and luxury crossovers, and some recovery in the markets for pickups and full-size SUVs.</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resurgence in large pickup truck sales was a key factor behind June’s results, according to Don Johnson, vice president, U.S. Sales Operations. Combined sales of the Chevrolet Silverado, Chevrolet Avalanche, and GMC Sierra were up 27 percent for the month, compared to June 2009 and are up 12 percent year-to-date.</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companies continue to invest in their businesses, we expect this segment to continue to recover,” said Johnson. “We think the release of some pent up demand in the pickup market is an indication that a fundamental part of the U.S. economy is gradually strengthening.”</w:t>
      </w:r>
    </w:p>
    <w:p>
      <w:pPr>
        <w:spacing w:after="0" w:line="13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GM’s launch vehicles continue to be a driving factor behind the company’s sales increases. Retail sales of the Chevrolet Equinox and Camaro, Buick LaCrosse and Regal, GMC Terrain, and Cadillac SRX and CTS Wagon have increased 222 percent year-to-date through June and totaled 172,083. This represents about one out of every four retail sales for GM.</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Crossover Performance Keeps GM the Industry Crossover Leader</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Chevrolet and GMC dealers reported 16,093 deliveries of the Chevrolet Equinox and GMC Terrain – a 208 percent improvement from June 2009. For the year, sales of these vehicles are up almost 193 percent, to 94,105 sales through June.</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Mid-size crossovers Chevrolet Traverse, Buick Enclave and GMC Acadia continued to show improvement. During June, their combined sales increased 39 percent. Year-to-date, they are up 28 percent.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Cadillac SRX luxury crossover maintained its impressive run with an increase of 462 percent during the month. Year-to-date, SRX sales are up 488 percent.</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Month-end dealer inventory in the U.S. stood at about 438,000 units, which is about 30,000 higher compared to May 2010, and about 144,000 lower than June 2009.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Key Facts and Brand Results:</w:t>
      </w:r>
    </w:p>
    <w:p>
      <w:pPr>
        <w:spacing w:after="0" w:line="21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Sixth consecutive month that sales for Chevrolet, Buick, GMC, and Cadillac have increased by 20 percent or more.</w:t>
      </w:r>
    </w:p>
    <w:p>
      <w:pPr>
        <w:spacing w:after="0" w:line="211"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Ninth consecutive month of total and retail sales gains for GM’s four brands.</w:t>
      </w:r>
    </w:p>
    <w:p>
      <w:pPr>
        <w:spacing w:after="0" w:line="211"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Fifth month in a row of total sales improvement for GM’s full-size pickups.</w:t>
      </w:r>
    </w:p>
    <w:p>
      <w:pPr>
        <w:spacing w:after="0" w:line="211"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Fourth consecutive month of double-digit retail sales increases for GM’s brands.</w:t>
      </w:r>
    </w:p>
    <w:p>
      <w:pPr>
        <w:spacing w:after="0" w:line="211" w:lineRule="exact"/>
        <w:rPr>
          <w:rFonts w:ascii="Arial" w:cs="Arial" w:eastAsia="Arial" w:hAnsi="Arial"/>
          <w:sz w:val="18"/>
          <w:szCs w:val="18"/>
          <w:b w:val="1"/>
          <w:bCs w:val="1"/>
          <w:i w:val="1"/>
          <w:iCs w:val="1"/>
          <w:color w:val="auto"/>
        </w:rPr>
      </w:pPr>
    </w:p>
    <w:p>
      <w:pPr>
        <w:ind w:left="460" w:hanging="452"/>
        <w:spacing w:after="0" w:line="306" w:lineRule="auto"/>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Chevrolet: </w:t>
      </w:r>
      <w:r>
        <w:rPr>
          <w:rFonts w:ascii="Arial" w:cs="Arial" w:eastAsia="Arial" w:hAnsi="Arial"/>
          <w:sz w:val="16"/>
          <w:szCs w:val="16"/>
          <w:i w:val="1"/>
          <w:iCs w:val="1"/>
          <w:color w:val="auto"/>
        </w:rPr>
        <w:t>Chevrolet delivered 141,381 vehicles in June, a 32 percent gain year-over-year. This includes an 11 percent increase in retail sales, marking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ninth consecutive month of year-over-year retail sales gains. The largest sales increases were from Chevrolet line of full-size trucks. Silverado registered 30,994 total sales in June – a year-over-year increase of 25 percent, and posted the best retail sales month of the year </w:t>
      </w:r>
      <w:r>
        <w:rPr>
          <w:rFonts w:ascii="Arial" w:cs="Arial" w:eastAsia="Arial" w:hAnsi="Arial"/>
          <w:sz w:val="16"/>
          <w:szCs w:val="16"/>
          <w:color w:val="auto"/>
        </w:rPr>
        <w:t>(</w:t>
      </w:r>
      <w:r>
        <w:rPr>
          <w:rFonts w:ascii="Arial" w:cs="Arial" w:eastAsia="Arial" w:hAnsi="Arial"/>
          <w:sz w:val="16"/>
          <w:szCs w:val="16"/>
          <w:u w:val="single" w:color="auto"/>
          <w:color w:val="auto"/>
        </w:rPr>
        <w:t>read more</w:t>
      </w:r>
      <w:r>
        <w:rPr>
          <w:rFonts w:ascii="Arial" w:cs="Arial" w:eastAsia="Arial" w:hAnsi="Arial"/>
          <w:sz w:val="16"/>
          <w:szCs w:val="16"/>
          <w:color w:val="auto"/>
        </w:rPr>
        <w:t>).</w:t>
      </w:r>
    </w:p>
    <w:p>
      <w:pPr>
        <w:spacing w:after="0" w:line="147" w:lineRule="exact"/>
        <w:rPr>
          <w:rFonts w:ascii="Arial" w:cs="Arial" w:eastAsia="Arial" w:hAnsi="Arial"/>
          <w:sz w:val="16"/>
          <w:szCs w:val="16"/>
          <w:i w:val="1"/>
          <w:iCs w:val="1"/>
          <w:color w:val="auto"/>
        </w:rPr>
      </w:pPr>
    </w:p>
    <w:p>
      <w:pPr>
        <w:ind w:left="460" w:right="20" w:hanging="452"/>
        <w:spacing w:after="0" w:line="259"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Buick: </w:t>
      </w:r>
      <w:r>
        <w:rPr>
          <w:rFonts w:ascii="Arial" w:cs="Arial" w:eastAsia="Arial" w:hAnsi="Arial"/>
          <w:sz w:val="18"/>
          <w:szCs w:val="18"/>
          <w:i w:val="1"/>
          <w:iCs w:val="1"/>
          <w:color w:val="auto"/>
        </w:rPr>
        <w:t>Buick posted a 53 percent sales increase in June compared to the same month last year. Year-to-date total sales for Buick are up 48 percent. Driven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by the momentum around the LaCrosse and Enclave, retail sales saw a 28 percent increase for the ninth consecutive month of year-over-year retail sales increases, making June the best total sales month for Buick in 2010. </w:t>
      </w:r>
      <w:r>
        <w:rPr>
          <w:rFonts w:ascii="Arial" w:cs="Arial" w:eastAsia="Arial" w:hAnsi="Arial"/>
          <w:sz w:val="18"/>
          <w:szCs w:val="18"/>
          <w:color w:val="auto"/>
        </w:rPr>
        <w:t>(</w:t>
      </w:r>
      <w:r>
        <w:rPr>
          <w:rFonts w:ascii="Arial" w:cs="Arial" w:eastAsia="Arial" w:hAnsi="Arial"/>
          <w:sz w:val="18"/>
          <w:szCs w:val="18"/>
          <w:u w:val="single" w:color="auto"/>
          <w:color w:val="auto"/>
        </w:rPr>
        <w:t>read more</w:t>
      </w:r>
      <w:r>
        <w:rPr>
          <w:rFonts w:ascii="Arial" w:cs="Arial" w:eastAsia="Arial" w:hAnsi="Arial"/>
          <w:sz w:val="18"/>
          <w:szCs w:val="18"/>
          <w:color w:val="auto"/>
        </w:rPr>
        <w:t>).</w:t>
      </w:r>
    </w:p>
    <w:p>
      <w:pPr>
        <w:spacing w:after="0" w:line="180" w:lineRule="exact"/>
        <w:rPr>
          <w:rFonts w:ascii="Arial" w:cs="Arial" w:eastAsia="Arial" w:hAnsi="Arial"/>
          <w:sz w:val="18"/>
          <w:szCs w:val="18"/>
          <w:i w:val="1"/>
          <w:iCs w:val="1"/>
          <w:color w:val="auto"/>
        </w:rPr>
      </w:pPr>
    </w:p>
    <w:p>
      <w:pPr>
        <w:ind w:left="460" w:right="200" w:hanging="452"/>
        <w:spacing w:after="0" w:line="259"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GMC: </w:t>
      </w:r>
      <w:r>
        <w:rPr>
          <w:rFonts w:ascii="Arial" w:cs="Arial" w:eastAsia="Arial" w:hAnsi="Arial"/>
          <w:sz w:val="18"/>
          <w:szCs w:val="18"/>
          <w:i w:val="1"/>
          <w:iCs w:val="1"/>
          <w:color w:val="auto"/>
        </w:rPr>
        <w:t>GMC reported a 45 percent increase in total sales and 34 percent increase in retail sales in the month of June, compared to the same month last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year. This is the ninth consecutive month of year-over-year sales increases for GMC, and for the calendar year GMC total sales were up 29 percent over last year. </w:t>
      </w:r>
      <w:r>
        <w:rPr>
          <w:rFonts w:ascii="Arial" w:cs="Arial" w:eastAsia="Arial" w:hAnsi="Arial"/>
          <w:sz w:val="18"/>
          <w:szCs w:val="18"/>
          <w:color w:val="auto"/>
        </w:rPr>
        <w:t>(</w:t>
      </w:r>
      <w:r>
        <w:rPr>
          <w:rFonts w:ascii="Arial" w:cs="Arial" w:eastAsia="Arial" w:hAnsi="Arial"/>
          <w:sz w:val="18"/>
          <w:szCs w:val="18"/>
          <w:u w:val="single" w:color="auto"/>
          <w:color w:val="auto"/>
        </w:rPr>
        <w:t>read more</w:t>
      </w:r>
      <w:r>
        <w:rPr>
          <w:rFonts w:ascii="Arial" w:cs="Arial" w:eastAsia="Arial" w:hAnsi="Arial"/>
          <w:sz w:val="18"/>
          <w:szCs w:val="18"/>
          <w:color w:val="auto"/>
        </w:rPr>
        <w:t>).</w:t>
      </w:r>
    </w:p>
    <w:p>
      <w:pPr>
        <w:spacing w:after="0" w:line="180" w:lineRule="exact"/>
        <w:rPr>
          <w:rFonts w:ascii="Arial" w:cs="Arial" w:eastAsia="Arial" w:hAnsi="Arial"/>
          <w:sz w:val="18"/>
          <w:szCs w:val="18"/>
          <w:i w:val="1"/>
          <w:iCs w:val="1"/>
          <w:color w:val="auto"/>
        </w:rPr>
      </w:pPr>
    </w:p>
    <w:p>
      <w:pPr>
        <w:ind w:left="460" w:right="60" w:hanging="452"/>
        <w:spacing w:after="0" w:line="259"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Total sales for June were up 39 percent versus the same month last year. Retail sales were up 35 percent. SRX total sales rose 462 percent for its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10th straight month of triple-digit percentage increases. CTS posted its best retail month of the year. CTS total sales were up 31 percent and retail sales were up 23 percent. </w:t>
      </w:r>
      <w:r>
        <w:rPr>
          <w:rFonts w:ascii="Arial" w:cs="Arial" w:eastAsia="Arial" w:hAnsi="Arial"/>
          <w:sz w:val="18"/>
          <w:szCs w:val="18"/>
          <w:color w:val="auto"/>
        </w:rPr>
        <w:t>(</w:t>
      </w:r>
      <w:r>
        <w:rPr>
          <w:rFonts w:ascii="Arial" w:cs="Arial" w:eastAsia="Arial" w:hAnsi="Arial"/>
          <w:sz w:val="18"/>
          <w:szCs w:val="18"/>
          <w:u w:val="single" w:color="auto"/>
          <w:color w:val="auto"/>
        </w:rPr>
        <w:t>read more</w:t>
      </w:r>
      <w:r>
        <w:rPr>
          <w:rFonts w:ascii="Arial" w:cs="Arial" w:eastAsia="Arial" w:hAnsi="Arial"/>
          <w:sz w:val="18"/>
          <w:szCs w:val="18"/>
          <w:color w:val="auto"/>
        </w:rPr>
        <w:t>).</w:t>
      </w:r>
    </w:p>
    <w:p>
      <w:pPr>
        <w:spacing w:after="0" w:line="180" w:lineRule="exact"/>
        <w:rPr>
          <w:rFonts w:ascii="Arial" w:cs="Arial" w:eastAsia="Arial" w:hAnsi="Arial"/>
          <w:sz w:val="18"/>
          <w:szCs w:val="18"/>
          <w:i w:val="1"/>
          <w:iCs w:val="1"/>
          <w:color w:val="auto"/>
        </w:rPr>
      </w:pPr>
    </w:p>
    <w:p>
      <w:pPr>
        <w:ind w:left="460" w:hanging="452"/>
        <w:spacing w:after="0" w:line="268"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GM’s Full-Size Utilities </w:t>
      </w:r>
      <w:r>
        <w:rPr>
          <w:rFonts w:ascii="Arial" w:cs="Arial" w:eastAsia="Arial" w:hAnsi="Arial"/>
          <w:sz w:val="18"/>
          <w:szCs w:val="18"/>
          <w:i w:val="1"/>
          <w:iCs w:val="1"/>
          <w:color w:val="auto"/>
        </w:rPr>
        <w:t>Chevrolet Suburban and Tahoe, and GMC Yukon and Yukon XL increased 69 percent during the month, totaling 15,192 deliveries.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Year-to-date, sales of these vehicles are up 19 percent.</w:t>
      </w:r>
    </w:p>
    <w:p>
      <w:pPr>
        <w:spacing w:after="0" w:line="172"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Fleet sales </w:t>
      </w:r>
      <w:r>
        <w:rPr>
          <w:rFonts w:ascii="Arial" w:cs="Arial" w:eastAsia="Arial" w:hAnsi="Arial"/>
          <w:sz w:val="18"/>
          <w:szCs w:val="18"/>
          <w:i w:val="1"/>
          <w:iCs w:val="1"/>
          <w:color w:val="auto"/>
        </w:rPr>
        <w:t>for GM’s four brands were 59,571 for the month.</w:t>
      </w:r>
    </w:p>
    <w:p>
      <w:pPr>
        <w:sectPr>
          <w:pgSz w:w="11900" w:h="16838" w:orient="portrait"/>
          <w:cols w:equalWidth="0" w:num="1">
            <w:col w:w="11360"/>
          </w:cols>
          <w:pgMar w:left="240" w:top="280" w:right="299" w:bottom="1440" w:gutter="0" w:footer="0" w:header="0"/>
        </w:sectPr>
      </w:pPr>
    </w:p>
    <w:bookmarkStart w:id="6" w:name="page7"/>
    <w:bookmarkEnd w:id="6"/>
    <w:p>
      <w:pPr>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employs 205,000 people in every major region of the world and does business in some 157 countries. GM and its strategic partners produce cars and trucks in 31 countries, and sell and service these vehicles through the following brands: Buick, Cadillac, Chevrolet, FAW, GMC, Daewoo, Holden, Jiefang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313-667-2702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 cell</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For release: July 1, 10:45 AM</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Chevrolet Sales Climb 32 Percent in June,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Driven by Gains for Silverado, Equinox, Traverse and Malibu</w:t>
      </w:r>
    </w:p>
    <w:p>
      <w:pPr>
        <w:spacing w:after="0" w:line="159"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Chevrolet delivered 141,381 vehicles in June, a 32 percent gain year-over-year, driven by increases for Chevrolet Silverado, Equinox, Traverse and</w:t>
      </w:r>
      <w:r>
        <w:rPr>
          <w:rFonts w:ascii="Arial" w:cs="Arial" w:eastAsia="Arial" w:hAnsi="Arial"/>
          <w:sz w:val="16"/>
          <w:szCs w:val="16"/>
          <w:b w:val="1"/>
          <w:bCs w:val="1"/>
          <w:color w:val="auto"/>
        </w:rPr>
        <w:t xml:space="preserve"> </w:t>
      </w:r>
      <w:r>
        <w:rPr>
          <w:rFonts w:ascii="Arial" w:cs="Arial" w:eastAsia="Arial" w:hAnsi="Arial"/>
          <w:sz w:val="16"/>
          <w:szCs w:val="16"/>
          <w:color w:val="auto"/>
        </w:rPr>
        <w:t>Malibu. This includes an 11 percent increase in retail sales for Chevrolet, marking the ninth consecutive month of year-over-year retail sales gains</w:t>
      </w:r>
    </w:p>
    <w:p>
      <w:pPr>
        <w:spacing w:after="0" w:line="8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“June delivered the ninth month of year-over-year retail growth for Chevrolet,” said Jim Campbell, US Vice President, Chevrolet Marketing, “as consumers continue to be attracted to our lineup of award-winning cars, crossovers, and trucks.”</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Silverado posted 30,994 total sales in June – a year-over-year increase of 25 percent. The average age of trucks traded-in for a new Silverado also fell: During 2009, the average trade-in was 6.3 years old and had 81,000 miles; in 2010, the average trade-in has dropped to 5.4 years old and has 77,000 miles.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Chevrolet’s cars and crossovers also posted significant sales gains in June.</w:t>
      </w:r>
    </w:p>
    <w:p>
      <w:pPr>
        <w:spacing w:after="0" w:line="212" w:lineRule="exact"/>
        <w:rPr>
          <w:sz w:val="20"/>
          <w:szCs w:val="20"/>
          <w:color w:val="auto"/>
        </w:rPr>
      </w:pPr>
    </w:p>
    <w:p>
      <w:pPr>
        <w:ind w:left="460" w:right="2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Chevrolet Equinox total sales climbed 180 percent over June 2009. Retail sales climbed 158 percent, marking 12 consecutive months of year-over-year increases.</w:t>
      </w:r>
    </w:p>
    <w:p>
      <w:pPr>
        <w:spacing w:after="0" w:line="172"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Chevrolet Malibu total sales climbed 81 percent over June 2009. Retail sales climbed 22 percent, marking nine consecutive months of year-over-year increases.</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Chevrolet Traverse total sales climbed 56 percent over June 2009, marking four consecutive months of year-over-year sales increases.</w:t>
      </w:r>
    </w:p>
    <w:p>
      <w:pPr>
        <w:sectPr>
          <w:pgSz w:w="11900" w:h="16838" w:orient="portrait"/>
          <w:cols w:equalWidth="0" w:num="1">
            <w:col w:w="11340"/>
          </w:cols>
          <w:pgMar w:left="240" w:top="1320" w:right="31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 #</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Chevrolet</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Chevrolet is a global automotive brand, with annual sales of about 3.5 million vehicles in more than 130 countries. Chevrolet provides consumers with fuel-efficient, safe and reliable vehicles that deliver high quality, expressive design, spirited performance and value. In the U.S., the Chevrolet portfolio includes: iconic performance cars, such as Corvette and Camaro; dependable, long lasting pickups and SUVs, such as Silverado and Suburban; and award-winning passenger cars and crossovers, such as Malibu, Equinox and Traverse. Chevrolet also offers “gas-friendly” solutions, such as the upcoming 2011 Chevrolet Cruze Eco model that is expected to deliver up to an estimated 40 mpg highway, and 2011 Chevrolet Volt that will offer up to 40 miles of electric driving and an additional 300 miles of extended range with the onboard generator (based on GM testing). Most new Chevrolet models offer OnStar safety, security, and convenience technologies including OnStar Hands-Free Calling, Automatic Crash Response, and Stolen Vehicle Slowdown. More information regarding Chevrolet models, fuel solutions, and OnStar availability can be found at </w:t>
      </w:r>
      <w:r>
        <w:rPr>
          <w:rFonts w:ascii="Arial" w:cs="Arial" w:eastAsia="Arial" w:hAnsi="Arial"/>
          <w:sz w:val="16"/>
          <w:szCs w:val="16"/>
          <w:u w:val="single" w:color="auto"/>
          <w:color w:val="auto"/>
        </w:rPr>
        <w:t>www.chevrolet.com</w:t>
      </w:r>
      <w:r>
        <w:rPr>
          <w:rFonts w:ascii="Arial" w:cs="Arial" w:eastAsia="Arial" w:hAnsi="Arial"/>
          <w:sz w:val="16"/>
          <w:szCs w:val="16"/>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Tom Henderson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GM Sales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313-667-2702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313-410-2704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tom.e.henderson@gm.com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Klaus-Peter Martin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Chevrolet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313-667-8180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313-522-6303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klaus-peter.martin@gm.com</w:t>
      </w:r>
    </w:p>
    <w:p>
      <w:pPr>
        <w:sectPr>
          <w:pgSz w:w="11900" w:h="16838" w:orient="portrait"/>
          <w:cols w:equalWidth="0" w:num="1">
            <w:col w:w="11360"/>
          </w:cols>
          <w:pgMar w:left="240" w:top="274"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77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677545"/>
                    </a:xfrm>
                    <a:prstGeom prst="rect">
                      <a:avLst/>
                    </a:prstGeom>
                    <a:noFill/>
                  </pic:spPr>
                </pic:pic>
              </a:graphicData>
            </a:graphic>
          </wp:anchor>
        </w:drawing>
        <w:t>For release: July 1, 2010, 10:45 a.m. EDT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CADILLAC U.S. SALES RISE 39 PERCENT IN JUNE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CTS posts best total sales month of the year</w:t>
      </w:r>
    </w:p>
    <w:p>
      <w:pPr>
        <w:spacing w:after="0" w:line="159"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b w:val="1"/>
          <w:bCs w:val="1"/>
          <w:color w:val="auto"/>
        </w:rPr>
        <w:t xml:space="preserve">DETROIT – </w:t>
      </w:r>
      <w:r>
        <w:rPr>
          <w:rFonts w:ascii="Arial" w:cs="Arial" w:eastAsia="Arial" w:hAnsi="Arial"/>
          <w:sz w:val="16"/>
          <w:szCs w:val="16"/>
          <w:color w:val="auto"/>
        </w:rPr>
        <w:t>Cadillac reported U.S. sales of 11,788 vehicles in June, a 39 percent increase from the same month last year and the fifth consecutive month of</w:t>
      </w:r>
      <w:r>
        <w:rPr>
          <w:rFonts w:ascii="Arial" w:cs="Arial" w:eastAsia="Arial" w:hAnsi="Arial"/>
          <w:sz w:val="16"/>
          <w:szCs w:val="16"/>
          <w:b w:val="1"/>
          <w:bCs w:val="1"/>
          <w:color w:val="auto"/>
        </w:rPr>
        <w:t xml:space="preserve"> </w:t>
      </w:r>
      <w:r>
        <w:rPr>
          <w:rFonts w:ascii="Arial" w:cs="Arial" w:eastAsia="Arial" w:hAnsi="Arial"/>
          <w:sz w:val="16"/>
          <w:szCs w:val="16"/>
          <w:color w:val="auto"/>
        </w:rPr>
        <w:t>year-over-year sales gains. Through the first half of the year, Cadillac sales are up 33 percent compared to the first half of last year.</w:t>
      </w:r>
    </w:p>
    <w:p>
      <w:pPr>
        <w:spacing w:after="0" w:line="8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Cadillac posted strong results in June in key markets across the United States, including retail sales increases of 50 percent or more in New York, Los Angeles, Dallas, Miami, Atlanta, Tampa, Orlando, and Denver.</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SRX mid-size luxury crossover remained in high demand as sales rose 462 percent to 3,804 in June. Redesigned for the 2010 model year, SRX has led its segment in the past year in increases for both sales and projected resale value. June was the fifth best sales month ever for SRX and second best retail sales month ever.</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CTS sales rose 31 percent to 4,193, recording its best total sales month of the year and best retail sales month since March 2009. The CTS line, which includes the CTS Sport Sedan and Sport Wagon, will be expanded this summer with the all-new 2011 CTS Coupe.</w:t>
      </w:r>
    </w:p>
    <w:p>
      <w:pPr>
        <w:spacing w:after="0" w:line="13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CTS recently placed in the top 10 vehicles of the 2010 J.D. Power and Associates Initial Quality Survey, which ranks vehicles based on fewest problems in the first 90 days. Sales for Escalade, which ranked first in its category in the J.D. Power and Associates IQS survey, rose 6 percent over June 2009.</w:t>
      </w:r>
    </w:p>
    <w:p>
      <w:pPr>
        <w:spacing w:after="0" w:line="8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Cadillac also recently announced that for owners of all 2011 models it will provide Cadillac Premium Care Maintenance. The new program covers scheduled oil changes, tire rotations, replacement of engine and cabin air filters and multi-point vehicle inspections for the first four years or 50,000 miles.</w:t>
      </w:r>
    </w:p>
    <w:p>
      <w:pPr>
        <w:sectPr>
          <w:pgSz w:w="11900" w:h="16838" w:orient="portrait"/>
          <w:cols w:equalWidth="0" w:num="1">
            <w:col w:w="11380"/>
          </w:cols>
          <w:pgMar w:left="240" w:top="1414" w:right="279" w:bottom="1440" w:gutter="0" w:footer="0" w:header="0"/>
        </w:sectPr>
      </w:pPr>
    </w:p>
    <w:bookmarkStart w:id="10" w:name="page11"/>
    <w:bookmarkEnd w:id="10"/>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“Cadillac has been well-positioned with SRX and CTS to win over luxury buyers as they return to the market,” said Kurt McNeil, vice president for Cadillac sales and service. “We expect the trend to continue with the launch of CTS Coupe and addition of Cadillac Premium Care Maintenance. We’re strengthening the line-up with a distinctive new vehicle and elevating the brand by providing owners with a long-term commitment to customer service.”</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CTS Coupe already is attracting attention. Car and Driver has named the CTS to its 10 Best list for the past three years and praised the CTS Coupe in an early review.</w:t>
      </w:r>
    </w:p>
    <w:p>
      <w:pPr>
        <w:spacing w:after="0" w:line="13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“For 2011, the new CTS Coupe joins the sedan and wagon, adding more style and a higher concentration of performance to the CTS’s winning formula,” Car and Driver wrote in a June review. “The CTS Coupe is one of those cars that love the camera, and it’s no less stunning in the flesh.”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Cadillac</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u w:val="single" w:color="auto"/>
          <w:color w:val="auto"/>
        </w:rPr>
        <w:t>Cadillac</w:t>
      </w:r>
      <w:r>
        <w:rPr>
          <w:rFonts w:ascii="Arial" w:cs="Arial" w:eastAsia="Arial" w:hAnsi="Arial"/>
          <w:sz w:val="18"/>
          <w:szCs w:val="18"/>
          <w:color w:val="auto"/>
        </w:rPr>
        <w:t xml:space="preserve"> has been a leading luxury auto brand since 1902. In recent years, Cadillac has engineered a historic renaissance led by artful engineering and advanced technology. More information on Cadillac can be found at media.cadillac.com.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Nick Twork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Cadillac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+1.586.565.1001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nicholas.twork@cadillac.com</w:t>
      </w:r>
    </w:p>
    <w:p>
      <w:pPr>
        <w:sectPr>
          <w:pgSz w:w="11900" w:h="16838" w:orient="portrait"/>
          <w:cols w:equalWidth="0" w:num="1">
            <w:col w:w="11420"/>
          </w:cols>
          <w:pgMar w:left="240" w:top="28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195195"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195195" cy="300355"/>
                    </a:xfrm>
                    <a:prstGeom prst="rect">
                      <a:avLst/>
                    </a:prstGeom>
                    <a:noFill/>
                  </pic:spPr>
                </pic:pic>
              </a:graphicData>
            </a:graphic>
          </wp:anchor>
        </w:drawing>
        <w:t>GMC Total Sales Rise 45 Percent in June for the Ninth Consecutive Month of Year-Over-Year Sales Increases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Sales driven by consumer demand for Sierra, Acadia and Terrain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GMC reported a 34 percent increase in retail sales and 45 percent increase in total sales in the month of June, compared to the same month last year.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This is the ninth consecutive month of retail year-over-year sales gains for GMC, and for the calendar year, GMC total sales were up 29 percent over last year.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Sierra, along with the Acadia and Terrain, drove sales in June. Sierra retail sales rose 27 percent, recording its best retail sales month of the year.</w:t>
      </w:r>
    </w:p>
    <w:p>
      <w:pPr>
        <w:spacing w:after="0" w:line="19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are encouraged to see sales increases for the Sierra, Acadia and Terrain, which is proof that GMC is offering vehicles that customers want,” said Brian Sweeney, U.S. vice president for Buick GMC sales.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Acadia and Terrain crossovers continue to post strong sales for GMC as well. Acadia and Terrain total sales were up 27 percent and 315 percent, respectively.</w:t>
      </w:r>
    </w:p>
    <w:p>
      <w:pPr>
        <w:spacing w:after="0" w:line="2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June sales numbers show that consumers are looking for professional grade vehicles with the styling, capability, fuel economy, quality and safety that only GMC has to offer,” said Sweeney.</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J.D. Power and Associates recently ranked Sierra 1500 the highest in the Large Pickup category in the 2010 J.D. Power and Associates Initial Quality Study (IQS).</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This summer, GMC will launch the new Sierra HD that offers best-in-class diesel horsepower, torque, payload and towing. In addition, for the first time ever, GMC will be offering the exclusive Denali line in our heavy-duty pickups with the Sierra Denali 2500 and 3500 HDs.</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2010 GMC Terrain earned the highest-possible rollover protection rating of “Good” in the first rollover tests of midsize SUVs by the Insurance Institute for Highway Safety (IIHS), and was named a 2010 Top Safety Pick. The Terrain comes with a variety of safety technologies, including six standard air bags, electronic stability control and the safety and security of OnStar.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GMC</w:t>
      </w:r>
    </w:p>
    <w:p>
      <w:pPr>
        <w:spacing w:after="0" w:line="17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 xml:space="preserve">GMC is evolving to include more fuel-efficient trucks and crossovers. The GMC Terrain is a smaller SUV that offers 32 mpg highway fuel economy along with the capability, engineering expertise and refinement that have defined GMC for more than a century. Complementing the Terrain are the Acadia eight-passenger crossover, Yukon and Yukon XL and Sierra pickups. Today GMC is the only manufacturer offering three full-size hybrid models. Details on all GMC models are available at </w:t>
      </w:r>
      <w:r>
        <w:rPr>
          <w:rFonts w:ascii="Arial" w:cs="Arial" w:eastAsia="Arial" w:hAnsi="Arial"/>
          <w:sz w:val="18"/>
          <w:szCs w:val="18"/>
          <w:u w:val="single" w:color="auto"/>
          <w:color w:val="auto"/>
        </w:rPr>
        <w:t>www.gmc.com</w:t>
      </w:r>
      <w:r>
        <w:rPr>
          <w:rFonts w:ascii="Arial" w:cs="Arial" w:eastAsia="Arial" w:hAnsi="Arial"/>
          <w:sz w:val="18"/>
          <w:szCs w:val="18"/>
          <w:color w:val="auto"/>
        </w:rPr>
        <w: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400"/>
          </w:cols>
          <w:pgMar w:left="240" w:top="90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195195" cy="300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195195" cy="300355"/>
                    </a:xfrm>
                    <a:prstGeom prst="rect">
                      <a:avLst/>
                    </a:prstGeom>
                    <a:noFill/>
                  </pic:spPr>
                </pic:pic>
              </a:graphicData>
            </a:graphic>
          </wp:anchor>
        </w:drawing>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Dayna Hart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313-300-9660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 </w:t>
      </w:r>
      <w:r>
        <w:rPr>
          <w:rFonts w:ascii="Arial" w:cs="Arial" w:eastAsia="Arial" w:hAnsi="Arial"/>
          <w:sz w:val="16"/>
          <w:szCs w:val="16"/>
          <w:u w:val="single" w:color="auto"/>
          <w:color w:val="auto"/>
        </w:rPr>
        <w:t>dayna.hart@gm.com</w:t>
      </w:r>
    </w:p>
    <w:p>
      <w:pPr>
        <w:sectPr>
          <w:pgSz w:w="11900" w:h="16838" w:orient="portrait"/>
          <w:cols w:equalWidth="0" w:num="1">
            <w:col w:w="10219"/>
          </w:cols>
          <w:pgMar w:left="240" w:top="914"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8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668655"/>
                    </a:xfrm>
                    <a:prstGeom prst="rect">
                      <a:avLst/>
                    </a:prstGeom>
                    <a:noFill/>
                  </pic:spPr>
                </pic:pic>
              </a:graphicData>
            </a:graphic>
          </wp:anchor>
        </w:drawing>
        <w:t>Buick Sales Up 53 Percent in June Led by LaCrosse and Enclave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Enclave and LaCrosse attract new buyers to the brand</w:t>
      </w:r>
    </w:p>
    <w:p>
      <w:pPr>
        <w:spacing w:after="0" w:line="15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Buick posted a 53 percent sales increase in June compared to the same month last year. For the calendar-year-to-date, total sales are up 48 percent over</w:t>
      </w:r>
      <w:r>
        <w:rPr>
          <w:rFonts w:ascii="Arial" w:cs="Arial" w:eastAsia="Arial" w:hAnsi="Arial"/>
          <w:sz w:val="18"/>
          <w:szCs w:val="18"/>
          <w:b w:val="1"/>
          <w:bCs w:val="1"/>
          <w:color w:val="auto"/>
        </w:rPr>
        <w:t xml:space="preserve"> </w:t>
      </w:r>
      <w:r>
        <w:rPr>
          <w:rFonts w:ascii="Arial" w:cs="Arial" w:eastAsia="Arial" w:hAnsi="Arial"/>
          <w:sz w:val="18"/>
          <w:szCs w:val="18"/>
          <w:color w:val="auto"/>
        </w:rPr>
        <w:t>last year. Driven by the momentum around the LaCrosse and Enclave, retail sales saw a 28 percent increase for the ninth consecutive month of year-over-year sales gains.</w:t>
      </w:r>
    </w:p>
    <w:p>
      <w:pPr>
        <w:spacing w:after="0" w:line="1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LaCrosse total sales in June rose 174 percent and retail sales increased 143 percent compared to the same month last year. The LaCrosse is making its mark with new customers with 42 percent of LaCrosse sales coming from non-GM makes. Out of those customers trading in a non-GM make, 19 percent of sales are coming from import vehicles.</w:t>
      </w:r>
    </w:p>
    <w:p>
      <w:pPr>
        <w:spacing w:after="0" w:line="140"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Enclave posted a 21 percent increase in total sales over June 2009, and calendar-year-to-date sales are up 26 percent. The Enclave has the highest conquest rate for Buick, with 52 percent of sales coming from non-GM makes.</w:t>
      </w:r>
    </w:p>
    <w:p>
      <w:pPr>
        <w:spacing w:after="0" w:line="132"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“The June sales numbers demonstrate that customers are continuing to recognize Buick’s design, quality, performance and value,” said Brian Sweeney, U.S. vice president of Buick GMC sales. “The momentum around Buick continues to get stronger, and we are encouraged by the attention around the launch of the Regal.”</w:t>
      </w:r>
    </w:p>
    <w:p>
      <w:pPr>
        <w:spacing w:after="0" w:line="6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2011 Buick Regal is now arriving on dealer lots and will build on the momentum of the LaCrosse and Enclave. The advertising campaign for the Regal is launching throughout July and will continue the “New Class of World Class” theme initiated with the LaCrosse launch last year. Consumers looking to connect with the Regal can contact their local dealer to schedule a test drive.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Buick</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Buick is a modern brand with premium, high-quality vehicles characterized by sculpted designs, luxurious interiors with personal technologies, and responsive-yet-efficient performance. Buick is attracting new customers with its portfolio of award-winning vehicles, including the Enclave crossover, LaCrosse sedan and Regal sport sedan. A new compact sedan and small crossover will join the portfolio in the next few years. Buick’s sales continue to increase in North America, and it remains a best-selling brand in China, with continuing record growth. Learn more about Buick cars and crossovers at </w:t>
      </w:r>
      <w:r>
        <w:rPr>
          <w:rFonts w:ascii="Arial" w:cs="Arial" w:eastAsia="Arial" w:hAnsi="Arial"/>
          <w:sz w:val="18"/>
          <w:szCs w:val="18"/>
          <w:u w:val="single" w:color="auto"/>
          <w:color w:val="auto"/>
        </w:rPr>
        <w:t>www.buick.com</w:t>
      </w:r>
      <w:r>
        <w:rPr>
          <w:rFonts w:ascii="Arial" w:cs="Arial" w:eastAsia="Arial" w:hAnsi="Arial"/>
          <w:sz w:val="18"/>
          <w:szCs w:val="18"/>
          <w:color w:val="auto"/>
        </w:rPr>
        <w:t xml:space="preserve"> on Twitter @buick or at </w:t>
      </w:r>
      <w:r>
        <w:rPr>
          <w:rFonts w:ascii="Arial" w:cs="Arial" w:eastAsia="Arial" w:hAnsi="Arial"/>
          <w:sz w:val="18"/>
          <w:szCs w:val="18"/>
          <w:u w:val="single" w:color="auto"/>
          <w:color w:val="auto"/>
        </w:rPr>
        <w:t>www.facebook.com/buick</w:t>
      </w:r>
      <w:r>
        <w:rPr>
          <w:rFonts w:ascii="Arial" w:cs="Arial" w:eastAsia="Arial" w:hAnsi="Arial"/>
          <w:sz w:val="18"/>
          <w:szCs w:val="18"/>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Dayna Hart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313-300-9660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 </w:t>
      </w:r>
      <w:r>
        <w:rPr>
          <w:rFonts w:ascii="Arial" w:cs="Arial" w:eastAsia="Arial" w:hAnsi="Arial"/>
          <w:sz w:val="18"/>
          <w:szCs w:val="18"/>
          <w:u w:val="single" w:color="auto"/>
          <w:color w:val="auto"/>
        </w:rPr>
        <w:t>dayna.hart@gm.com</w:t>
      </w:r>
    </w:p>
    <w:p>
      <w:pPr>
        <w:sectPr>
          <w:pgSz w:w="11900" w:h="16838" w:orient="portrait"/>
          <w:cols w:equalWidth="0" w:num="1">
            <w:col w:w="11420"/>
          </w:cols>
          <w:pgMar w:left="240" w:top="134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June 2010 - Divisional Brand Level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 w:type="dxa"/>
            <w:vAlign w:val="bottom"/>
            <w:tcBorders>
              <w:top w:val="single" w:sz="8" w:color="auto"/>
              <w:right w:val="single" w:sz="8" w:color="auto"/>
            </w:tcBorders>
            <w:shd w:val="clear" w:color="auto" w:fill="000000"/>
          </w:tcPr>
          <w:p>
            <w:pPr>
              <w:spacing w:after="0"/>
              <w:rPr>
                <w:sz w:val="13"/>
                <w:szCs w:val="13"/>
                <w:color w:val="auto"/>
              </w:rPr>
            </w:pPr>
          </w:p>
        </w:tc>
        <w:tc>
          <w:tcPr>
            <w:tcW w:w="6380" w:type="dxa"/>
            <w:vAlign w:val="bottom"/>
            <w:tcBorders>
              <w:top w:val="single" w:sz="8" w:color="auto"/>
              <w:right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2240" w:type="dxa"/>
            <w:vAlign w:val="bottom"/>
            <w:tcBorders>
              <w:top w:val="single" w:sz="8" w:color="auto"/>
              <w:right w:val="single" w:sz="8" w:color="auto"/>
            </w:tcBorders>
            <w:gridSpan w:val="3"/>
          </w:tcPr>
          <w:p>
            <w:pPr>
              <w:jc w:val="right"/>
              <w:ind w:right="397"/>
              <w:spacing w:after="0" w:line="155" w:lineRule="exact"/>
              <w:rPr>
                <w:sz w:val="20"/>
                <w:szCs w:val="20"/>
                <w:color w:val="auto"/>
              </w:rPr>
            </w:pPr>
            <w:r>
              <w:rPr>
                <w:rFonts w:ascii="Arial" w:cs="Arial" w:eastAsia="Arial" w:hAnsi="Arial"/>
                <w:sz w:val="14"/>
                <w:szCs w:val="14"/>
                <w:color w:val="auto"/>
              </w:rPr>
              <w:t>(Calendar Year-to-Date)</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6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*S/D Curr: 25</w:t>
            </w:r>
          </w:p>
        </w:tc>
        <w:tc>
          <w:tcPr>
            <w:tcW w:w="7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w:t>
            </w:r>
          </w:p>
        </w:tc>
        <w:tc>
          <w:tcPr>
            <w:tcW w:w="48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color w:val="auto"/>
              </w:rPr>
              <w:t>January - June</w:t>
            </w:r>
          </w:p>
        </w:tc>
        <w:tc>
          <w:tcPr>
            <w:tcW w:w="620" w:type="dxa"/>
            <w:vAlign w:val="bottom"/>
            <w:tcBorders>
              <w:bottom w:val="single" w:sz="8" w:color="auto"/>
              <w:right w:val="single" w:sz="8" w:color="auto"/>
            </w:tcBorders>
          </w:tcPr>
          <w:p>
            <w:pPr>
              <w:spacing w:after="0"/>
              <w:rPr>
                <w:sz w:val="16"/>
                <w:szCs w:val="16"/>
                <w:color w:val="auto"/>
              </w:rPr>
            </w:pPr>
          </w:p>
        </w:tc>
      </w:tr>
      <w:tr>
        <w:trPr>
          <w:trHeight w:val="115"/>
        </w:trPr>
        <w:tc>
          <w:tcPr>
            <w:tcW w:w="40" w:type="dxa"/>
            <w:vAlign w:val="bottom"/>
            <w:tcBorders>
              <w:right w:val="single" w:sz="8" w:color="auto"/>
            </w:tcBorders>
          </w:tcPr>
          <w:p>
            <w:pPr>
              <w:spacing w:after="0"/>
              <w:rPr>
                <w:sz w:val="9"/>
                <w:szCs w:val="9"/>
                <w:color w:val="auto"/>
              </w:rPr>
            </w:pPr>
          </w:p>
        </w:tc>
        <w:tc>
          <w:tcPr>
            <w:tcW w:w="638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2"/>
                <w:szCs w:val="12"/>
                <w:color w:val="auto"/>
              </w:rPr>
              <w:t>% Chg</w:t>
            </w:r>
          </w:p>
        </w:tc>
        <w:tc>
          <w:tcPr>
            <w:tcW w:w="740" w:type="dxa"/>
            <w:vAlign w:val="bottom"/>
            <w:tcBorders>
              <w:right w:val="single" w:sz="8" w:color="auto"/>
            </w:tcBorders>
          </w:tcPr>
          <w:p>
            <w:pPr>
              <w:jc w:val="right"/>
              <w:ind w:right="17"/>
              <w:spacing w:after="0" w:line="115" w:lineRule="exact"/>
              <w:rPr>
                <w:sz w:val="20"/>
                <w:szCs w:val="20"/>
                <w:color w:val="auto"/>
              </w:rPr>
            </w:pPr>
            <w:r>
              <w:rPr>
                <w:rFonts w:ascii="Arial" w:cs="Arial" w:eastAsia="Arial" w:hAnsi="Arial"/>
                <w:sz w:val="12"/>
                <w:szCs w:val="12"/>
                <w:color w:val="auto"/>
              </w:rPr>
              <w:t>%Chg per</w:t>
            </w: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right w:val="single" w:sz="8" w:color="auto"/>
            </w:tcBorders>
          </w:tcPr>
          <w:p>
            <w:pPr>
              <w:jc w:val="right"/>
              <w:ind w:right="37"/>
              <w:spacing w:after="0" w:line="115" w:lineRule="exact"/>
              <w:rPr>
                <w:sz w:val="20"/>
                <w:szCs w:val="20"/>
                <w:color w:val="auto"/>
              </w:rPr>
            </w:pPr>
            <w:r>
              <w:rPr>
                <w:rFonts w:ascii="Arial" w:cs="Arial" w:eastAsia="Arial" w:hAnsi="Arial"/>
                <w:sz w:val="12"/>
                <w:szCs w:val="12"/>
                <w:color w:val="auto"/>
              </w:rPr>
              <w:t>%Chg</w:t>
            </w:r>
          </w:p>
        </w:tc>
      </w:tr>
      <w:tr>
        <w:trPr>
          <w:trHeight w:val="159"/>
        </w:trPr>
        <w:tc>
          <w:tcPr>
            <w:tcW w:w="40" w:type="dxa"/>
            <w:vAlign w:val="bottom"/>
            <w:tcBorders>
              <w:right w:val="single" w:sz="8" w:color="auto"/>
            </w:tcBorders>
          </w:tcPr>
          <w:p>
            <w:pPr>
              <w:spacing w:after="0"/>
              <w:rPr>
                <w:sz w:val="13"/>
                <w:szCs w:val="13"/>
                <w:color w:val="auto"/>
              </w:rPr>
            </w:pPr>
          </w:p>
        </w:tc>
        <w:tc>
          <w:tcPr>
            <w:tcW w:w="6380" w:type="dxa"/>
            <w:vAlign w:val="bottom"/>
            <w:tcBorders>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*S/D Prev: 25</w:t>
            </w: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80" w:type="dxa"/>
            <w:vAlign w:val="bottom"/>
            <w:tcBorders>
              <w:bottom w:val="single" w:sz="8" w:color="auto"/>
            </w:tcBorders>
          </w:tcPr>
          <w:p>
            <w:pPr>
              <w:jc w:val="right"/>
              <w:ind w:right="56"/>
              <w:spacing w:after="0" w:line="159" w:lineRule="exact"/>
              <w:rPr>
                <w:sz w:val="20"/>
                <w:szCs w:val="20"/>
                <w:color w:val="auto"/>
              </w:rPr>
            </w:pPr>
            <w:r>
              <w:rPr>
                <w:rFonts w:ascii="Arial" w:cs="Arial" w:eastAsia="Arial" w:hAnsi="Arial"/>
                <w:sz w:val="14"/>
                <w:szCs w:val="14"/>
                <w:color w:val="auto"/>
              </w:rPr>
              <w:t>2009</w:t>
            </w:r>
          </w:p>
        </w:tc>
        <w:tc>
          <w:tcPr>
            <w:tcW w:w="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79"/>
              </w:rPr>
              <w:t>Volume</w:t>
            </w:r>
          </w:p>
        </w:tc>
        <w:tc>
          <w:tcPr>
            <w:tcW w:w="740" w:type="dxa"/>
            <w:vAlign w:val="bottom"/>
            <w:tcBorders>
              <w:bottom w:val="single" w:sz="8" w:color="auto"/>
              <w:right w:val="single" w:sz="8" w:color="auto"/>
            </w:tcBorders>
          </w:tcPr>
          <w:p>
            <w:pPr>
              <w:jc w:val="right"/>
              <w:ind w:right="17"/>
              <w:spacing w:after="0" w:line="159" w:lineRule="exact"/>
              <w:rPr>
                <w:sz w:val="20"/>
                <w:szCs w:val="20"/>
                <w:color w:val="auto"/>
              </w:rPr>
            </w:pPr>
            <w:r>
              <w:rPr>
                <w:rFonts w:ascii="Arial" w:cs="Arial" w:eastAsia="Arial" w:hAnsi="Arial"/>
                <w:sz w:val="14"/>
                <w:szCs w:val="14"/>
                <w:color w:val="auto"/>
              </w:rPr>
              <w:t>S/D</w:t>
            </w: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620" w:type="dxa"/>
            <w:vAlign w:val="bottom"/>
            <w:tcBorders>
              <w:bottom w:val="single" w:sz="8" w:color="auto"/>
              <w:right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rPr>
              <w:t>Volume</w:t>
            </w:r>
          </w:p>
        </w:tc>
      </w:tr>
      <w:tr>
        <w:trPr>
          <w:trHeight w:val="210"/>
        </w:trPr>
        <w:tc>
          <w:tcPr>
            <w:tcW w:w="4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Vehicle 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195,380</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5"/>
              </w:rPr>
              <w:t>176,571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74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1,080,521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954,356</w:t>
            </w:r>
          </w:p>
        </w:tc>
        <w:tc>
          <w:tcPr>
            <w:tcW w:w="62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13.2</w:t>
            </w:r>
          </w:p>
        </w:tc>
      </w:tr>
      <w:tr>
        <w:trPr>
          <w:trHeight w:val="216"/>
        </w:trPr>
        <w:tc>
          <w:tcPr>
            <w:tcW w:w="4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Brand Total</w:t>
            </w:r>
          </w:p>
        </w:tc>
        <w:tc>
          <w:tcPr>
            <w:tcW w:w="760" w:type="dxa"/>
            <w:vAlign w:val="bottom"/>
          </w:tcPr>
          <w:p>
            <w:pPr>
              <w:jc w:val="right"/>
              <w:spacing w:after="0"/>
              <w:rPr>
                <w:sz w:val="20"/>
                <w:szCs w:val="20"/>
                <w:color w:val="auto"/>
              </w:rPr>
            </w:pPr>
            <w:r>
              <w:rPr>
                <w:rFonts w:ascii="Arial" w:cs="Arial" w:eastAsia="Arial" w:hAnsi="Arial"/>
                <w:sz w:val="18"/>
                <w:szCs w:val="18"/>
                <w:color w:val="auto"/>
              </w:rPr>
              <w:t>194,828</w:t>
            </w:r>
          </w:p>
        </w:tc>
        <w:tc>
          <w:tcPr>
            <w:tcW w:w="780" w:type="dxa"/>
            <w:vAlign w:val="bottom"/>
          </w:tcPr>
          <w:p>
            <w:pPr>
              <w:jc w:val="right"/>
              <w:ind w:right="56"/>
              <w:spacing w:after="0"/>
              <w:rPr>
                <w:sz w:val="20"/>
                <w:szCs w:val="20"/>
                <w:color w:val="auto"/>
              </w:rPr>
            </w:pPr>
            <w:r>
              <w:rPr>
                <w:rFonts w:ascii="Arial" w:cs="Arial" w:eastAsia="Arial" w:hAnsi="Arial"/>
                <w:sz w:val="18"/>
                <w:szCs w:val="18"/>
                <w:color w:val="auto"/>
                <w:w w:val="95"/>
              </w:rPr>
              <w:t>143,454</w:t>
            </w:r>
          </w:p>
        </w:tc>
        <w:tc>
          <w:tcPr>
            <w:tcW w:w="480" w:type="dxa"/>
            <w:vAlign w:val="bottom"/>
          </w:tcPr>
          <w:p>
            <w:pPr>
              <w:jc w:val="right"/>
              <w:spacing w:after="0"/>
              <w:rPr>
                <w:sz w:val="20"/>
                <w:szCs w:val="20"/>
                <w:color w:val="auto"/>
              </w:rPr>
            </w:pPr>
            <w:r>
              <w:rPr>
                <w:rFonts w:ascii="Arial" w:cs="Arial" w:eastAsia="Arial" w:hAnsi="Arial"/>
                <w:sz w:val="18"/>
                <w:szCs w:val="18"/>
                <w:color w:val="auto"/>
              </w:rPr>
              <w:t>35.8</w:t>
            </w:r>
          </w:p>
        </w:tc>
        <w:tc>
          <w:tcPr>
            <w:tcW w:w="7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35.8</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1,069,577</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811,209</w:t>
            </w:r>
          </w:p>
        </w:tc>
        <w:tc>
          <w:tcPr>
            <w:tcW w:w="62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31.8</w:t>
            </w:r>
          </w:p>
        </w:tc>
      </w:tr>
      <w:tr>
        <w:trPr>
          <w:trHeight w:val="256"/>
        </w:trPr>
        <w:tc>
          <w:tcPr>
            <w:tcW w:w="40" w:type="dxa"/>
            <w:vAlign w:val="bottom"/>
            <w:tcBorders>
              <w:right w:val="single" w:sz="8" w:color="auto"/>
            </w:tcBorders>
          </w:tcPr>
          <w:p>
            <w:pPr>
              <w:spacing w:after="0"/>
              <w:rPr>
                <w:sz w:val="22"/>
                <w:szCs w:val="22"/>
                <w:color w:val="auto"/>
              </w:rPr>
            </w:pPr>
          </w:p>
        </w:tc>
        <w:tc>
          <w:tcPr>
            <w:tcW w:w="63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Other Brand 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7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33,117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-98.3</w:t>
            </w:r>
          </w:p>
        </w:tc>
        <w:tc>
          <w:tcPr>
            <w:tcW w:w="74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-98.3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143,147</w:t>
            </w:r>
          </w:p>
        </w:tc>
        <w:tc>
          <w:tcPr>
            <w:tcW w:w="62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-92.4</w:t>
            </w:r>
          </w:p>
        </w:tc>
      </w:tr>
      <w:tr>
        <w:trPr>
          <w:trHeight w:val="227"/>
        </w:trPr>
        <w:tc>
          <w:tcPr>
            <w:tcW w:w="40" w:type="dxa"/>
            <w:vAlign w:val="bottom"/>
            <w:tcBorders>
              <w:bottom w:val="single" w:sz="8" w:color="auto"/>
            </w:tcBorders>
          </w:tcPr>
          <w:p>
            <w:pPr>
              <w:spacing w:after="0"/>
              <w:rPr>
                <w:sz w:val="19"/>
                <w:szCs w:val="19"/>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GM Vehicle Deliveries by Marketing Division</w:t>
            </w: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115"/>
        </w:trPr>
        <w:tc>
          <w:tcPr>
            <w:tcW w:w="40" w:type="dxa"/>
            <w:vAlign w:val="bottom"/>
            <w:tcBorders>
              <w:right w:val="single" w:sz="8" w:color="auto"/>
            </w:tcBorders>
            <w:shd w:val="clear" w:color="auto" w:fill="000000"/>
          </w:tcPr>
          <w:p>
            <w:pPr>
              <w:spacing w:after="0"/>
              <w:rPr>
                <w:sz w:val="9"/>
                <w:szCs w:val="9"/>
                <w:color w:val="auto"/>
              </w:rPr>
            </w:pPr>
          </w:p>
        </w:tc>
        <w:tc>
          <w:tcPr>
            <w:tcW w:w="638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2"/>
                <w:szCs w:val="12"/>
                <w:color w:val="auto"/>
              </w:rPr>
              <w:t>%Chg</w:t>
            </w:r>
          </w:p>
        </w:tc>
        <w:tc>
          <w:tcPr>
            <w:tcW w:w="740" w:type="dxa"/>
            <w:vAlign w:val="bottom"/>
            <w:tcBorders>
              <w:right w:val="single" w:sz="8" w:color="auto"/>
            </w:tcBorders>
          </w:tcPr>
          <w:p>
            <w:pPr>
              <w:jc w:val="right"/>
              <w:ind w:right="17"/>
              <w:spacing w:after="0" w:line="115" w:lineRule="exact"/>
              <w:rPr>
                <w:sz w:val="20"/>
                <w:szCs w:val="20"/>
                <w:color w:val="auto"/>
              </w:rPr>
            </w:pPr>
            <w:r>
              <w:rPr>
                <w:rFonts w:ascii="Arial" w:cs="Arial" w:eastAsia="Arial" w:hAnsi="Arial"/>
                <w:sz w:val="12"/>
                <w:szCs w:val="12"/>
                <w:color w:val="auto"/>
              </w:rPr>
              <w:t>%Chg per</w:t>
            </w: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right w:val="single" w:sz="8" w:color="auto"/>
            </w:tcBorders>
          </w:tcPr>
          <w:p>
            <w:pPr>
              <w:jc w:val="right"/>
              <w:ind w:right="37"/>
              <w:spacing w:after="0" w:line="115" w:lineRule="exact"/>
              <w:rPr>
                <w:sz w:val="20"/>
                <w:szCs w:val="20"/>
                <w:color w:val="auto"/>
              </w:rPr>
            </w:pPr>
            <w:r>
              <w:rPr>
                <w:rFonts w:ascii="Arial" w:cs="Arial" w:eastAsia="Arial" w:hAnsi="Arial"/>
                <w:sz w:val="12"/>
                <w:szCs w:val="12"/>
                <w:color w:val="auto"/>
              </w:rPr>
              <w:t>%Chg</w:t>
            </w:r>
          </w:p>
        </w:tc>
      </w:tr>
      <w:tr>
        <w:trPr>
          <w:trHeight w:val="181"/>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638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2010</w:t>
            </w:r>
          </w:p>
        </w:tc>
        <w:tc>
          <w:tcPr>
            <w:tcW w:w="780" w:type="dxa"/>
            <w:vAlign w:val="bottom"/>
            <w:tcBorders>
              <w:bottom w:val="single" w:sz="8" w:color="auto"/>
            </w:tcBorders>
          </w:tcPr>
          <w:p>
            <w:pPr>
              <w:jc w:val="right"/>
              <w:ind w:right="56"/>
              <w:spacing w:after="0" w:line="156" w:lineRule="exact"/>
              <w:rPr>
                <w:sz w:val="20"/>
                <w:szCs w:val="20"/>
                <w:color w:val="auto"/>
              </w:rPr>
            </w:pPr>
            <w:r>
              <w:rPr>
                <w:rFonts w:ascii="Arial" w:cs="Arial" w:eastAsia="Arial" w:hAnsi="Arial"/>
                <w:sz w:val="14"/>
                <w:szCs w:val="14"/>
                <w:color w:val="auto"/>
              </w:rPr>
              <w:t>2009</w:t>
            </w:r>
          </w:p>
        </w:tc>
        <w:tc>
          <w:tcPr>
            <w:tcW w:w="4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79"/>
              </w:rPr>
              <w:t>Volume</w:t>
            </w:r>
          </w:p>
        </w:tc>
        <w:tc>
          <w:tcPr>
            <w:tcW w:w="740" w:type="dxa"/>
            <w:vAlign w:val="bottom"/>
            <w:tcBorders>
              <w:bottom w:val="single" w:sz="8" w:color="auto"/>
              <w:right w:val="single" w:sz="8" w:color="auto"/>
            </w:tcBorders>
          </w:tcPr>
          <w:p>
            <w:pPr>
              <w:jc w:val="right"/>
              <w:ind w:right="17"/>
              <w:spacing w:after="0" w:line="156" w:lineRule="exact"/>
              <w:rPr>
                <w:sz w:val="20"/>
                <w:szCs w:val="20"/>
                <w:color w:val="auto"/>
              </w:rPr>
            </w:pPr>
            <w:r>
              <w:rPr>
                <w:rFonts w:ascii="Arial" w:cs="Arial" w:eastAsia="Arial" w:hAnsi="Arial"/>
                <w:sz w:val="14"/>
                <w:szCs w:val="14"/>
                <w:color w:val="auto"/>
              </w:rPr>
              <w:t>S/D</w:t>
            </w:r>
          </w:p>
        </w:tc>
        <w:tc>
          <w:tcPr>
            <w:tcW w:w="9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2009</w:t>
            </w:r>
          </w:p>
        </w:tc>
        <w:tc>
          <w:tcPr>
            <w:tcW w:w="620" w:type="dxa"/>
            <w:vAlign w:val="bottom"/>
            <w:tcBorders>
              <w:bottom w:val="single" w:sz="8" w:color="auto"/>
              <w:right w:val="single" w:sz="8" w:color="auto"/>
            </w:tcBorders>
          </w:tcPr>
          <w:p>
            <w:pPr>
              <w:jc w:val="right"/>
              <w:ind w:right="37"/>
              <w:spacing w:after="0" w:line="156" w:lineRule="exact"/>
              <w:rPr>
                <w:sz w:val="20"/>
                <w:szCs w:val="20"/>
                <w:color w:val="auto"/>
              </w:rPr>
            </w:pPr>
            <w:r>
              <w:rPr>
                <w:rFonts w:ascii="Arial" w:cs="Arial" w:eastAsia="Arial" w:hAnsi="Arial"/>
                <w:sz w:val="14"/>
                <w:szCs w:val="14"/>
                <w:color w:val="auto"/>
              </w:rPr>
              <w:t>Volume</w:t>
            </w:r>
          </w:p>
        </w:tc>
      </w:tr>
      <w:tr>
        <w:trPr>
          <w:trHeight w:val="193"/>
        </w:trPr>
        <w:tc>
          <w:tcPr>
            <w:tcW w:w="40" w:type="dxa"/>
            <w:vAlign w:val="bottom"/>
            <w:tcBorders>
              <w:top w:val="single" w:sz="8" w:color="auto"/>
              <w:right w:val="single" w:sz="8" w:color="auto"/>
            </w:tcBorders>
          </w:tcPr>
          <w:p>
            <w:pPr>
              <w:spacing w:after="0"/>
              <w:rPr>
                <w:sz w:val="16"/>
                <w:szCs w:val="16"/>
                <w:color w:val="auto"/>
              </w:rPr>
            </w:pPr>
          </w:p>
        </w:tc>
        <w:tc>
          <w:tcPr>
            <w:tcW w:w="6380" w:type="dxa"/>
            <w:vAlign w:val="bottom"/>
            <w:tcBorders>
              <w:top w:val="single" w:sz="8" w:color="auto"/>
              <w:right w:val="single" w:sz="8" w:color="auto"/>
            </w:tcBorders>
            <w:shd w:val="clear" w:color="auto" w:fill="CCEEFF"/>
          </w:tcPr>
          <w:p>
            <w:pPr>
              <w:ind w:left="80"/>
              <w:spacing w:after="0" w:line="193" w:lineRule="exact"/>
              <w:rPr>
                <w:sz w:val="20"/>
                <w:szCs w:val="20"/>
                <w:color w:val="auto"/>
              </w:rPr>
            </w:pPr>
            <w:r>
              <w:rPr>
                <w:rFonts w:ascii="Arial" w:cs="Arial" w:eastAsia="Arial" w:hAnsi="Arial"/>
                <w:sz w:val="18"/>
                <w:szCs w:val="18"/>
                <w:color w:val="auto"/>
              </w:rPr>
              <w:t>Buick Total</w:t>
            </w:r>
          </w:p>
        </w:tc>
        <w:tc>
          <w:tcPr>
            <w:tcW w:w="76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13,133</w:t>
            </w:r>
          </w:p>
        </w:tc>
        <w:tc>
          <w:tcPr>
            <w:tcW w:w="780" w:type="dxa"/>
            <w:vAlign w:val="bottom"/>
            <w:tcBorders>
              <w:top w:val="single" w:sz="8" w:color="CCEEFF"/>
            </w:tcBorders>
            <w:shd w:val="clear" w:color="auto" w:fill="CCEEFF"/>
          </w:tcPr>
          <w:p>
            <w:pPr>
              <w:jc w:val="right"/>
              <w:ind w:right="56"/>
              <w:spacing w:after="0" w:line="193" w:lineRule="exact"/>
              <w:rPr>
                <w:sz w:val="20"/>
                <w:szCs w:val="20"/>
                <w:color w:val="auto"/>
              </w:rPr>
            </w:pPr>
            <w:r>
              <w:rPr>
                <w:rFonts w:ascii="Arial" w:cs="Arial" w:eastAsia="Arial" w:hAnsi="Arial"/>
                <w:sz w:val="18"/>
                <w:szCs w:val="18"/>
                <w:color w:val="auto"/>
              </w:rPr>
              <w:t>8,601</w:t>
            </w:r>
          </w:p>
        </w:tc>
        <w:tc>
          <w:tcPr>
            <w:tcW w:w="48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52.7</w:t>
            </w:r>
          </w:p>
        </w:tc>
        <w:tc>
          <w:tcPr>
            <w:tcW w:w="740" w:type="dxa"/>
            <w:vAlign w:val="bottom"/>
            <w:tcBorders>
              <w:top w:val="single" w:sz="8" w:color="CCEEFF"/>
              <w:right w:val="single" w:sz="8" w:color="auto"/>
            </w:tcBorders>
            <w:shd w:val="clear" w:color="auto" w:fill="CCEEFF"/>
          </w:tcPr>
          <w:p>
            <w:pPr>
              <w:jc w:val="right"/>
              <w:ind w:right="57"/>
              <w:spacing w:after="0" w:line="193" w:lineRule="exact"/>
              <w:rPr>
                <w:sz w:val="20"/>
                <w:szCs w:val="20"/>
                <w:color w:val="auto"/>
              </w:rPr>
            </w:pPr>
            <w:r>
              <w:rPr>
                <w:rFonts w:ascii="Arial" w:cs="Arial" w:eastAsia="Arial" w:hAnsi="Arial"/>
                <w:sz w:val="18"/>
                <w:szCs w:val="18"/>
                <w:color w:val="auto"/>
              </w:rPr>
              <w:t>52.7</w:t>
            </w:r>
          </w:p>
        </w:tc>
        <w:tc>
          <w:tcPr>
            <w:tcW w:w="90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70,032</w:t>
            </w:r>
          </w:p>
        </w:tc>
        <w:tc>
          <w:tcPr>
            <w:tcW w:w="72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47,223</w:t>
            </w:r>
          </w:p>
        </w:tc>
        <w:tc>
          <w:tcPr>
            <w:tcW w:w="620" w:type="dxa"/>
            <w:vAlign w:val="bottom"/>
            <w:tcBorders>
              <w:top w:val="single" w:sz="8" w:color="CCEEFF"/>
              <w:right w:val="single" w:sz="8" w:color="auto"/>
            </w:tcBorders>
            <w:shd w:val="clear" w:color="auto" w:fill="CCEEFF"/>
          </w:tcPr>
          <w:p>
            <w:pPr>
              <w:jc w:val="right"/>
              <w:ind w:right="37"/>
              <w:spacing w:after="0" w:line="193" w:lineRule="exact"/>
              <w:rPr>
                <w:sz w:val="20"/>
                <w:szCs w:val="20"/>
                <w:color w:val="auto"/>
              </w:rPr>
            </w:pPr>
            <w:r>
              <w:rPr>
                <w:rFonts w:ascii="Arial" w:cs="Arial" w:eastAsia="Arial" w:hAnsi="Arial"/>
                <w:sz w:val="18"/>
                <w:szCs w:val="18"/>
                <w:color w:val="auto"/>
              </w:rPr>
              <w:t>48.3</w:t>
            </w:r>
          </w:p>
        </w:tc>
      </w:tr>
      <w:tr>
        <w:trPr>
          <w:trHeight w:val="216"/>
        </w:trPr>
        <w:tc>
          <w:tcPr>
            <w:tcW w:w="4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Cadillac Total</w:t>
            </w:r>
          </w:p>
        </w:tc>
        <w:tc>
          <w:tcPr>
            <w:tcW w:w="760" w:type="dxa"/>
            <w:vAlign w:val="bottom"/>
          </w:tcPr>
          <w:p>
            <w:pPr>
              <w:jc w:val="right"/>
              <w:spacing w:after="0"/>
              <w:rPr>
                <w:sz w:val="20"/>
                <w:szCs w:val="20"/>
                <w:color w:val="auto"/>
              </w:rPr>
            </w:pPr>
            <w:r>
              <w:rPr>
                <w:rFonts w:ascii="Arial" w:cs="Arial" w:eastAsia="Arial" w:hAnsi="Arial"/>
                <w:sz w:val="18"/>
                <w:szCs w:val="18"/>
                <w:color w:val="auto"/>
              </w:rPr>
              <w:t>11,788</w:t>
            </w: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8,473</w:t>
            </w:r>
          </w:p>
        </w:tc>
        <w:tc>
          <w:tcPr>
            <w:tcW w:w="480" w:type="dxa"/>
            <w:vAlign w:val="bottom"/>
          </w:tcPr>
          <w:p>
            <w:pPr>
              <w:jc w:val="right"/>
              <w:spacing w:after="0"/>
              <w:rPr>
                <w:sz w:val="20"/>
                <w:szCs w:val="20"/>
                <w:color w:val="auto"/>
              </w:rPr>
            </w:pPr>
            <w:r>
              <w:rPr>
                <w:rFonts w:ascii="Arial" w:cs="Arial" w:eastAsia="Arial" w:hAnsi="Arial"/>
                <w:sz w:val="18"/>
                <w:szCs w:val="18"/>
                <w:color w:val="auto"/>
              </w:rPr>
              <w:t>39.1</w:t>
            </w:r>
          </w:p>
        </w:tc>
        <w:tc>
          <w:tcPr>
            <w:tcW w:w="74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39.1</w:t>
            </w:r>
          </w:p>
        </w:tc>
        <w:tc>
          <w:tcPr>
            <w:tcW w:w="900" w:type="dxa"/>
            <w:vAlign w:val="bottom"/>
          </w:tcPr>
          <w:p>
            <w:pPr>
              <w:jc w:val="right"/>
              <w:spacing w:after="0"/>
              <w:rPr>
                <w:sz w:val="20"/>
                <w:szCs w:val="20"/>
                <w:color w:val="auto"/>
              </w:rPr>
            </w:pPr>
            <w:r>
              <w:rPr>
                <w:rFonts w:ascii="Arial" w:cs="Arial" w:eastAsia="Arial" w:hAnsi="Arial"/>
                <w:sz w:val="18"/>
                <w:szCs w:val="18"/>
                <w:color w:val="auto"/>
              </w:rPr>
              <w:t>64,785</w:t>
            </w:r>
          </w:p>
        </w:tc>
        <w:tc>
          <w:tcPr>
            <w:tcW w:w="720" w:type="dxa"/>
            <w:vAlign w:val="bottom"/>
          </w:tcPr>
          <w:p>
            <w:pPr>
              <w:jc w:val="right"/>
              <w:spacing w:after="0"/>
              <w:rPr>
                <w:sz w:val="20"/>
                <w:szCs w:val="20"/>
                <w:color w:val="auto"/>
              </w:rPr>
            </w:pPr>
            <w:r>
              <w:rPr>
                <w:rFonts w:ascii="Arial" w:cs="Arial" w:eastAsia="Arial" w:hAnsi="Arial"/>
                <w:sz w:val="18"/>
                <w:szCs w:val="18"/>
                <w:color w:val="auto"/>
              </w:rPr>
              <w:t>48,583</w:t>
            </w:r>
          </w:p>
        </w:tc>
        <w:tc>
          <w:tcPr>
            <w:tcW w:w="62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33.3</w:t>
            </w:r>
          </w:p>
        </w:tc>
      </w:tr>
      <w:tr>
        <w:trPr>
          <w:trHeight w:val="216"/>
        </w:trPr>
        <w:tc>
          <w:tcPr>
            <w:tcW w:w="4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Chevrolet Total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141,381</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5"/>
              </w:rPr>
              <w:t>106,712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74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782,443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596,932</w:t>
            </w:r>
          </w:p>
        </w:tc>
        <w:tc>
          <w:tcPr>
            <w:tcW w:w="62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31.1</w:t>
            </w:r>
          </w:p>
        </w:tc>
      </w:tr>
      <w:tr>
        <w:trPr>
          <w:trHeight w:val="216"/>
        </w:trPr>
        <w:tc>
          <w:tcPr>
            <w:tcW w:w="4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GMC Total **</w:t>
            </w:r>
          </w:p>
        </w:tc>
        <w:tc>
          <w:tcPr>
            <w:tcW w:w="760" w:type="dxa"/>
            <w:vAlign w:val="bottom"/>
          </w:tcPr>
          <w:p>
            <w:pPr>
              <w:jc w:val="right"/>
              <w:spacing w:after="0"/>
              <w:rPr>
                <w:sz w:val="20"/>
                <w:szCs w:val="20"/>
                <w:color w:val="auto"/>
              </w:rPr>
            </w:pPr>
            <w:r>
              <w:rPr>
                <w:rFonts w:ascii="Arial" w:cs="Arial" w:eastAsia="Arial" w:hAnsi="Arial"/>
                <w:sz w:val="18"/>
                <w:szCs w:val="18"/>
                <w:color w:val="auto"/>
              </w:rPr>
              <w:t>28,526</w:t>
            </w: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19,668</w:t>
            </w:r>
          </w:p>
        </w:tc>
        <w:tc>
          <w:tcPr>
            <w:tcW w:w="480" w:type="dxa"/>
            <w:vAlign w:val="bottom"/>
          </w:tcPr>
          <w:p>
            <w:pPr>
              <w:jc w:val="right"/>
              <w:spacing w:after="0"/>
              <w:rPr>
                <w:sz w:val="20"/>
                <w:szCs w:val="20"/>
                <w:color w:val="auto"/>
              </w:rPr>
            </w:pPr>
            <w:r>
              <w:rPr>
                <w:rFonts w:ascii="Arial" w:cs="Arial" w:eastAsia="Arial" w:hAnsi="Arial"/>
                <w:sz w:val="18"/>
                <w:szCs w:val="18"/>
                <w:color w:val="auto"/>
              </w:rPr>
              <w:t>45.0</w:t>
            </w:r>
          </w:p>
        </w:tc>
        <w:tc>
          <w:tcPr>
            <w:tcW w:w="74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45.0</w:t>
            </w:r>
          </w:p>
        </w:tc>
        <w:tc>
          <w:tcPr>
            <w:tcW w:w="900" w:type="dxa"/>
            <w:vAlign w:val="bottom"/>
          </w:tcPr>
          <w:p>
            <w:pPr>
              <w:jc w:val="right"/>
              <w:spacing w:after="0"/>
              <w:rPr>
                <w:sz w:val="20"/>
                <w:szCs w:val="20"/>
                <w:color w:val="auto"/>
              </w:rPr>
            </w:pPr>
            <w:r>
              <w:rPr>
                <w:rFonts w:ascii="Arial" w:cs="Arial" w:eastAsia="Arial" w:hAnsi="Arial"/>
                <w:sz w:val="18"/>
                <w:szCs w:val="18"/>
                <w:color w:val="auto"/>
              </w:rPr>
              <w:t>152,317</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118,471</w:t>
            </w:r>
          </w:p>
        </w:tc>
        <w:tc>
          <w:tcPr>
            <w:tcW w:w="62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28.6</w:t>
            </w:r>
          </w:p>
        </w:tc>
      </w:tr>
      <w:tr>
        <w:trPr>
          <w:trHeight w:val="216"/>
        </w:trPr>
        <w:tc>
          <w:tcPr>
            <w:tcW w:w="4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Brand 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194,828</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5"/>
              </w:rPr>
              <w:t>143,454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74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35.8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1,069,577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811,209</w:t>
            </w:r>
          </w:p>
        </w:tc>
        <w:tc>
          <w:tcPr>
            <w:tcW w:w="62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31.8</w:t>
            </w:r>
          </w:p>
        </w:tc>
      </w:tr>
      <w:tr>
        <w:trPr>
          <w:trHeight w:val="216"/>
        </w:trPr>
        <w:tc>
          <w:tcPr>
            <w:tcW w:w="4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HUMMER Total</w:t>
            </w:r>
          </w:p>
        </w:tc>
        <w:tc>
          <w:tcPr>
            <w:tcW w:w="760" w:type="dxa"/>
            <w:vAlign w:val="bottom"/>
          </w:tcPr>
          <w:p>
            <w:pPr>
              <w:jc w:val="right"/>
              <w:spacing w:after="0"/>
              <w:rPr>
                <w:sz w:val="20"/>
                <w:szCs w:val="20"/>
                <w:color w:val="auto"/>
              </w:rPr>
            </w:pPr>
            <w:r>
              <w:rPr>
                <w:rFonts w:ascii="Arial" w:cs="Arial" w:eastAsia="Arial" w:hAnsi="Arial"/>
                <w:sz w:val="18"/>
                <w:szCs w:val="18"/>
                <w:color w:val="auto"/>
              </w:rPr>
              <w:t>303</w:t>
            </w: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1,078</w:t>
            </w:r>
          </w:p>
        </w:tc>
        <w:tc>
          <w:tcPr>
            <w:tcW w:w="480" w:type="dxa"/>
            <w:vAlign w:val="bottom"/>
          </w:tcPr>
          <w:p>
            <w:pPr>
              <w:jc w:val="right"/>
              <w:spacing w:after="0"/>
              <w:rPr>
                <w:sz w:val="20"/>
                <w:szCs w:val="20"/>
                <w:color w:val="auto"/>
              </w:rPr>
            </w:pPr>
            <w:r>
              <w:rPr>
                <w:rFonts w:ascii="Arial" w:cs="Arial" w:eastAsia="Arial" w:hAnsi="Arial"/>
                <w:sz w:val="18"/>
                <w:szCs w:val="18"/>
                <w:color w:val="auto"/>
                <w:w w:val="92"/>
              </w:rPr>
              <w:t>-71.9</w:t>
            </w:r>
          </w:p>
        </w:tc>
        <w:tc>
          <w:tcPr>
            <w:tcW w:w="74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-71.9</w:t>
            </w:r>
          </w:p>
        </w:tc>
        <w:tc>
          <w:tcPr>
            <w:tcW w:w="900" w:type="dxa"/>
            <w:vAlign w:val="bottom"/>
          </w:tcPr>
          <w:p>
            <w:pPr>
              <w:jc w:val="right"/>
              <w:spacing w:after="0"/>
              <w:rPr>
                <w:sz w:val="20"/>
                <w:szCs w:val="20"/>
                <w:color w:val="auto"/>
              </w:rPr>
            </w:pPr>
            <w:r>
              <w:rPr>
                <w:rFonts w:ascii="Arial" w:cs="Arial" w:eastAsia="Arial" w:hAnsi="Arial"/>
                <w:sz w:val="18"/>
                <w:szCs w:val="18"/>
                <w:color w:val="auto"/>
              </w:rPr>
              <w:t>2,929</w:t>
            </w:r>
          </w:p>
        </w:tc>
        <w:tc>
          <w:tcPr>
            <w:tcW w:w="720" w:type="dxa"/>
            <w:vAlign w:val="bottom"/>
          </w:tcPr>
          <w:p>
            <w:pPr>
              <w:jc w:val="right"/>
              <w:spacing w:after="0"/>
              <w:rPr>
                <w:sz w:val="20"/>
                <w:szCs w:val="20"/>
                <w:color w:val="auto"/>
              </w:rPr>
            </w:pPr>
            <w:r>
              <w:rPr>
                <w:rFonts w:ascii="Arial" w:cs="Arial" w:eastAsia="Arial" w:hAnsi="Arial"/>
                <w:sz w:val="18"/>
                <w:szCs w:val="18"/>
                <w:color w:val="auto"/>
              </w:rPr>
              <w:t>6,191</w:t>
            </w:r>
          </w:p>
        </w:tc>
        <w:tc>
          <w:tcPr>
            <w:tcW w:w="62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-52.7</w:t>
            </w:r>
          </w:p>
        </w:tc>
      </w:tr>
      <w:tr>
        <w:trPr>
          <w:trHeight w:val="216"/>
        </w:trPr>
        <w:tc>
          <w:tcPr>
            <w:tcW w:w="4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Pontiac 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23,740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-99.5</w:t>
            </w:r>
          </w:p>
        </w:tc>
        <w:tc>
          <w:tcPr>
            <w:tcW w:w="74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-99.5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88,794</w:t>
            </w:r>
          </w:p>
        </w:tc>
        <w:tc>
          <w:tcPr>
            <w:tcW w:w="62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-99.0</w:t>
            </w:r>
          </w:p>
        </w:tc>
      </w:tr>
      <w:tr>
        <w:trPr>
          <w:trHeight w:val="216"/>
        </w:trPr>
        <w:tc>
          <w:tcPr>
            <w:tcW w:w="4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Saab Total</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779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608</w:t>
            </w:r>
          </w:p>
        </w:tc>
        <w:tc>
          <w:tcPr>
            <w:tcW w:w="720" w:type="dxa"/>
            <w:vAlign w:val="bottom"/>
          </w:tcPr>
          <w:p>
            <w:pPr>
              <w:jc w:val="right"/>
              <w:spacing w:after="0"/>
              <w:rPr>
                <w:sz w:val="20"/>
                <w:szCs w:val="20"/>
                <w:color w:val="auto"/>
              </w:rPr>
            </w:pPr>
            <w:r>
              <w:rPr>
                <w:rFonts w:ascii="Arial" w:cs="Arial" w:eastAsia="Arial" w:hAnsi="Arial"/>
                <w:sz w:val="18"/>
                <w:szCs w:val="18"/>
                <w:color w:val="auto"/>
              </w:rPr>
              <w:t>5,386</w:t>
            </w:r>
          </w:p>
        </w:tc>
        <w:tc>
          <w:tcPr>
            <w:tcW w:w="62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-88.7</w:t>
            </w:r>
          </w:p>
        </w:tc>
      </w:tr>
      <w:tr>
        <w:trPr>
          <w:trHeight w:val="216"/>
        </w:trPr>
        <w:tc>
          <w:tcPr>
            <w:tcW w:w="4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Saturn 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7,520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-98.2</w:t>
            </w:r>
          </w:p>
        </w:tc>
        <w:tc>
          <w:tcPr>
            <w:tcW w:w="74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-98.2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42,776</w:t>
            </w:r>
          </w:p>
        </w:tc>
        <w:tc>
          <w:tcPr>
            <w:tcW w:w="62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-84.9</w:t>
            </w:r>
          </w:p>
        </w:tc>
      </w:tr>
      <w:tr>
        <w:trPr>
          <w:trHeight w:val="256"/>
        </w:trPr>
        <w:tc>
          <w:tcPr>
            <w:tcW w:w="40" w:type="dxa"/>
            <w:vAlign w:val="bottom"/>
            <w:tcBorders>
              <w:right w:val="single" w:sz="8" w:color="auto"/>
            </w:tcBorders>
          </w:tcPr>
          <w:p>
            <w:pPr>
              <w:spacing w:after="0"/>
              <w:rPr>
                <w:sz w:val="22"/>
                <w:szCs w:val="22"/>
                <w:color w:val="auto"/>
              </w:rPr>
            </w:pPr>
          </w:p>
        </w:tc>
        <w:tc>
          <w:tcPr>
            <w:tcW w:w="6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Other Brand Total</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33,117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-98.3</w:t>
            </w:r>
          </w:p>
        </w:tc>
        <w:tc>
          <w:tcPr>
            <w:tcW w:w="7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-98.3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143,147</w:t>
            </w:r>
          </w:p>
        </w:tc>
        <w:tc>
          <w:tcPr>
            <w:tcW w:w="62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-92.4</w:t>
            </w:r>
          </w:p>
        </w:tc>
      </w:tr>
      <w:tr>
        <w:trPr>
          <w:trHeight w:val="250"/>
        </w:trPr>
        <w:tc>
          <w:tcPr>
            <w:tcW w:w="40" w:type="dxa"/>
            <w:vAlign w:val="bottom"/>
            <w:tcBorders>
              <w:right w:val="single" w:sz="8" w:color="auto"/>
            </w:tcBorders>
          </w:tcPr>
          <w:p>
            <w:pPr>
              <w:spacing w:after="0"/>
              <w:rPr>
                <w:sz w:val="21"/>
                <w:szCs w:val="21"/>
                <w:color w:val="auto"/>
              </w:rPr>
            </w:pPr>
          </w:p>
        </w:tc>
        <w:tc>
          <w:tcPr>
            <w:tcW w:w="63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GM Vehicle 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195,380</w:t>
            </w:r>
          </w:p>
        </w:tc>
        <w:tc>
          <w:tcPr>
            <w:tcW w:w="7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5"/>
              </w:rPr>
              <w:t>176,571</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74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10.7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1,080,521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954,356</w:t>
            </w:r>
          </w:p>
        </w:tc>
        <w:tc>
          <w:tcPr>
            <w:tcW w:w="62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774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774065"/>
                    </a:xfrm>
                    <a:prstGeom prst="rect">
                      <a:avLst/>
                    </a:prstGeom>
                    <a:noFill/>
                  </pic:spPr>
                </pic:pic>
              </a:graphicData>
            </a:graphic>
          </wp:anchor>
        </w:drawing>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25 selling days (S/D) for the June period this year and 25 for last year.</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9920" w:val="left"/>
        </w:tabs>
        <w:rPr>
          <w:sz w:val="20"/>
          <w:szCs w:val="20"/>
          <w:color w:val="auto"/>
        </w:rPr>
      </w:pPr>
      <w:r>
        <w:rPr>
          <w:rFonts w:ascii="Arial" w:cs="Arial" w:eastAsia="Arial" w:hAnsi="Arial"/>
          <w:sz w:val="18"/>
          <w:szCs w:val="18"/>
          <w:color w:val="auto"/>
        </w:rPr>
        <w:t>Global Market and Industry Analysis - 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June 2010 by Model</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6280" w:type="dxa"/>
            <w:vAlign w:val="bottom"/>
            <w:tcBorders>
              <w:top w:val="single" w:sz="8" w:color="auto"/>
              <w:left w:val="single" w:sz="8" w:color="auto"/>
              <w:right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spacing w:after="0"/>
              <w:rPr>
                <w:sz w:val="13"/>
                <w:szCs w:val="13"/>
                <w:color w:val="auto"/>
              </w:rPr>
            </w:pPr>
          </w:p>
        </w:tc>
        <w:tc>
          <w:tcPr>
            <w:tcW w:w="2320" w:type="dxa"/>
            <w:vAlign w:val="bottom"/>
            <w:tcBorders>
              <w:top w:val="single" w:sz="8" w:color="auto"/>
              <w:right w:val="single" w:sz="8" w:color="auto"/>
            </w:tcBorders>
            <w:gridSpan w:val="3"/>
          </w:tcPr>
          <w:p>
            <w:pPr>
              <w:jc w:val="right"/>
              <w:ind w:right="433"/>
              <w:spacing w:after="0" w:line="151" w:lineRule="exact"/>
              <w:rPr>
                <w:sz w:val="20"/>
                <w:szCs w:val="20"/>
                <w:color w:val="auto"/>
              </w:rPr>
            </w:pPr>
            <w:r>
              <w:rPr>
                <w:rFonts w:ascii="Arial" w:cs="Arial" w:eastAsia="Arial" w:hAnsi="Arial"/>
                <w:sz w:val="14"/>
                <w:szCs w:val="14"/>
                <w:color w:val="auto"/>
              </w:rPr>
              <w:t>(Calendar Year-to-Date)</w:t>
            </w:r>
          </w:p>
        </w:tc>
      </w:tr>
      <w:tr>
        <w:trPr>
          <w:trHeight w:val="173"/>
        </w:trPr>
        <w:tc>
          <w:tcPr>
            <w:tcW w:w="6280" w:type="dxa"/>
            <w:vAlign w:val="bottom"/>
            <w:tcBorders>
              <w:left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w:t>
            </w: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4"/>
                <w:szCs w:val="14"/>
                <w:color w:val="auto"/>
              </w:rPr>
              <w:t>January - June</w:t>
            </w:r>
          </w:p>
        </w:tc>
        <w:tc>
          <w:tcPr>
            <w:tcW w:w="620" w:type="dxa"/>
            <w:vAlign w:val="bottom"/>
            <w:tcBorders>
              <w:bottom w:val="single" w:sz="8" w:color="auto"/>
              <w:right w:val="single" w:sz="8" w:color="auto"/>
            </w:tcBorders>
          </w:tcPr>
          <w:p>
            <w:pPr>
              <w:spacing w:after="0"/>
              <w:rPr>
                <w:sz w:val="15"/>
                <w:szCs w:val="15"/>
                <w:color w:val="auto"/>
              </w:rPr>
            </w:pPr>
          </w:p>
        </w:tc>
      </w:tr>
      <w:tr>
        <w:trPr>
          <w:trHeight w:val="131"/>
        </w:trPr>
        <w:tc>
          <w:tcPr>
            <w:tcW w:w="6280" w:type="dxa"/>
            <w:vAlign w:val="bottom"/>
            <w:tcBorders>
              <w:left w:val="single" w:sz="8" w:color="auto"/>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jc w:val="right"/>
              <w:ind w:right="13"/>
              <w:spacing w:after="0" w:line="131" w:lineRule="exact"/>
              <w:rPr>
                <w:sz w:val="20"/>
                <w:szCs w:val="20"/>
                <w:color w:val="auto"/>
              </w:rPr>
            </w:pPr>
            <w:r>
              <w:rPr>
                <w:rFonts w:ascii="Arial" w:cs="Arial" w:eastAsia="Arial" w:hAnsi="Arial"/>
                <w:sz w:val="14"/>
                <w:szCs w:val="14"/>
                <w:color w:val="auto"/>
                <w:w w:val="95"/>
              </w:rPr>
              <w:t>% Chg</w:t>
            </w:r>
          </w:p>
        </w:tc>
        <w:tc>
          <w:tcPr>
            <w:tcW w:w="720" w:type="dxa"/>
            <w:vAlign w:val="bottom"/>
            <w:tcBorders>
              <w:right w:val="single" w:sz="8" w:color="auto"/>
            </w:tcBorders>
          </w:tcPr>
          <w:p>
            <w:pPr>
              <w:jc w:val="right"/>
              <w:ind w:right="13"/>
              <w:spacing w:after="0" w:line="131" w:lineRule="exact"/>
              <w:rPr>
                <w:sz w:val="20"/>
                <w:szCs w:val="20"/>
                <w:color w:val="auto"/>
              </w:rPr>
            </w:pPr>
            <w:r>
              <w:rPr>
                <w:rFonts w:ascii="Arial" w:cs="Arial" w:eastAsia="Arial" w:hAnsi="Arial"/>
                <w:sz w:val="14"/>
                <w:szCs w:val="14"/>
                <w:color w:val="auto"/>
                <w:w w:val="96"/>
              </w:rPr>
              <w:t>%Chg per</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%Chg</w:t>
            </w:r>
          </w:p>
        </w:tc>
      </w:tr>
      <w:tr>
        <w:trPr>
          <w:trHeight w:val="159"/>
        </w:trPr>
        <w:tc>
          <w:tcPr>
            <w:tcW w:w="6280" w:type="dxa"/>
            <w:vAlign w:val="bottom"/>
            <w:tcBorders>
              <w:left w:val="single" w:sz="8" w:color="auto"/>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80" w:type="dxa"/>
            <w:vAlign w:val="bottom"/>
            <w:tcBorders>
              <w:bottom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rPr>
              <w:t>2009</w:t>
            </w:r>
          </w:p>
        </w:tc>
        <w:tc>
          <w:tcPr>
            <w:tcW w:w="520" w:type="dxa"/>
            <w:vAlign w:val="bottom"/>
            <w:tcBorders>
              <w:bottom w:val="single" w:sz="8" w:color="auto"/>
            </w:tcBorders>
          </w:tcPr>
          <w:p>
            <w:pPr>
              <w:jc w:val="right"/>
              <w:ind w:right="13"/>
              <w:spacing w:after="0" w:line="159" w:lineRule="exact"/>
              <w:rPr>
                <w:sz w:val="20"/>
                <w:szCs w:val="20"/>
                <w:color w:val="auto"/>
              </w:rPr>
            </w:pPr>
            <w:r>
              <w:rPr>
                <w:rFonts w:ascii="Arial" w:cs="Arial" w:eastAsia="Arial" w:hAnsi="Arial"/>
                <w:sz w:val="14"/>
                <w:szCs w:val="14"/>
                <w:color w:val="auto"/>
                <w:w w:val="84"/>
              </w:rPr>
              <w:t>Volume</w:t>
            </w:r>
          </w:p>
        </w:tc>
        <w:tc>
          <w:tcPr>
            <w:tcW w:w="720" w:type="dxa"/>
            <w:vAlign w:val="bottom"/>
            <w:tcBorders>
              <w:bottom w:val="single" w:sz="8" w:color="auto"/>
              <w:right w:val="single" w:sz="8" w:color="auto"/>
            </w:tcBorders>
          </w:tcPr>
          <w:p>
            <w:pPr>
              <w:jc w:val="right"/>
              <w:ind w:right="13"/>
              <w:spacing w:after="0" w:line="159" w:lineRule="exact"/>
              <w:rPr>
                <w:sz w:val="20"/>
                <w:szCs w:val="20"/>
                <w:color w:val="auto"/>
              </w:rPr>
            </w:pPr>
            <w:r>
              <w:rPr>
                <w:rFonts w:ascii="Arial" w:cs="Arial" w:eastAsia="Arial" w:hAnsi="Arial"/>
                <w:sz w:val="14"/>
                <w:szCs w:val="14"/>
                <w:color w:val="auto"/>
              </w:rPr>
              <w:t>S/D</w:t>
            </w:r>
          </w:p>
        </w:tc>
        <w:tc>
          <w:tcPr>
            <w:tcW w:w="9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60" w:type="dxa"/>
            <w:vAlign w:val="bottom"/>
            <w:tcBorders>
              <w:bottom w:val="single" w:sz="8" w:color="auto"/>
            </w:tcBorders>
          </w:tcPr>
          <w:p>
            <w:pPr>
              <w:jc w:val="right"/>
              <w:ind w:right="13"/>
              <w:spacing w:after="0" w:line="159" w:lineRule="exact"/>
              <w:rPr>
                <w:sz w:val="20"/>
                <w:szCs w:val="20"/>
                <w:color w:val="auto"/>
              </w:rPr>
            </w:pPr>
            <w:r>
              <w:rPr>
                <w:rFonts w:ascii="Arial" w:cs="Arial" w:eastAsia="Arial" w:hAnsi="Arial"/>
                <w:sz w:val="14"/>
                <w:szCs w:val="14"/>
                <w:color w:val="auto"/>
              </w:rPr>
              <w:t>2009</w:t>
            </w:r>
          </w:p>
        </w:tc>
        <w:tc>
          <w:tcPr>
            <w:tcW w:w="620" w:type="dxa"/>
            <w:vAlign w:val="bottom"/>
            <w:tcBorders>
              <w:bottom w:val="single" w:sz="8" w:color="auto"/>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rPr>
              <w:t>Volume</w:t>
            </w:r>
          </w:p>
        </w:tc>
      </w:tr>
      <w:tr>
        <w:trPr>
          <w:trHeight w:val="210"/>
        </w:trPr>
        <w:tc>
          <w:tcPr>
            <w:tcW w:w="62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Enclave</w:t>
            </w:r>
          </w:p>
        </w:tc>
        <w:tc>
          <w:tcPr>
            <w:tcW w:w="800" w:type="dxa"/>
            <w:vAlign w:val="bottom"/>
          </w:tcPr>
          <w:p>
            <w:pPr>
              <w:jc w:val="right"/>
              <w:spacing w:after="0"/>
              <w:rPr>
                <w:sz w:val="20"/>
                <w:szCs w:val="20"/>
                <w:color w:val="auto"/>
              </w:rPr>
            </w:pPr>
            <w:r>
              <w:rPr>
                <w:rFonts w:ascii="Arial" w:cs="Arial" w:eastAsia="Arial" w:hAnsi="Arial"/>
                <w:sz w:val="18"/>
                <w:szCs w:val="18"/>
                <w:color w:val="auto"/>
              </w:rPr>
              <w:t>4,561</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3,771</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20.9</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20.9</w:t>
            </w:r>
          </w:p>
        </w:tc>
        <w:tc>
          <w:tcPr>
            <w:tcW w:w="940" w:type="dxa"/>
            <w:vAlign w:val="bottom"/>
          </w:tcPr>
          <w:p>
            <w:pPr>
              <w:jc w:val="right"/>
              <w:spacing w:after="0"/>
              <w:rPr>
                <w:sz w:val="20"/>
                <w:szCs w:val="20"/>
                <w:color w:val="auto"/>
              </w:rPr>
            </w:pPr>
            <w:r>
              <w:rPr>
                <w:rFonts w:ascii="Arial" w:cs="Arial" w:eastAsia="Arial" w:hAnsi="Arial"/>
                <w:sz w:val="18"/>
                <w:szCs w:val="18"/>
                <w:color w:val="auto"/>
              </w:rPr>
              <w:t>26,247</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20,876</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25.7</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LaCrosse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1,964</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8"/>
              </w:rPr>
              <w:t>173.7</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173.7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30,409</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9,942</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205.9</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Lucerne</w:t>
            </w:r>
          </w:p>
        </w:tc>
        <w:tc>
          <w:tcPr>
            <w:tcW w:w="800" w:type="dxa"/>
            <w:vAlign w:val="bottom"/>
          </w:tcPr>
          <w:p>
            <w:pPr>
              <w:jc w:val="right"/>
              <w:spacing w:after="0"/>
              <w:rPr>
                <w:sz w:val="20"/>
                <w:szCs w:val="20"/>
                <w:color w:val="auto"/>
              </w:rPr>
            </w:pPr>
            <w:r>
              <w:rPr>
                <w:rFonts w:ascii="Arial" w:cs="Arial" w:eastAsia="Arial" w:hAnsi="Arial"/>
                <w:sz w:val="18"/>
                <w:szCs w:val="18"/>
                <w:color w:val="auto"/>
              </w:rPr>
              <w:t>2,875</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2,843</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1.1</w:t>
            </w:r>
          </w:p>
        </w:tc>
        <w:tc>
          <w:tcPr>
            <w:tcW w:w="940" w:type="dxa"/>
            <w:vAlign w:val="bottom"/>
          </w:tcPr>
          <w:p>
            <w:pPr>
              <w:jc w:val="right"/>
              <w:spacing w:after="0"/>
              <w:rPr>
                <w:sz w:val="20"/>
                <w:szCs w:val="20"/>
                <w:color w:val="auto"/>
              </w:rPr>
            </w:pPr>
            <w:r>
              <w:rPr>
                <w:rFonts w:ascii="Arial" w:cs="Arial" w:eastAsia="Arial" w:hAnsi="Arial"/>
                <w:sz w:val="18"/>
                <w:szCs w:val="18"/>
                <w:color w:val="auto"/>
              </w:rPr>
              <w:t>12,905</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16,359</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-21.1</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Rainier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Regal</w:t>
            </w:r>
          </w:p>
        </w:tc>
        <w:tc>
          <w:tcPr>
            <w:tcW w:w="800" w:type="dxa"/>
            <w:vAlign w:val="bottom"/>
          </w:tcPr>
          <w:p>
            <w:pPr>
              <w:jc w:val="right"/>
              <w:spacing w:after="0"/>
              <w:rPr>
                <w:sz w:val="20"/>
                <w:szCs w:val="20"/>
                <w:color w:val="auto"/>
              </w:rPr>
            </w:pPr>
            <w:r>
              <w:rPr>
                <w:rFonts w:ascii="Arial" w:cs="Arial" w:eastAsia="Arial" w:hAnsi="Arial"/>
                <w:sz w:val="18"/>
                <w:szCs w:val="18"/>
                <w:color w:val="auto"/>
              </w:rPr>
              <w:t>321</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Rendezvous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Terraza</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2"/>
              </w:rPr>
              <w:t>Buick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13,133</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8,601</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52.7</w:t>
            </w:r>
          </w:p>
        </w:tc>
        <w:tc>
          <w:tcPr>
            <w:tcW w:w="7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70,032</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47,223</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48.3</w:t>
            </w:r>
          </w:p>
        </w:tc>
      </w:tr>
      <w:tr>
        <w:trPr>
          <w:trHeight w:val="210"/>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CTS</w:t>
            </w:r>
          </w:p>
        </w:tc>
        <w:tc>
          <w:tcPr>
            <w:tcW w:w="800" w:type="dxa"/>
            <w:vAlign w:val="bottom"/>
          </w:tcPr>
          <w:p>
            <w:pPr>
              <w:jc w:val="right"/>
              <w:spacing w:after="0"/>
              <w:rPr>
                <w:sz w:val="20"/>
                <w:szCs w:val="20"/>
                <w:color w:val="auto"/>
              </w:rPr>
            </w:pPr>
            <w:r>
              <w:rPr>
                <w:rFonts w:ascii="Arial" w:cs="Arial" w:eastAsia="Arial" w:hAnsi="Arial"/>
                <w:sz w:val="18"/>
                <w:szCs w:val="18"/>
                <w:color w:val="auto"/>
              </w:rPr>
              <w:t>4,193</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3,193</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31.3</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31.3</w:t>
            </w:r>
          </w:p>
        </w:tc>
        <w:tc>
          <w:tcPr>
            <w:tcW w:w="940" w:type="dxa"/>
            <w:vAlign w:val="bottom"/>
          </w:tcPr>
          <w:p>
            <w:pPr>
              <w:jc w:val="right"/>
              <w:spacing w:after="0"/>
              <w:rPr>
                <w:sz w:val="20"/>
                <w:szCs w:val="20"/>
                <w:color w:val="auto"/>
              </w:rPr>
            </w:pPr>
            <w:r>
              <w:rPr>
                <w:rFonts w:ascii="Arial" w:cs="Arial" w:eastAsia="Arial" w:hAnsi="Arial"/>
                <w:sz w:val="18"/>
                <w:szCs w:val="18"/>
                <w:color w:val="auto"/>
              </w:rPr>
              <w:t>19,085</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20,559</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-7.2</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1,627</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8,110</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w:t>
            </w:r>
          </w:p>
        </w:tc>
        <w:tc>
          <w:tcPr>
            <w:tcW w:w="800" w:type="dxa"/>
            <w:vAlign w:val="bottom"/>
          </w:tcPr>
          <w:p>
            <w:pPr>
              <w:jc w:val="right"/>
              <w:spacing w:after="0"/>
              <w:rPr>
                <w:sz w:val="20"/>
                <w:szCs w:val="20"/>
                <w:color w:val="auto"/>
              </w:rPr>
            </w:pPr>
            <w:r>
              <w:rPr>
                <w:rFonts w:ascii="Arial" w:cs="Arial" w:eastAsia="Arial" w:hAnsi="Arial"/>
                <w:sz w:val="18"/>
                <w:szCs w:val="18"/>
                <w:color w:val="auto"/>
              </w:rPr>
              <w:t>1,008</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1,043</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-3.4</w:t>
            </w:r>
          </w:p>
        </w:tc>
        <w:tc>
          <w:tcPr>
            <w:tcW w:w="940" w:type="dxa"/>
            <w:vAlign w:val="bottom"/>
          </w:tcPr>
          <w:p>
            <w:pPr>
              <w:jc w:val="right"/>
              <w:spacing w:after="0"/>
              <w:rPr>
                <w:sz w:val="20"/>
                <w:szCs w:val="20"/>
                <w:color w:val="auto"/>
              </w:rPr>
            </w:pPr>
            <w:r>
              <w:rPr>
                <w:rFonts w:ascii="Arial" w:cs="Arial" w:eastAsia="Arial" w:hAnsi="Arial"/>
                <w:sz w:val="18"/>
                <w:szCs w:val="18"/>
                <w:color w:val="auto"/>
              </w:rPr>
              <w:t>7,514</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7,549</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-0.5</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 ESV</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431</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40.8</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2,880</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17.6</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 EXT</w:t>
            </w: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184</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97"/>
              </w:rPr>
              <w:t>-20.1</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-20.1</w:t>
            </w:r>
          </w:p>
        </w:tc>
        <w:tc>
          <w:tcPr>
            <w:tcW w:w="940" w:type="dxa"/>
            <w:vAlign w:val="bottom"/>
          </w:tcPr>
          <w:p>
            <w:pPr>
              <w:jc w:val="right"/>
              <w:spacing w:after="0"/>
              <w:rPr>
                <w:sz w:val="20"/>
                <w:szCs w:val="20"/>
                <w:color w:val="auto"/>
              </w:rPr>
            </w:pPr>
            <w:r>
              <w:rPr>
                <w:rFonts w:ascii="Arial" w:cs="Arial" w:eastAsia="Arial" w:hAnsi="Arial"/>
                <w:sz w:val="18"/>
                <w:szCs w:val="18"/>
                <w:color w:val="auto"/>
              </w:rPr>
              <w:t>813</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1,256</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-35.3</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SRX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677</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8"/>
              </w:rPr>
              <w:t>461.9</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3,855</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487.7</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STS</w:t>
            </w:r>
          </w:p>
        </w:tc>
        <w:tc>
          <w:tcPr>
            <w:tcW w:w="800" w:type="dxa"/>
            <w:vAlign w:val="bottom"/>
          </w:tcPr>
          <w:p>
            <w:pPr>
              <w:jc w:val="right"/>
              <w:spacing w:after="0"/>
              <w:rPr>
                <w:sz w:val="20"/>
                <w:szCs w:val="20"/>
                <w:color w:val="auto"/>
              </w:rPr>
            </w:pPr>
            <w:r>
              <w:rPr>
                <w:rFonts w:ascii="Arial" w:cs="Arial" w:eastAsia="Arial" w:hAnsi="Arial"/>
                <w:sz w:val="18"/>
                <w:szCs w:val="18"/>
                <w:color w:val="auto"/>
              </w:rPr>
              <w:t>409</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1,220</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97"/>
              </w:rPr>
              <w:t>-66.5</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-66.5</w:t>
            </w:r>
          </w:p>
        </w:tc>
        <w:tc>
          <w:tcPr>
            <w:tcW w:w="940" w:type="dxa"/>
            <w:vAlign w:val="bottom"/>
          </w:tcPr>
          <w:p>
            <w:pPr>
              <w:jc w:val="right"/>
              <w:spacing w:after="0"/>
              <w:rPr>
                <w:sz w:val="20"/>
                <w:szCs w:val="20"/>
                <w:color w:val="auto"/>
              </w:rPr>
            </w:pPr>
            <w:r>
              <w:rPr>
                <w:rFonts w:ascii="Arial" w:cs="Arial" w:eastAsia="Arial" w:hAnsi="Arial"/>
                <w:sz w:val="18"/>
                <w:szCs w:val="18"/>
                <w:color w:val="auto"/>
              </w:rPr>
              <w:t>2,145</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3,914</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-45.2</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XLR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-70.4</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460</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-62.8</w:t>
            </w:r>
          </w:p>
        </w:tc>
      </w:tr>
      <w:tr>
        <w:trPr>
          <w:trHeight w:val="216"/>
        </w:trPr>
        <w:tc>
          <w:tcPr>
            <w:tcW w:w="628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9"/>
              </w:rPr>
              <w:t>Cadillac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11,788</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8,473</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39.1</w:t>
            </w:r>
          </w:p>
        </w:tc>
        <w:tc>
          <w:tcPr>
            <w:tcW w:w="7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39.1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64,785</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48,583</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33.3</w:t>
            </w:r>
          </w:p>
        </w:tc>
      </w:tr>
      <w:tr>
        <w:trPr>
          <w:trHeight w:val="210"/>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Avalanche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1,329</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48.1</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7,130</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32.2</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Aveo</w:t>
            </w:r>
          </w:p>
        </w:tc>
        <w:tc>
          <w:tcPr>
            <w:tcW w:w="800" w:type="dxa"/>
            <w:vAlign w:val="bottom"/>
          </w:tcPr>
          <w:p>
            <w:pPr>
              <w:jc w:val="right"/>
              <w:spacing w:after="0"/>
              <w:rPr>
                <w:sz w:val="20"/>
                <w:szCs w:val="20"/>
                <w:color w:val="auto"/>
              </w:rPr>
            </w:pPr>
            <w:r>
              <w:rPr>
                <w:rFonts w:ascii="Arial" w:cs="Arial" w:eastAsia="Arial" w:hAnsi="Arial"/>
                <w:sz w:val="18"/>
                <w:szCs w:val="18"/>
                <w:color w:val="auto"/>
              </w:rPr>
              <w:t>5,728</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2,217</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158.4</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158.4</w:t>
            </w:r>
          </w:p>
        </w:tc>
        <w:tc>
          <w:tcPr>
            <w:tcW w:w="940" w:type="dxa"/>
            <w:vAlign w:val="bottom"/>
          </w:tcPr>
          <w:p>
            <w:pPr>
              <w:jc w:val="right"/>
              <w:spacing w:after="0"/>
              <w:rPr>
                <w:sz w:val="20"/>
                <w:szCs w:val="20"/>
                <w:color w:val="auto"/>
              </w:rPr>
            </w:pPr>
            <w:r>
              <w:rPr>
                <w:rFonts w:ascii="Arial" w:cs="Arial" w:eastAsia="Arial" w:hAnsi="Arial"/>
                <w:sz w:val="18"/>
                <w:szCs w:val="18"/>
                <w:color w:val="auto"/>
              </w:rPr>
              <w:t>20,477</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11,886</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72.3</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Camaro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9,320</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-19.1</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46,378</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15,397</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201.2</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Chevy C/T Series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97"/>
              </w:rPr>
              <w:t>-94.4</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-94.4</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-74.2</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Chevy W Series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-51.7</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-49.9</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Cobalt</w:t>
            </w:r>
          </w:p>
        </w:tc>
        <w:tc>
          <w:tcPr>
            <w:tcW w:w="800" w:type="dxa"/>
            <w:vAlign w:val="bottom"/>
          </w:tcPr>
          <w:p>
            <w:pPr>
              <w:jc w:val="right"/>
              <w:spacing w:after="0"/>
              <w:rPr>
                <w:sz w:val="20"/>
                <w:szCs w:val="20"/>
                <w:color w:val="auto"/>
              </w:rPr>
            </w:pPr>
            <w:r>
              <w:rPr>
                <w:rFonts w:ascii="Arial" w:cs="Arial" w:eastAsia="Arial" w:hAnsi="Arial"/>
                <w:sz w:val="18"/>
                <w:szCs w:val="18"/>
                <w:color w:val="auto"/>
              </w:rPr>
              <w:t>10,141</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6,847</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48.1</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48.1</w:t>
            </w:r>
          </w:p>
        </w:tc>
        <w:tc>
          <w:tcPr>
            <w:tcW w:w="940" w:type="dxa"/>
            <w:vAlign w:val="bottom"/>
          </w:tcPr>
          <w:p>
            <w:pPr>
              <w:jc w:val="right"/>
              <w:spacing w:after="0"/>
              <w:rPr>
                <w:sz w:val="20"/>
                <w:szCs w:val="20"/>
                <w:color w:val="auto"/>
              </w:rPr>
            </w:pPr>
            <w:r>
              <w:rPr>
                <w:rFonts w:ascii="Arial" w:cs="Arial" w:eastAsia="Arial" w:hAnsi="Arial"/>
                <w:sz w:val="18"/>
                <w:szCs w:val="18"/>
                <w:color w:val="auto"/>
              </w:rPr>
              <w:t>77,394</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51,676</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49.8</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Colorado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2,909</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-35.2</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11,661</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16,908</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-31.0</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Corvette</w:t>
            </w:r>
          </w:p>
        </w:tc>
        <w:tc>
          <w:tcPr>
            <w:tcW w:w="800" w:type="dxa"/>
            <w:vAlign w:val="bottom"/>
          </w:tcPr>
          <w:p>
            <w:pPr>
              <w:jc w:val="right"/>
              <w:spacing w:after="0"/>
              <w:rPr>
                <w:sz w:val="20"/>
                <w:szCs w:val="20"/>
                <w:color w:val="auto"/>
              </w:rPr>
            </w:pPr>
            <w:r>
              <w:rPr>
                <w:rFonts w:ascii="Arial" w:cs="Arial" w:eastAsia="Arial" w:hAnsi="Arial"/>
                <w:sz w:val="18"/>
                <w:szCs w:val="18"/>
                <w:color w:val="auto"/>
              </w:rPr>
              <w:t>1,405</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1,396</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0.6</w:t>
            </w:r>
          </w:p>
        </w:tc>
        <w:tc>
          <w:tcPr>
            <w:tcW w:w="940" w:type="dxa"/>
            <w:vAlign w:val="bottom"/>
          </w:tcPr>
          <w:p>
            <w:pPr>
              <w:jc w:val="right"/>
              <w:spacing w:after="0"/>
              <w:rPr>
                <w:sz w:val="20"/>
                <w:szCs w:val="20"/>
                <w:color w:val="auto"/>
              </w:rPr>
            </w:pPr>
            <w:r>
              <w:rPr>
                <w:rFonts w:ascii="Arial" w:cs="Arial" w:eastAsia="Arial" w:hAnsi="Arial"/>
                <w:sz w:val="18"/>
                <w:szCs w:val="18"/>
                <w:color w:val="auto"/>
              </w:rPr>
              <w:t>6,355</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7,498</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-15.2</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Equinox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4,108</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8"/>
              </w:rPr>
              <w:t>179.7</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179.7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25,151</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166.4</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Express</w:t>
            </w:r>
          </w:p>
        </w:tc>
        <w:tc>
          <w:tcPr>
            <w:tcW w:w="800" w:type="dxa"/>
            <w:vAlign w:val="bottom"/>
          </w:tcPr>
          <w:p>
            <w:pPr>
              <w:jc w:val="right"/>
              <w:spacing w:after="0"/>
              <w:rPr>
                <w:sz w:val="20"/>
                <w:szCs w:val="20"/>
                <w:color w:val="auto"/>
              </w:rPr>
            </w:pPr>
            <w:r>
              <w:rPr>
                <w:rFonts w:ascii="Arial" w:cs="Arial" w:eastAsia="Arial" w:hAnsi="Arial"/>
                <w:sz w:val="18"/>
                <w:szCs w:val="18"/>
                <w:color w:val="auto"/>
              </w:rPr>
              <w:t>6,535</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5,758</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13.5</w:t>
            </w:r>
          </w:p>
        </w:tc>
        <w:tc>
          <w:tcPr>
            <w:tcW w:w="940" w:type="dxa"/>
            <w:vAlign w:val="bottom"/>
          </w:tcPr>
          <w:p>
            <w:pPr>
              <w:jc w:val="right"/>
              <w:spacing w:after="0"/>
              <w:rPr>
                <w:sz w:val="20"/>
                <w:szCs w:val="20"/>
                <w:color w:val="auto"/>
              </w:rPr>
            </w:pPr>
            <w:r>
              <w:rPr>
                <w:rFonts w:ascii="Arial" w:cs="Arial" w:eastAsia="Arial" w:hAnsi="Arial"/>
                <w:sz w:val="18"/>
                <w:szCs w:val="18"/>
                <w:color w:val="auto"/>
              </w:rPr>
              <w:t>28,259</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26,604</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6.2</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HHR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6,193</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38,076</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30,724</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23.9</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Impala</w:t>
            </w:r>
          </w:p>
        </w:tc>
        <w:tc>
          <w:tcPr>
            <w:tcW w:w="800" w:type="dxa"/>
            <w:vAlign w:val="bottom"/>
          </w:tcPr>
          <w:p>
            <w:pPr>
              <w:jc w:val="right"/>
              <w:spacing w:after="0"/>
              <w:rPr>
                <w:sz w:val="20"/>
                <w:szCs w:val="20"/>
                <w:color w:val="auto"/>
              </w:rPr>
            </w:pPr>
            <w:r>
              <w:rPr>
                <w:rFonts w:ascii="Arial" w:cs="Arial" w:eastAsia="Arial" w:hAnsi="Arial"/>
                <w:sz w:val="18"/>
                <w:szCs w:val="18"/>
                <w:color w:val="auto"/>
              </w:rPr>
              <w:t>14,451</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14,931</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-3.2</w:t>
            </w:r>
          </w:p>
        </w:tc>
        <w:tc>
          <w:tcPr>
            <w:tcW w:w="940" w:type="dxa"/>
            <w:vAlign w:val="bottom"/>
          </w:tcPr>
          <w:p>
            <w:pPr>
              <w:jc w:val="right"/>
              <w:spacing w:after="0"/>
              <w:rPr>
                <w:sz w:val="20"/>
                <w:szCs w:val="20"/>
                <w:color w:val="auto"/>
              </w:rPr>
            </w:pPr>
            <w:r>
              <w:rPr>
                <w:rFonts w:ascii="Arial" w:cs="Arial" w:eastAsia="Arial" w:hAnsi="Arial"/>
                <w:sz w:val="18"/>
                <w:szCs w:val="18"/>
                <w:color w:val="auto"/>
              </w:rPr>
              <w:t>89,491</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78,687</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13.7</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Kodiak 4/5 Series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558</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-54.5</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2,181</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-52.1</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Kodiak 6/7/8 Series</w:t>
            </w: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267</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97"/>
              </w:rPr>
              <w:t>-72.7</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-72.7</w:t>
            </w:r>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719</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-73.3</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Malibu</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11,466</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80.7</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108,317</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75,829</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42.8</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Monte Carlo</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Silverado-C/K Pickup</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24,766</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166,782</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8"/>
              </w:rPr>
              <w:t>149,949</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11.2</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Suburban (Chevy)</w:t>
            </w:r>
          </w:p>
        </w:tc>
        <w:tc>
          <w:tcPr>
            <w:tcW w:w="800" w:type="dxa"/>
            <w:vAlign w:val="bottom"/>
          </w:tcPr>
          <w:p>
            <w:pPr>
              <w:jc w:val="right"/>
              <w:spacing w:after="0"/>
              <w:rPr>
                <w:sz w:val="20"/>
                <w:szCs w:val="20"/>
                <w:color w:val="auto"/>
              </w:rPr>
            </w:pPr>
            <w:r>
              <w:rPr>
                <w:rFonts w:ascii="Arial" w:cs="Arial" w:eastAsia="Arial" w:hAnsi="Arial"/>
                <w:sz w:val="18"/>
                <w:szCs w:val="18"/>
                <w:color w:val="auto"/>
              </w:rPr>
              <w:t>3,911</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1,958</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99.7</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99.7</w:t>
            </w:r>
          </w:p>
        </w:tc>
        <w:tc>
          <w:tcPr>
            <w:tcW w:w="940" w:type="dxa"/>
            <w:vAlign w:val="bottom"/>
          </w:tcPr>
          <w:p>
            <w:pPr>
              <w:jc w:val="right"/>
              <w:spacing w:after="0"/>
              <w:rPr>
                <w:sz w:val="20"/>
                <w:szCs w:val="20"/>
                <w:color w:val="auto"/>
              </w:rPr>
            </w:pPr>
            <w:r>
              <w:rPr>
                <w:rFonts w:ascii="Arial" w:cs="Arial" w:eastAsia="Arial" w:hAnsi="Arial"/>
                <w:sz w:val="18"/>
                <w:szCs w:val="18"/>
                <w:color w:val="auto"/>
              </w:rPr>
              <w:t>22,157</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14,721</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50.5</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Tahoe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4,114</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65.5</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32,215</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13.9</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TrailBlazer</w:t>
            </w: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1,004</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97"/>
              </w:rPr>
              <w:t>-94.9</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-94.9</w:t>
            </w:r>
          </w:p>
        </w:tc>
        <w:tc>
          <w:tcPr>
            <w:tcW w:w="940" w:type="dxa"/>
            <w:vAlign w:val="bottom"/>
          </w:tcPr>
          <w:p>
            <w:pPr>
              <w:jc w:val="right"/>
              <w:spacing w:after="0"/>
              <w:rPr>
                <w:sz w:val="20"/>
                <w:szCs w:val="20"/>
                <w:color w:val="auto"/>
              </w:rPr>
            </w:pPr>
            <w:r>
              <w:rPr>
                <w:rFonts w:ascii="Arial" w:cs="Arial" w:eastAsia="Arial" w:hAnsi="Arial"/>
                <w:sz w:val="18"/>
                <w:szCs w:val="18"/>
                <w:color w:val="auto"/>
              </w:rPr>
              <w:t>205</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7,142</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-97.1</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Traverse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7,289</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56.0</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52,271</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40,679</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28.5</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Uplander</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203</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97"/>
              </w:rPr>
              <w:t>-89.2</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-89.2</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1,416</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-94.6</w:t>
            </w:r>
          </w:p>
        </w:tc>
      </w:tr>
      <w:tr>
        <w:trPr>
          <w:trHeight w:val="216"/>
        </w:trPr>
        <w:tc>
          <w:tcPr>
            <w:tcW w:w="628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0"/>
              </w:rPr>
              <w:t>Chevrolet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141,381</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106,712</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c>
          <w:tcPr>
            <w:tcW w:w="7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782,443</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596,932</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31.1</w:t>
            </w:r>
          </w:p>
        </w:tc>
      </w:tr>
      <w:tr>
        <w:trPr>
          <w:trHeight w:val="210"/>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Acadia</w:t>
            </w:r>
          </w:p>
        </w:tc>
        <w:tc>
          <w:tcPr>
            <w:tcW w:w="800" w:type="dxa"/>
            <w:vAlign w:val="bottom"/>
          </w:tcPr>
          <w:p>
            <w:pPr>
              <w:jc w:val="right"/>
              <w:spacing w:after="0"/>
              <w:rPr>
                <w:sz w:val="20"/>
                <w:szCs w:val="20"/>
                <w:color w:val="auto"/>
              </w:rPr>
            </w:pPr>
            <w:r>
              <w:rPr>
                <w:rFonts w:ascii="Arial" w:cs="Arial" w:eastAsia="Arial" w:hAnsi="Arial"/>
                <w:sz w:val="18"/>
                <w:szCs w:val="18"/>
                <w:color w:val="auto"/>
              </w:rPr>
              <w:t>5,862</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4,634</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26.5</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26.5</w:t>
            </w:r>
          </w:p>
        </w:tc>
        <w:tc>
          <w:tcPr>
            <w:tcW w:w="940" w:type="dxa"/>
            <w:vAlign w:val="bottom"/>
          </w:tcPr>
          <w:p>
            <w:pPr>
              <w:jc w:val="right"/>
              <w:spacing w:after="0"/>
              <w:rPr>
                <w:sz w:val="20"/>
                <w:szCs w:val="20"/>
                <w:color w:val="auto"/>
              </w:rPr>
            </w:pPr>
            <w:r>
              <w:rPr>
                <w:rFonts w:ascii="Arial" w:cs="Arial" w:eastAsia="Arial" w:hAnsi="Arial"/>
                <w:sz w:val="18"/>
                <w:szCs w:val="18"/>
                <w:color w:val="auto"/>
              </w:rPr>
              <w:t>35,324</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27,360</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29.1</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Canyon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768</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-25.0</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5,197</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-31.4</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Envoy</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714</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97"/>
              </w:rPr>
              <w:t>-97.9</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-97.9</w:t>
            </w: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3,645</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-98.0</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GMC C/T Series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-95.8</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-78.5</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W Series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97"/>
              </w:rPr>
              <w:t>-76.5</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-76.5</w:t>
            </w:r>
          </w:p>
        </w:tc>
        <w:tc>
          <w:tcPr>
            <w:tcW w:w="940" w:type="dxa"/>
            <w:vAlign w:val="bottom"/>
          </w:tcPr>
          <w:p>
            <w:pPr>
              <w:jc w:val="right"/>
              <w:spacing w:after="0"/>
              <w:rPr>
                <w:sz w:val="20"/>
                <w:szCs w:val="20"/>
                <w:color w:val="auto"/>
              </w:rPr>
            </w:pPr>
            <w:r>
              <w:rPr>
                <w:rFonts w:ascii="Arial" w:cs="Arial" w:eastAsia="Arial" w:hAnsi="Arial"/>
                <w:sz w:val="18"/>
                <w:szCs w:val="18"/>
                <w:color w:val="auto"/>
              </w:rPr>
              <w:t>272</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778</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-65.0</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Savana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721</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73.2</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7,514</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Sierra</w:t>
            </w:r>
          </w:p>
        </w:tc>
        <w:tc>
          <w:tcPr>
            <w:tcW w:w="800" w:type="dxa"/>
            <w:vAlign w:val="bottom"/>
          </w:tcPr>
          <w:p>
            <w:pPr>
              <w:jc w:val="right"/>
              <w:spacing w:after="0"/>
              <w:rPr>
                <w:sz w:val="20"/>
                <w:szCs w:val="20"/>
                <w:color w:val="auto"/>
              </w:rPr>
            </w:pPr>
            <w:r>
              <w:rPr>
                <w:rFonts w:ascii="Arial" w:cs="Arial" w:eastAsia="Arial" w:hAnsi="Arial"/>
                <w:sz w:val="18"/>
                <w:szCs w:val="18"/>
                <w:color w:val="auto"/>
              </w:rPr>
              <w:t>11,441</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9,014</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26.9</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26.9</w:t>
            </w:r>
          </w:p>
        </w:tc>
        <w:tc>
          <w:tcPr>
            <w:tcW w:w="940" w:type="dxa"/>
            <w:vAlign w:val="bottom"/>
          </w:tcPr>
          <w:p>
            <w:pPr>
              <w:jc w:val="right"/>
              <w:spacing w:after="0"/>
              <w:rPr>
                <w:sz w:val="20"/>
                <w:szCs w:val="20"/>
                <w:color w:val="auto"/>
              </w:rPr>
            </w:pPr>
            <w:r>
              <w:rPr>
                <w:rFonts w:ascii="Arial" w:cs="Arial" w:eastAsia="Arial" w:hAnsi="Arial"/>
                <w:sz w:val="18"/>
                <w:szCs w:val="18"/>
                <w:color w:val="auto"/>
              </w:rPr>
              <w:t>55,608</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50,067</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11.1</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Terrain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Topkick 4/5 Series</w:t>
            </w:r>
          </w:p>
        </w:tc>
        <w:tc>
          <w:tcPr>
            <w:tcW w:w="800" w:type="dxa"/>
            <w:vAlign w:val="bottom"/>
          </w:tcPr>
          <w:p>
            <w:pPr>
              <w:jc w:val="right"/>
              <w:spacing w:after="0"/>
              <w:rPr>
                <w:sz w:val="20"/>
                <w:szCs w:val="20"/>
                <w:color w:val="auto"/>
              </w:rPr>
            </w:pPr>
            <w:r>
              <w:rPr>
                <w:rFonts w:ascii="Arial" w:cs="Arial" w:eastAsia="Arial" w:hAnsi="Arial"/>
                <w:sz w:val="18"/>
                <w:szCs w:val="18"/>
                <w:color w:val="auto"/>
              </w:rPr>
              <w:t>153</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385</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97"/>
              </w:rPr>
              <w:t>-60.3</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-60.3</w:t>
            </w:r>
          </w:p>
        </w:tc>
        <w:tc>
          <w:tcPr>
            <w:tcW w:w="940" w:type="dxa"/>
            <w:vAlign w:val="bottom"/>
          </w:tcPr>
          <w:p>
            <w:pPr>
              <w:jc w:val="right"/>
              <w:spacing w:after="0"/>
              <w:rPr>
                <w:sz w:val="20"/>
                <w:szCs w:val="20"/>
                <w:color w:val="auto"/>
              </w:rPr>
            </w:pPr>
            <w:r>
              <w:rPr>
                <w:rFonts w:ascii="Arial" w:cs="Arial" w:eastAsia="Arial" w:hAnsi="Arial"/>
                <w:sz w:val="18"/>
                <w:szCs w:val="18"/>
                <w:color w:val="auto"/>
              </w:rPr>
              <w:t>816</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1,399</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-41.7</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Topkick 6/7/8 Series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313</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-60.1</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1,105</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-69.0</w:t>
            </w:r>
          </w:p>
        </w:tc>
      </w:tr>
      <w:tr>
        <w:trPr>
          <w:trHeight w:val="216"/>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Yukon</w:t>
            </w:r>
          </w:p>
        </w:tc>
        <w:tc>
          <w:tcPr>
            <w:tcW w:w="800" w:type="dxa"/>
            <w:vAlign w:val="bottom"/>
          </w:tcPr>
          <w:p>
            <w:pPr>
              <w:jc w:val="right"/>
              <w:spacing w:after="0"/>
              <w:rPr>
                <w:sz w:val="20"/>
                <w:szCs w:val="20"/>
                <w:color w:val="auto"/>
              </w:rPr>
            </w:pPr>
            <w:r>
              <w:rPr>
                <w:rFonts w:ascii="Arial" w:cs="Arial" w:eastAsia="Arial" w:hAnsi="Arial"/>
                <w:sz w:val="18"/>
                <w:szCs w:val="18"/>
                <w:color w:val="auto"/>
              </w:rPr>
              <w:t>2,210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1,832</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20.6</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20.6</w:t>
            </w:r>
          </w:p>
        </w:tc>
        <w:tc>
          <w:tcPr>
            <w:tcW w:w="940" w:type="dxa"/>
            <w:vAlign w:val="bottom"/>
          </w:tcPr>
          <w:p>
            <w:pPr>
              <w:jc w:val="right"/>
              <w:spacing w:after="0"/>
              <w:rPr>
                <w:sz w:val="20"/>
                <w:szCs w:val="20"/>
                <w:color w:val="auto"/>
              </w:rPr>
            </w:pPr>
            <w:r>
              <w:rPr>
                <w:rFonts w:ascii="Arial" w:cs="Arial" w:eastAsia="Arial" w:hAnsi="Arial"/>
                <w:sz w:val="18"/>
                <w:szCs w:val="18"/>
                <w:color w:val="auto"/>
              </w:rPr>
              <w:t>11,761</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14,353</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-18.1</w:t>
            </w:r>
          </w:p>
        </w:tc>
      </w:tr>
      <w:tr>
        <w:trPr>
          <w:trHeight w:val="216"/>
        </w:trPr>
        <w:tc>
          <w:tcPr>
            <w:tcW w:w="6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Yukon XL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1,099</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8"/>
              </w:rPr>
              <w:t>105.8</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105.8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6,808</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57.9</w:t>
            </w:r>
          </w:p>
        </w:tc>
      </w:tr>
      <w:tr>
        <w:trPr>
          <w:trHeight w:val="216"/>
        </w:trPr>
        <w:tc>
          <w:tcPr>
            <w:tcW w:w="628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1"/>
              </w:rPr>
              <w:t>GMC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28,526</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19,668</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45.0</w:t>
            </w:r>
          </w:p>
        </w:tc>
        <w:tc>
          <w:tcPr>
            <w:tcW w:w="7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45.0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152,317</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8"/>
              </w:rPr>
              <w:t>118,471</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28.6</w:t>
            </w:r>
          </w:p>
        </w:tc>
      </w:tr>
      <w:tr>
        <w:trPr>
          <w:trHeight w:val="210"/>
        </w:trPr>
        <w:tc>
          <w:tcPr>
            <w:tcW w:w="628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b w:val="1"/>
                <w:bCs w:val="1"/>
                <w:color w:val="auto"/>
                <w:w w:val="89"/>
              </w:rPr>
              <w:t>Brand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194,828</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8"/>
              </w:rPr>
              <w:t>143,454</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35.8</w:t>
            </w:r>
          </w:p>
        </w:tc>
        <w:tc>
          <w:tcPr>
            <w:tcW w:w="7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35.8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1,069,577</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8"/>
              </w:rPr>
              <w:t>811,209</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31.8</w:t>
            </w:r>
          </w:p>
        </w:tc>
      </w:tr>
      <w:tr>
        <w:trPr>
          <w:trHeight w:val="210"/>
        </w:trPr>
        <w:tc>
          <w:tcPr>
            <w:tcW w:w="628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5"/>
              </w:rPr>
              <w:t>HUMMER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1,078</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7"/>
              </w:rPr>
              <w:t>-71.9</w:t>
            </w:r>
          </w:p>
        </w:tc>
        <w:tc>
          <w:tcPr>
            <w:tcW w:w="7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-71.9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6,191</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-52.7</w:t>
            </w:r>
          </w:p>
        </w:tc>
      </w:tr>
      <w:tr>
        <w:trPr>
          <w:trHeight w:val="210"/>
        </w:trPr>
        <w:tc>
          <w:tcPr>
            <w:tcW w:w="628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7"/>
              </w:rPr>
              <w:t>Pontiac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23,740</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-99.5</w:t>
            </w:r>
          </w:p>
        </w:tc>
        <w:tc>
          <w:tcPr>
            <w:tcW w:w="7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88,794</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-99.0</w:t>
            </w:r>
          </w:p>
        </w:tc>
      </w:tr>
      <w:tr>
        <w:trPr>
          <w:trHeight w:val="210"/>
        </w:trPr>
        <w:tc>
          <w:tcPr>
            <w:tcW w:w="628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4"/>
              </w:rPr>
              <w:t>Saab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779</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5,386</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-88.7</w:t>
            </w:r>
          </w:p>
        </w:tc>
      </w:tr>
      <w:tr>
        <w:trPr>
          <w:trHeight w:val="210"/>
        </w:trPr>
        <w:tc>
          <w:tcPr>
            <w:tcW w:w="628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7"/>
              </w:rPr>
              <w:t>Saturn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7,520</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-98.2</w:t>
            </w:r>
          </w:p>
        </w:tc>
        <w:tc>
          <w:tcPr>
            <w:tcW w:w="7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42,776</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-84.9</w:t>
            </w:r>
          </w:p>
        </w:tc>
      </w:tr>
      <w:tr>
        <w:trPr>
          <w:trHeight w:val="210"/>
        </w:trPr>
        <w:tc>
          <w:tcPr>
            <w:tcW w:w="628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1"/>
              </w:rPr>
              <w:t>Other Brand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33,117</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7"/>
              </w:rPr>
              <w:t>-98.3</w:t>
            </w:r>
          </w:p>
        </w:tc>
        <w:tc>
          <w:tcPr>
            <w:tcW w:w="7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-98.3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10,944</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8"/>
              </w:rPr>
              <w:t>143,147</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-92.4</w:t>
            </w:r>
          </w:p>
        </w:tc>
      </w:tr>
      <w:tr>
        <w:trPr>
          <w:trHeight w:val="210"/>
        </w:trPr>
        <w:tc>
          <w:tcPr>
            <w:tcW w:w="628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93"/>
              </w:rPr>
              <w:t>GM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195,380</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8"/>
              </w:rPr>
              <w:t>176,571</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10.7</w:t>
            </w:r>
          </w:p>
        </w:tc>
        <w:tc>
          <w:tcPr>
            <w:tcW w:w="7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1,080,521</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8"/>
              </w:rPr>
              <w:t>954,356</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13.2</w:t>
            </w:r>
          </w:p>
        </w:tc>
      </w:tr>
      <w:tr>
        <w:trPr>
          <w:trHeight w:val="356"/>
        </w:trPr>
        <w:tc>
          <w:tcPr>
            <w:tcW w:w="6280" w:type="dxa"/>
            <w:vAlign w:val="bottom"/>
          </w:tcPr>
          <w:p>
            <w:pPr>
              <w:spacing w:after="0"/>
              <w:rPr>
                <w:sz w:val="20"/>
                <w:szCs w:val="20"/>
                <w:color w:val="auto"/>
              </w:rPr>
            </w:pPr>
            <w:r>
              <w:rPr>
                <w:rFonts w:ascii="Arial" w:cs="Arial" w:eastAsia="Arial" w:hAnsi="Arial"/>
                <w:sz w:val="18"/>
                <w:szCs w:val="18"/>
                <w:color w:val="auto"/>
              </w:rPr>
              <w:t>Global Market and Industry Analysis - Sales Reporting and Data Management</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gridSpan w:val="2"/>
          </w:tcPr>
          <w:p>
            <w:pPr>
              <w:jc w:val="right"/>
              <w:ind w:right="13"/>
              <w:spacing w:after="0"/>
              <w:rPr>
                <w:sz w:val="20"/>
                <w:szCs w:val="20"/>
                <w:color w:val="auto"/>
              </w:rPr>
            </w:pPr>
            <w:r>
              <w:rPr>
                <w:rFonts w:ascii="Arial" w:cs="Arial" w:eastAsia="Arial" w:hAnsi="Arial"/>
                <w:sz w:val="18"/>
                <w:szCs w:val="18"/>
                <w:color w:val="auto"/>
              </w:rPr>
              <w:t>Page 2 of 2</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2019-12-11T06:32:13Z</dcterms:created>
  <dcterms:modified xsi:type="dcterms:W3CDTF">2019-12-11T06:32:13Z</dcterms:modified>
</cp:coreProperties>
</file>