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UNITED STATES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3E3935"/>
        </w:rPr>
        <w:t>Washington, D.C. 20549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3E3935"/>
        </w:rPr>
        <w:t>SCHEDULE 14A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Proxy Statement Pursuant to Section 14(a) of the Securities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Exchange Act of 1934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 w:line="127" w:lineRule="exact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1"/>
          <w:szCs w:val="11"/>
          <w:color w:val="3E3935"/>
        </w:rPr>
        <w:t>☑</w:t>
      </w:r>
      <w:r>
        <w:rPr>
          <w:rFonts w:ascii="Arial" w:cs="Arial" w:eastAsia="Arial" w:hAnsi="Arial"/>
          <w:sz w:val="11"/>
          <w:szCs w:val="11"/>
          <w:color w:val="3E3935"/>
        </w:rPr>
        <w:t xml:space="preserve"> 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0"/>
          <w:szCs w:val="10"/>
          <w:color w:val="3E3935"/>
        </w:rPr>
        <w:t xml:space="preserve">☐ </w:t>
      </w:r>
      <w:r>
        <w:rPr>
          <w:rFonts w:ascii="Arial" w:cs="Arial" w:eastAsia="Arial" w:hAnsi="Arial"/>
          <w:sz w:val="10"/>
          <w:szCs w:val="10"/>
          <w:color w:val="3E3935"/>
        </w:rPr>
        <w:t>Filed by a Party other than the Registrant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3E3935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79375</wp:posOffset>
            </wp:positionH>
            <wp:positionV relativeFrom="paragraph">
              <wp:posOffset>-122555</wp:posOffset>
            </wp:positionV>
            <wp:extent cx="5568315" cy="8197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81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 w:hanging="270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3E3935"/>
        </w:rPr>
      </w:pPr>
      <w:r>
        <w:rPr>
          <w:rFonts w:ascii="Arial" w:cs="Arial" w:eastAsia="Arial" w:hAnsi="Arial"/>
          <w:sz w:val="11"/>
          <w:szCs w:val="11"/>
          <w:color w:val="3E3935"/>
        </w:rPr>
        <w:t>Preliminary Proxy Statement</w:t>
      </w:r>
    </w:p>
    <w:p>
      <w:pPr>
        <w:spacing w:after="0" w:line="71" w:lineRule="exact"/>
        <w:rPr>
          <w:rFonts w:ascii="MS PGothic" w:cs="MS PGothic" w:eastAsia="MS PGothic" w:hAnsi="MS PGothic"/>
          <w:sz w:val="14"/>
          <w:szCs w:val="14"/>
          <w:color w:val="3E3935"/>
        </w:rPr>
      </w:pPr>
    </w:p>
    <w:p>
      <w:pPr>
        <w:ind w:left="520" w:hanging="270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3E3935"/>
        </w:rPr>
      </w:pPr>
      <w:r>
        <w:rPr>
          <w:rFonts w:ascii="Arial" w:cs="Arial" w:eastAsia="Arial" w:hAnsi="Arial"/>
          <w:sz w:val="11"/>
          <w:szCs w:val="11"/>
          <w:color w:val="3E3935"/>
        </w:rPr>
        <w:t>CONFIDENTIAL, FOR USE OF THE COMMISSION ONLY (AS PERMITTED BY RULE 14a-6(e)(2))</w:t>
      </w:r>
    </w:p>
    <w:p>
      <w:pPr>
        <w:spacing w:after="0" w:line="71" w:lineRule="exact"/>
        <w:rPr>
          <w:rFonts w:ascii="MS PGothic" w:cs="MS PGothic" w:eastAsia="MS PGothic" w:hAnsi="MS PGothic"/>
          <w:sz w:val="14"/>
          <w:szCs w:val="14"/>
          <w:color w:val="3E3935"/>
        </w:rPr>
      </w:pPr>
    </w:p>
    <w:p>
      <w:pPr>
        <w:ind w:left="520" w:hanging="270"/>
        <w:spacing w:after="0"/>
        <w:tabs>
          <w:tab w:leader="none" w:pos="5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3E3935"/>
        </w:rPr>
      </w:pPr>
      <w:r>
        <w:rPr>
          <w:rFonts w:ascii="Arial" w:cs="Arial" w:eastAsia="Arial" w:hAnsi="Arial"/>
          <w:sz w:val="11"/>
          <w:szCs w:val="11"/>
          <w:color w:val="3E3935"/>
        </w:rPr>
        <w:t>Definitive Proxy Statement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520" w:hanging="270"/>
        <w:spacing w:after="0"/>
        <w:tabs>
          <w:tab w:leader="none" w:pos="5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3E3935"/>
        </w:rPr>
      </w:pPr>
      <w:r>
        <w:rPr>
          <w:rFonts w:ascii="Arial" w:cs="Arial" w:eastAsia="Arial" w:hAnsi="Arial"/>
          <w:sz w:val="11"/>
          <w:szCs w:val="11"/>
          <w:color w:val="3E3935"/>
        </w:rPr>
        <w:t>Definitive Additional Materials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520" w:hanging="270"/>
        <w:spacing w:after="0"/>
        <w:tabs>
          <w:tab w:leader="none" w:pos="5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3E3935"/>
        </w:rPr>
      </w:pPr>
      <w:r>
        <w:rPr>
          <w:rFonts w:ascii="Arial" w:cs="Arial" w:eastAsia="Arial" w:hAnsi="Arial"/>
          <w:sz w:val="11"/>
          <w:szCs w:val="11"/>
          <w:color w:val="3E3935"/>
        </w:rPr>
        <w:t>Soliciting Material under ss.240.14a-12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0071CE"/>
        </w:rPr>
        <w:t>GENERAL MOTORS COMPANY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3E3935"/>
        </w:rPr>
        <w:t>300 Renaissance Center, Detroit, Michigan 48265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i w:val="1"/>
          <w:iCs w:val="1"/>
          <w:color w:val="3E3935"/>
        </w:rPr>
        <w:t>(Name of Registrant as Specified In Its Charter)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i w:val="1"/>
          <w:iCs w:val="1"/>
          <w:color w:val="3E3935"/>
        </w:rPr>
        <w:t>(Name of Person(s) Filing Proxy Statement, if other than the Registrant)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3E3935"/>
        </w:rPr>
        <w:t>Payment of Filing Fee (Check all boxes that apply):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79375</wp:posOffset>
            </wp:positionH>
            <wp:positionV relativeFrom="paragraph">
              <wp:posOffset>-122555</wp:posOffset>
            </wp:positionV>
            <wp:extent cx="5568315" cy="8267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15" cy="82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560" w:hanging="246"/>
        <w:spacing w:after="0"/>
        <w:tabs>
          <w:tab w:leader="none" w:pos="5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1"/>
          <w:szCs w:val="11"/>
          <w:color w:val="3E3935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No fee required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280"/>
        <w:spacing w:after="0" w:line="11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1"/>
          <w:szCs w:val="11"/>
          <w:color w:val="3E3935"/>
        </w:rPr>
        <w:t>☐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Fee paid previously with preliminary materials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280"/>
        <w:spacing w:after="0" w:line="11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1"/>
          <w:szCs w:val="11"/>
          <w:color w:val="3E3935"/>
        </w:rPr>
        <w:t>☐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3E3935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019"/>
          </w:cols>
          <w:pgMar w:left="1440" w:top="217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198995" cy="381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8995" cy="381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181610</wp:posOffset>
            </wp:positionH>
            <wp:positionV relativeFrom="page">
              <wp:posOffset>88900</wp:posOffset>
            </wp:positionV>
            <wp:extent cx="7222490" cy="57048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2490" cy="570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☑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2022-06-03T10:46:09Z</dcterms:created>
  <dcterms:modified xsi:type="dcterms:W3CDTF">2022-06-03T10:46:09Z</dcterms:modified>
</cp:coreProperties>
</file>