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Jacobson Paul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37,961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44.68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37,961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02/12/2030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37,961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55,954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55,954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55,954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-3460115</wp:posOffset>
            </wp:positionV>
            <wp:extent cx="7033895" cy="3447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447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2020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will vest as follows: one-third on February 12, 2021; one-third on February 12, 2022; and one-third on February 12, 2023.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RSUs do not have a conversion or exercise price. Upon vesting, they will be settled in shares of the Company's common stock on a one-for-one basis.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these RSUs, one-half will vest on December 1, 2022, and one-half will vest on December 1, 2023.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date on which they will expire. They will be fully settled on December 1, 2023.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Tia Y. Turk,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26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Mr. Jacobson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181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365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2020-12-03T16:06:42Z</dcterms:created>
  <dcterms:modified xsi:type="dcterms:W3CDTF">2020-12-03T16:06:42Z</dcterms:modified>
</cp:coreProperties>
</file>