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21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212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6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25"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165,944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165,944</w:t>
            </w:r>
            <w:r>
              <w:rPr>
                <w:rFonts w:ascii="Arial" w:cs="Arial" w:eastAsia="Arial" w:hAnsi="Arial"/>
                <w:sz w:val="22"/>
                <w:szCs w:val="22"/>
                <w:color w:val="008000"/>
                <w:vertAlign w:val="superscript"/>
              </w:rPr>
              <w:t>(2)</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3"/>
                <w:szCs w:val="13"/>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02/15/2019</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165,944</w:t>
            </w:r>
          </w:p>
        </w:tc>
        <w:tc>
          <w:tcPr>
            <w:tcW w:w="2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02/15/2019</w:t>
            </w:r>
          </w:p>
        </w:tc>
        <w:tc>
          <w:tcPr>
            <w:tcW w:w="740" w:type="dxa"/>
            <w:vAlign w:val="bottom"/>
          </w:tcPr>
          <w:p>
            <w:pPr>
              <w:ind w:left="60"/>
              <w:spacing w:after="0"/>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ind w:left="160"/>
              <w:spacing w:after="0" w:line="11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2019, 20% of the July 28, 2015, Driving Stockholder Value Stock Option Grant (the "DSV Grant") vested upon meeting or exceeding the median Total Shareholder Return of the peer group for the period July 28, 2015, through December 31, 2018.</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vested and unexercised portion of the DSV Grant, 40% of which vested on February 15, 2017, and 20% of which vested on each of February 15, 2018, and February 15, 2019.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02/19/2019</w:t>
            </w:r>
          </w:p>
        </w:tc>
        <w:tc>
          <w:tcPr>
            <w:tcW w:w="0" w:type="dxa"/>
            <w:vAlign w:val="bottom"/>
          </w:tcPr>
          <w:p>
            <w:pPr>
              <w:spacing w:after="0"/>
              <w:rPr>
                <w:sz w:val="1"/>
                <w:szCs w:val="1"/>
                <w:color w:val="auto"/>
              </w:rPr>
            </w:pPr>
          </w:p>
        </w:tc>
      </w:tr>
      <w:tr>
        <w:trPr>
          <w:trHeight w:val="86"/>
        </w:trPr>
        <w:tc>
          <w:tcPr>
            <w:tcW w:w="128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0"/>
              </w:rPr>
              <w:t>Fact for Mr. Reuss</w:t>
            </w:r>
          </w:p>
        </w:tc>
        <w:tc>
          <w:tcPr>
            <w:tcW w:w="66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2019-12-24T07:27:56Z</dcterms:created>
  <dcterms:modified xsi:type="dcterms:W3CDTF">2019-12-24T07:27:56Z</dcterms:modified>
</cp:coreProperties>
</file>